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35F3" w:rsidR="003554C5" w:rsidP="003554C5" w:rsidRDefault="00F757D8" w14:paraId="586DB4C0" w14:textId="5A82337F">
      <w:pPr>
        <w:pStyle w:val="Texto0"/>
      </w:pPr>
      <w:r>
        <w:rPr>
          <w:rFonts w:ascii="Arial" w:hAnsi="Arial" w:cs="Arial"/>
          <w:sz w:val="24"/>
        </w:rPr>
        <w:t>22</w:t>
      </w:r>
      <w:r w:rsidRPr="00E060A3">
        <w:rPr>
          <w:rFonts w:ascii="Arial" w:hAnsi="Arial" w:cs="Arial"/>
          <w:sz w:val="24"/>
        </w:rPr>
        <w:t xml:space="preserve"> de diciembre del 2025</w:t>
      </w:r>
    </w:p>
    <w:sdt>
      <w:sdtPr>
        <w:alias w:val="Consecutivo"/>
        <w:tag w:val="Consecutivo"/>
        <w:id w:val="867724263"/>
        <w:placeholder>
          <w:docPart w:val="4B6BAB24AD4E4CE38FD172E4631D1D1C"/>
        </w:placeholder>
        <w:text/>
      </w:sdtPr>
      <w:sdtEndPr/>
      <w:sdtContent>
        <w:p w:rsidR="003554C5" w:rsidP="0085692C" w:rsidRDefault="00BF4EBD" w14:paraId="03BC1DD1" w14:textId="77777777">
          <w:r>
            <w:rPr>
              <w:rStyle w:val="Textodelmarcadordeposicin"/>
              <w:rFonts w:eastAsia="Calibri"/>
            </w:rPr>
            <w:t>AI-0296-2025</w:t>
          </w:r>
        </w:p>
      </w:sdtContent>
    </w:sdt>
    <w:p w:rsidR="00F757D8" w:rsidP="00F757D8" w:rsidRDefault="00F757D8" w14:paraId="297ACEDB" w14:textId="77777777">
      <w:pPr>
        <w:rPr>
          <w:rFonts w:ascii="Arial" w:hAnsi="Arial" w:cs="Arial"/>
        </w:rPr>
      </w:pPr>
    </w:p>
    <w:p w:rsidR="00F757D8" w:rsidP="00F757D8" w:rsidRDefault="00F757D8" w14:paraId="2E9A031C" w14:textId="77777777">
      <w:pPr>
        <w:rPr>
          <w:rFonts w:ascii="Arial" w:hAnsi="Arial" w:cs="Arial"/>
        </w:rPr>
      </w:pPr>
    </w:p>
    <w:p w:rsidRPr="006329ED" w:rsidR="00F757D8" w:rsidP="00F757D8" w:rsidRDefault="00F757D8" w14:paraId="0CCD64E1" w14:textId="7C60D290">
      <w:pPr>
        <w:rPr>
          <w:rFonts w:ascii="Arial" w:hAnsi="Arial" w:cs="Arial"/>
          <w:sz w:val="24"/>
        </w:rPr>
      </w:pPr>
      <w:r w:rsidRPr="006329ED">
        <w:rPr>
          <w:rFonts w:ascii="Arial" w:hAnsi="Arial" w:cs="Arial"/>
          <w:sz w:val="24"/>
        </w:rPr>
        <w:t>Señor</w:t>
      </w:r>
    </w:p>
    <w:p w:rsidRPr="006329ED" w:rsidR="00F757D8" w:rsidP="00F757D8" w:rsidRDefault="00F757D8" w14:paraId="3EA3C5E2" w14:textId="77777777">
      <w:pPr>
        <w:rPr>
          <w:rFonts w:ascii="Arial" w:hAnsi="Arial" w:cs="Arial"/>
          <w:sz w:val="24"/>
        </w:rPr>
      </w:pPr>
      <w:r>
        <w:rPr>
          <w:rFonts w:ascii="Arial" w:hAnsi="Arial" w:cs="Arial"/>
          <w:sz w:val="24"/>
        </w:rPr>
        <w:t>Pablo Villalobos González</w:t>
      </w:r>
      <w:r w:rsidRPr="006329ED">
        <w:rPr>
          <w:rFonts w:ascii="Arial" w:hAnsi="Arial" w:cs="Arial"/>
          <w:sz w:val="24"/>
        </w:rPr>
        <w:t>, Gerente</w:t>
      </w:r>
    </w:p>
    <w:p w:rsidRPr="00F9447F" w:rsidR="00F757D8" w:rsidP="00F757D8" w:rsidRDefault="00F757D8" w14:paraId="2BEB4725" w14:textId="77777777">
      <w:pPr>
        <w:pStyle w:val="Encabezado"/>
        <w:tabs>
          <w:tab w:val="clear" w:pos="4680"/>
          <w:tab w:val="clear" w:pos="9360"/>
          <w:tab w:val="center" w:pos="4419"/>
          <w:tab w:val="right" w:pos="8838"/>
        </w:tabs>
        <w:rPr>
          <w:rFonts w:ascii="Arial" w:hAnsi="Arial" w:eastAsia="Calibri" w:cs="Arial"/>
          <w:b/>
          <w:color w:val="1C4063" w:themeColor="accent1" w:themeShade="80"/>
          <w:sz w:val="24"/>
          <w:lang w:val="es-CR"/>
        </w:rPr>
      </w:pPr>
      <w:r w:rsidRPr="00F9447F">
        <w:rPr>
          <w:rFonts w:ascii="Arial" w:hAnsi="Arial" w:eastAsia="Calibri" w:cs="Arial"/>
          <w:b/>
          <w:color w:val="1C4063" w:themeColor="accent1" w:themeShade="80"/>
          <w:sz w:val="24"/>
          <w:lang w:val="es-CR"/>
        </w:rPr>
        <w:t>BANCO CENTRAL DE COSTA RICA</w:t>
      </w:r>
    </w:p>
    <w:p w:rsidR="00F757D8" w:rsidP="00F757D8" w:rsidRDefault="00F757D8" w14:paraId="7C151A53" w14:textId="77777777">
      <w:pPr>
        <w:rPr>
          <w:rFonts w:ascii="Arial" w:hAnsi="Arial" w:cs="Arial"/>
        </w:rPr>
      </w:pPr>
    </w:p>
    <w:p w:rsidRPr="003F5DF0" w:rsidR="00F757D8" w:rsidP="00F757D8" w:rsidRDefault="00F757D8" w14:paraId="509FD1B8" w14:textId="6D0DA8BD">
      <w:pPr>
        <w:rPr>
          <w:rFonts w:ascii="Arial" w:hAnsi="Arial" w:cs="Arial"/>
          <w:b/>
          <w:bCs/>
        </w:rPr>
      </w:pPr>
      <w:r w:rsidRPr="00FB4EB3">
        <w:rPr>
          <w:rFonts w:ascii="Arial" w:hAnsi="Arial" w:cs="Arial"/>
          <w:b/>
        </w:rPr>
        <w:t>Ref. Comunicación d</w:t>
      </w:r>
      <w:r>
        <w:rPr>
          <w:rFonts w:ascii="Arial" w:hAnsi="Arial" w:cs="Arial"/>
          <w:b/>
        </w:rPr>
        <w:t xml:space="preserve">el Informe </w:t>
      </w:r>
      <w:r w:rsidRPr="003F5DF0">
        <w:rPr>
          <w:rFonts w:ascii="Arial" w:hAnsi="Arial" w:cs="Arial"/>
          <w:b/>
          <w:bCs/>
        </w:rPr>
        <w:t xml:space="preserve">de la </w:t>
      </w:r>
      <w:r>
        <w:rPr>
          <w:rFonts w:ascii="Arial" w:hAnsi="Arial" w:cs="Arial"/>
          <w:b/>
          <w:bCs/>
        </w:rPr>
        <w:t>auditoría de carácter e</w:t>
      </w:r>
      <w:r w:rsidRPr="00EA4C3D">
        <w:rPr>
          <w:rFonts w:ascii="Arial" w:hAnsi="Arial" w:cs="Arial"/>
          <w:b/>
          <w:bCs/>
        </w:rPr>
        <w:t xml:space="preserve">special </w:t>
      </w:r>
      <w:r>
        <w:rPr>
          <w:rFonts w:ascii="Arial" w:hAnsi="Arial" w:cs="Arial"/>
          <w:b/>
          <w:bCs/>
        </w:rPr>
        <w:t>sobre</w:t>
      </w:r>
      <w:r w:rsidRPr="00EA4C3D">
        <w:rPr>
          <w:rFonts w:ascii="Arial" w:hAnsi="Arial" w:cs="Arial"/>
          <w:b/>
          <w:bCs/>
        </w:rPr>
        <w:t xml:space="preserve"> </w:t>
      </w:r>
      <w:r>
        <w:rPr>
          <w:rFonts w:ascii="Arial" w:hAnsi="Arial" w:cs="Arial"/>
          <w:b/>
          <w:bCs/>
        </w:rPr>
        <w:t>C</w:t>
      </w:r>
      <w:r w:rsidRPr="00EA4C3D">
        <w:rPr>
          <w:rFonts w:ascii="Arial" w:hAnsi="Arial" w:cs="Arial"/>
          <w:b/>
          <w:bCs/>
        </w:rPr>
        <w:t xml:space="preserve">ontratación </w:t>
      </w:r>
      <w:r>
        <w:rPr>
          <w:rFonts w:ascii="Arial" w:hAnsi="Arial" w:cs="Arial"/>
          <w:b/>
          <w:bCs/>
        </w:rPr>
        <w:t>P</w:t>
      </w:r>
      <w:r w:rsidRPr="00EA4C3D">
        <w:rPr>
          <w:rFonts w:ascii="Arial" w:hAnsi="Arial" w:cs="Arial"/>
          <w:b/>
          <w:bCs/>
        </w:rPr>
        <w:t>ública</w:t>
      </w:r>
      <w:r>
        <w:rPr>
          <w:rFonts w:ascii="Arial" w:hAnsi="Arial" w:cs="Arial"/>
          <w:b/>
          <w:bCs/>
        </w:rPr>
        <w:t xml:space="preserve"> - Programa de adquisiciones.</w:t>
      </w:r>
    </w:p>
    <w:p w:rsidR="00F757D8" w:rsidP="00F757D8" w:rsidRDefault="00F757D8" w14:paraId="1E3D6B85" w14:textId="77777777">
      <w:pPr>
        <w:rPr>
          <w:rFonts w:ascii="Arial" w:hAnsi="Arial" w:cs="Arial"/>
        </w:rPr>
      </w:pPr>
    </w:p>
    <w:p w:rsidR="00F757D8" w:rsidP="00F757D8" w:rsidRDefault="00F757D8" w14:paraId="35528178" w14:textId="77777777">
      <w:pPr>
        <w:rPr>
          <w:rFonts w:ascii="Arial" w:hAnsi="Arial" w:cs="Arial"/>
        </w:rPr>
      </w:pPr>
    </w:p>
    <w:p w:rsidRPr="006329ED" w:rsidR="00F757D8" w:rsidP="00F757D8" w:rsidRDefault="00F757D8" w14:paraId="393D9C41" w14:textId="77777777">
      <w:pPr>
        <w:rPr>
          <w:rFonts w:ascii="Arial" w:hAnsi="Arial" w:cs="Arial"/>
          <w:sz w:val="24"/>
        </w:rPr>
      </w:pPr>
      <w:r w:rsidRPr="006329ED">
        <w:rPr>
          <w:rFonts w:ascii="Arial" w:hAnsi="Arial" w:cs="Arial"/>
          <w:sz w:val="24"/>
        </w:rPr>
        <w:t>Estimad</w:t>
      </w:r>
      <w:r>
        <w:rPr>
          <w:rFonts w:ascii="Arial" w:hAnsi="Arial" w:cs="Arial"/>
          <w:sz w:val="24"/>
        </w:rPr>
        <w:t>o</w:t>
      </w:r>
      <w:r w:rsidRPr="006329ED">
        <w:rPr>
          <w:rFonts w:ascii="Arial" w:hAnsi="Arial" w:cs="Arial"/>
          <w:sz w:val="24"/>
        </w:rPr>
        <w:t xml:space="preserve"> señor:</w:t>
      </w:r>
    </w:p>
    <w:p w:rsidRPr="006329ED" w:rsidR="00F757D8" w:rsidP="00F757D8" w:rsidRDefault="00F757D8" w14:paraId="0BA04448" w14:textId="77777777">
      <w:pPr>
        <w:rPr>
          <w:rFonts w:ascii="Arial" w:hAnsi="Arial" w:cs="Arial"/>
          <w:sz w:val="24"/>
        </w:rPr>
      </w:pPr>
    </w:p>
    <w:p w:rsidRPr="00887A01" w:rsidR="00F757D8" w:rsidP="00F757D8" w:rsidRDefault="00F757D8" w14:paraId="1E682964" w14:textId="77777777">
      <w:pPr>
        <w:tabs>
          <w:tab w:val="left" w:pos="5505"/>
        </w:tabs>
        <w:rPr>
          <w:rFonts w:ascii="Arial" w:hAnsi="Arial" w:cs="Arial"/>
          <w:sz w:val="24"/>
        </w:rPr>
      </w:pPr>
      <w:r>
        <w:rPr>
          <w:rFonts w:ascii="Arial" w:hAnsi="Arial" w:cs="Arial"/>
          <w:sz w:val="24"/>
        </w:rPr>
        <w:t xml:space="preserve">Este </w:t>
      </w:r>
      <w:r w:rsidRPr="006329ED">
        <w:rPr>
          <w:rFonts w:ascii="Arial" w:hAnsi="Arial" w:cs="Arial"/>
          <w:sz w:val="24"/>
        </w:rPr>
        <w:t>informe contiene los resultados y anexos correspondientes al estudio</w:t>
      </w:r>
      <w:r>
        <w:rPr>
          <w:rFonts w:ascii="Arial" w:hAnsi="Arial" w:cs="Arial"/>
          <w:sz w:val="24"/>
        </w:rPr>
        <w:t xml:space="preserve"> de carácter </w:t>
      </w:r>
      <w:r w:rsidRPr="00674B36">
        <w:rPr>
          <w:rFonts w:ascii="Arial" w:hAnsi="Arial" w:cs="Arial"/>
          <w:sz w:val="24"/>
        </w:rPr>
        <w:t>especial</w:t>
      </w:r>
      <w:r w:rsidRPr="00302922">
        <w:rPr>
          <w:sz w:val="24"/>
          <w:vertAlign w:val="superscript"/>
        </w:rPr>
        <w:footnoteReference w:id="1"/>
      </w:r>
      <w:r w:rsidRPr="00674B36">
        <w:rPr>
          <w:rFonts w:ascii="Arial" w:hAnsi="Arial" w:cs="Arial"/>
          <w:sz w:val="24"/>
        </w:rPr>
        <w:t xml:space="preserve"> mediante el cual esta Auditoría</w:t>
      </w:r>
      <w:r>
        <w:rPr>
          <w:rFonts w:ascii="Arial" w:hAnsi="Arial" w:cs="Arial"/>
          <w:sz w:val="24"/>
        </w:rPr>
        <w:t xml:space="preserve"> Interna</w:t>
      </w:r>
      <w:r w:rsidRPr="00674B36">
        <w:rPr>
          <w:rFonts w:ascii="Arial" w:hAnsi="Arial" w:cs="Arial"/>
          <w:sz w:val="24"/>
        </w:rPr>
        <w:t xml:space="preserve"> evaluó </w:t>
      </w:r>
      <w:r>
        <w:rPr>
          <w:rFonts w:ascii="Arial" w:hAnsi="Arial" w:eastAsia="Arial" w:cs="Arial"/>
          <w:sz w:val="24"/>
        </w:rPr>
        <w:t xml:space="preserve">la eficacia del programa de adquisiciones, en relación con la ejecución presupuestaria, la gestión operativa institucional y el cumplimiento de metas. Estas actividades están bajo la responsabilidad de las áreas ejecutoras del presupuesto; al </w:t>
      </w:r>
      <w:r w:rsidRPr="006A76CB">
        <w:rPr>
          <w:rFonts w:ascii="Arial" w:hAnsi="Arial" w:cs="Arial"/>
          <w:sz w:val="24"/>
        </w:rPr>
        <w:t xml:space="preserve">Departamento Proveeduría, de la División Servicios Compartidos, </w:t>
      </w:r>
      <w:r w:rsidRPr="00887A01">
        <w:rPr>
          <w:rFonts w:ascii="Arial" w:hAnsi="Arial" w:cs="Arial"/>
          <w:sz w:val="24"/>
        </w:rPr>
        <w:t>se l</w:t>
      </w:r>
      <w:r>
        <w:rPr>
          <w:rFonts w:ascii="Arial" w:hAnsi="Arial" w:cs="Arial"/>
          <w:sz w:val="24"/>
        </w:rPr>
        <w:t>a han asignado actividades previas para la formulación del programa, así como su análisis y preparación para publicación</w:t>
      </w:r>
      <w:r w:rsidRPr="00887A01">
        <w:rPr>
          <w:rFonts w:ascii="Arial" w:hAnsi="Arial" w:cs="Arial"/>
          <w:sz w:val="24"/>
        </w:rPr>
        <w:t>.</w:t>
      </w:r>
    </w:p>
    <w:p w:rsidR="00F757D8" w:rsidP="00F757D8" w:rsidRDefault="00F757D8" w14:paraId="1D08B3C0" w14:textId="77777777">
      <w:pPr>
        <w:tabs>
          <w:tab w:val="left" w:pos="5505"/>
        </w:tabs>
        <w:rPr>
          <w:rFonts w:ascii="Arial" w:hAnsi="Arial" w:cs="Arial"/>
          <w:sz w:val="24"/>
        </w:rPr>
      </w:pPr>
    </w:p>
    <w:p w:rsidRPr="00000B04" w:rsidR="00F757D8" w:rsidP="00F757D8" w:rsidRDefault="00F757D8" w14:paraId="71E49F18" w14:textId="77777777">
      <w:pPr>
        <w:rPr>
          <w:rFonts w:ascii="Arial" w:hAnsi="Arial" w:cs="Arial"/>
          <w:strike/>
          <w:sz w:val="24"/>
        </w:rPr>
      </w:pPr>
      <w:r w:rsidRPr="006329ED">
        <w:rPr>
          <w:rFonts w:ascii="Arial" w:hAnsi="Arial" w:cs="Arial"/>
          <w:sz w:val="24"/>
        </w:rPr>
        <w:t xml:space="preserve">El alcance del estudio </w:t>
      </w:r>
      <w:r>
        <w:rPr>
          <w:rFonts w:ascii="Arial" w:hAnsi="Arial" w:cs="Arial"/>
          <w:sz w:val="24"/>
        </w:rPr>
        <w:t>incluyó</w:t>
      </w:r>
      <w:r w:rsidRPr="006329ED">
        <w:rPr>
          <w:rFonts w:ascii="Arial" w:hAnsi="Arial" w:cs="Arial"/>
          <w:sz w:val="24"/>
        </w:rPr>
        <w:t xml:space="preserve"> </w:t>
      </w:r>
      <w:r w:rsidRPr="007F6D8D">
        <w:rPr>
          <w:rFonts w:ascii="Arial" w:hAnsi="Arial" w:cs="Arial"/>
          <w:sz w:val="24"/>
        </w:rPr>
        <w:t>el análisis de una muestra de 48 compras</w:t>
      </w:r>
      <w:r w:rsidRPr="002732DD">
        <w:rPr>
          <w:rFonts w:ascii="Arial" w:hAnsi="Arial" w:cs="Arial"/>
          <w:sz w:val="24"/>
        </w:rPr>
        <w:t xml:space="preserve"> </w:t>
      </w:r>
      <w:r w:rsidRPr="007F6D8D">
        <w:rPr>
          <w:rFonts w:ascii="Arial" w:hAnsi="Arial" w:cs="Arial"/>
          <w:sz w:val="24"/>
        </w:rPr>
        <w:t>planificadas</w:t>
      </w:r>
      <w:r w:rsidRPr="0026257F">
        <w:rPr>
          <w:sz w:val="24"/>
          <w:vertAlign w:val="superscript"/>
        </w:rPr>
        <w:t xml:space="preserve"> </w:t>
      </w:r>
      <w:r w:rsidRPr="0026257F">
        <w:rPr>
          <w:sz w:val="24"/>
          <w:vertAlign w:val="superscript"/>
        </w:rPr>
        <w:footnoteReference w:id="2"/>
      </w:r>
      <w:r w:rsidRPr="007F6D8D">
        <w:rPr>
          <w:rFonts w:ascii="Arial" w:hAnsi="Arial" w:cs="Arial"/>
          <w:sz w:val="24"/>
        </w:rPr>
        <w:t xml:space="preserve"> en el </w:t>
      </w:r>
      <w:r>
        <w:rPr>
          <w:rFonts w:ascii="Arial" w:hAnsi="Arial" w:cs="Arial"/>
          <w:sz w:val="24"/>
        </w:rPr>
        <w:t>Programa</w:t>
      </w:r>
      <w:r w:rsidRPr="007F6D8D">
        <w:rPr>
          <w:rFonts w:ascii="Arial" w:hAnsi="Arial" w:cs="Arial"/>
          <w:sz w:val="24"/>
        </w:rPr>
        <w:t xml:space="preserve"> de Adquisiciones</w:t>
      </w:r>
      <w:r>
        <w:rPr>
          <w:rFonts w:ascii="Arial" w:hAnsi="Arial" w:cs="Arial"/>
          <w:sz w:val="24"/>
        </w:rPr>
        <w:t xml:space="preserve"> 2025</w:t>
      </w:r>
      <w:r w:rsidRPr="007F6D8D">
        <w:rPr>
          <w:rFonts w:ascii="Arial" w:hAnsi="Arial" w:cs="Arial"/>
          <w:sz w:val="24"/>
        </w:rPr>
        <w:t xml:space="preserve">, </w:t>
      </w:r>
      <w:r w:rsidRPr="001B01FC">
        <w:rPr>
          <w:rFonts w:ascii="Arial" w:hAnsi="Arial" w:cs="Arial"/>
          <w:sz w:val="24"/>
        </w:rPr>
        <w:t>correspondientes al período comprendido entre enero y junio de 2025.</w:t>
      </w:r>
      <w:r w:rsidRPr="006329ED">
        <w:rPr>
          <w:rFonts w:ascii="Arial" w:hAnsi="Arial" w:cs="Arial"/>
          <w:sz w:val="24"/>
        </w:rPr>
        <w:t xml:space="preserve"> </w:t>
      </w:r>
    </w:p>
    <w:p w:rsidR="00F757D8" w:rsidP="00F757D8" w:rsidRDefault="00F757D8" w14:paraId="6AB84D75" w14:textId="77777777">
      <w:pPr>
        <w:contextualSpacing/>
        <w:rPr>
          <w:rFonts w:ascii="Arial" w:hAnsi="Arial" w:cs="Arial"/>
          <w:sz w:val="24"/>
        </w:rPr>
      </w:pPr>
    </w:p>
    <w:p w:rsidRPr="00E80175" w:rsidR="00F757D8" w:rsidP="00F757D8" w:rsidRDefault="00F757D8" w14:paraId="3B807784" w14:textId="77777777">
      <w:pPr>
        <w:pStyle w:val="Negrita"/>
        <w:rPr>
          <w:rFonts w:ascii="Arial" w:hAnsi="Arial" w:cs="Arial"/>
          <w:sz w:val="24"/>
        </w:rPr>
      </w:pPr>
      <w:r>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6329ED" w:rsidR="00F757D8" w:rsidP="00F757D8" w:rsidRDefault="00F757D8" w14:paraId="4A75E004" w14:textId="77777777">
      <w:pPr>
        <w:contextualSpacing/>
        <w:rPr>
          <w:rFonts w:ascii="Arial" w:hAnsi="Arial" w:cs="Arial"/>
          <w:sz w:val="24"/>
        </w:rPr>
      </w:pPr>
    </w:p>
    <w:p w:rsidRPr="006329ED" w:rsidR="00F757D8" w:rsidP="00F757D8" w:rsidRDefault="00F757D8" w14:paraId="271FC3DC" w14:textId="77777777">
      <w:pPr>
        <w:widowControl w:val="0"/>
        <w:rPr>
          <w:rFonts w:ascii="Arial" w:hAnsi="Arial" w:cs="Arial"/>
          <w:sz w:val="24"/>
        </w:rPr>
      </w:pPr>
    </w:p>
    <w:p w:rsidRPr="006329ED" w:rsidR="00F757D8" w:rsidP="00F757D8" w:rsidRDefault="00F757D8" w14:paraId="08A99090" w14:textId="77777777">
      <w:pPr>
        <w:pStyle w:val="Ttulo1"/>
        <w:numPr>
          <w:ilvl w:val="0"/>
          <w:numId w:val="13"/>
        </w:numPr>
        <w:spacing w:before="0" w:after="0"/>
        <w:ind w:left="567" w:right="-340"/>
        <w:jc w:val="both"/>
        <w:rPr>
          <w:bCs w:val="0"/>
          <w:color w:val="1C4063" w:themeColor="accent1" w:themeShade="80"/>
          <w:kern w:val="0"/>
          <w:sz w:val="28"/>
          <w:szCs w:val="28"/>
          <w:lang w:val="es-CR" w:eastAsia="es-CR"/>
        </w:rPr>
      </w:pPr>
      <w:r w:rsidRPr="006329ED">
        <w:rPr>
          <w:bCs w:val="0"/>
          <w:color w:val="1C4063" w:themeColor="accent1" w:themeShade="80"/>
          <w:kern w:val="0"/>
          <w:sz w:val="28"/>
          <w:szCs w:val="28"/>
          <w:lang w:val="es-CR" w:eastAsia="es-CR"/>
        </w:rPr>
        <w:t>GENERALIDADES</w:t>
      </w:r>
    </w:p>
    <w:p w:rsidRPr="006329ED" w:rsidR="00F757D8" w:rsidP="00F757D8" w:rsidRDefault="00F757D8" w14:paraId="6C1B9C48" w14:textId="77777777">
      <w:pPr>
        <w:ind w:left="513"/>
        <w:contextualSpacing/>
        <w:rPr>
          <w:rFonts w:ascii="Arial" w:hAnsi="Arial" w:cs="Arial"/>
          <w:szCs w:val="22"/>
          <w:highlight w:val="yellow"/>
        </w:rPr>
      </w:pPr>
    </w:p>
    <w:p w:rsidR="00F757D8" w:rsidP="00F757D8" w:rsidRDefault="00F757D8" w14:paraId="7A476A4B" w14:textId="77777777">
      <w:pPr>
        <w:pStyle w:val="Prrafodelista"/>
        <w:ind w:left="0"/>
        <w:rPr>
          <w:rFonts w:ascii="Arial" w:hAnsi="Arial" w:cs="Arial"/>
          <w:sz w:val="24"/>
        </w:rPr>
      </w:pPr>
      <w:r w:rsidRPr="00D20BFB">
        <w:rPr>
          <w:rFonts w:ascii="Arial" w:hAnsi="Arial" w:cs="Arial"/>
          <w:sz w:val="24"/>
        </w:rPr>
        <w:t xml:space="preserve">El </w:t>
      </w:r>
      <w:r>
        <w:rPr>
          <w:rFonts w:ascii="Arial" w:hAnsi="Arial" w:cs="Arial"/>
          <w:sz w:val="24"/>
        </w:rPr>
        <w:t>Programa</w:t>
      </w:r>
      <w:r w:rsidRPr="00D20BFB">
        <w:rPr>
          <w:rFonts w:ascii="Arial" w:hAnsi="Arial" w:cs="Arial"/>
          <w:sz w:val="24"/>
        </w:rPr>
        <w:t xml:space="preserve"> de Adquisiciones se elabora con el objetivo de organizar y garantizar la provisión oportuna de los bienes</w:t>
      </w:r>
      <w:r>
        <w:rPr>
          <w:rFonts w:ascii="Arial" w:hAnsi="Arial" w:cs="Arial"/>
          <w:sz w:val="24"/>
        </w:rPr>
        <w:t>, obras</w:t>
      </w:r>
      <w:r w:rsidRPr="00D20BFB">
        <w:rPr>
          <w:rFonts w:ascii="Arial" w:hAnsi="Arial" w:cs="Arial"/>
          <w:sz w:val="24"/>
        </w:rPr>
        <w:t xml:space="preserve"> y servicios necesarios para </w:t>
      </w:r>
      <w:r>
        <w:rPr>
          <w:rFonts w:ascii="Arial" w:hAnsi="Arial" w:cs="Arial"/>
          <w:sz w:val="24"/>
        </w:rPr>
        <w:t>cumplir con los objetivos institucionales</w:t>
      </w:r>
      <w:r w:rsidRPr="00D20BFB">
        <w:rPr>
          <w:rFonts w:ascii="Arial" w:hAnsi="Arial" w:cs="Arial"/>
          <w:sz w:val="24"/>
        </w:rPr>
        <w:t>. Asimismo, contribuye a que las compras se realicen de manera eficiente, transparente y en cumplimiento de la normativa aplicable</w:t>
      </w:r>
      <w:r>
        <w:rPr>
          <w:rFonts w:ascii="Arial" w:hAnsi="Arial" w:cs="Arial"/>
          <w:sz w:val="24"/>
        </w:rPr>
        <w:t>.</w:t>
      </w:r>
    </w:p>
    <w:p w:rsidR="00F757D8" w:rsidP="00F757D8" w:rsidRDefault="00F757D8" w14:paraId="20C5AE11" w14:textId="77777777">
      <w:pPr>
        <w:pStyle w:val="Prrafodelista"/>
        <w:ind w:left="0"/>
        <w:rPr>
          <w:rFonts w:ascii="Arial" w:hAnsi="Arial" w:cs="Arial"/>
          <w:sz w:val="24"/>
        </w:rPr>
      </w:pPr>
      <w:r w:rsidRPr="00D20BFB">
        <w:rPr>
          <w:rFonts w:ascii="Arial" w:hAnsi="Arial" w:cs="Arial"/>
          <w:sz w:val="24"/>
        </w:rPr>
        <w:lastRenderedPageBreak/>
        <w:t xml:space="preserve">El Banco Central de Costa Rica </w:t>
      </w:r>
      <w:r>
        <w:rPr>
          <w:rFonts w:ascii="Arial" w:hAnsi="Arial" w:cs="Arial"/>
          <w:sz w:val="24"/>
        </w:rPr>
        <w:t xml:space="preserve">publicó </w:t>
      </w:r>
      <w:r w:rsidRPr="00D20BFB">
        <w:rPr>
          <w:rFonts w:ascii="Arial" w:hAnsi="Arial" w:cs="Arial"/>
          <w:sz w:val="24"/>
        </w:rPr>
        <w:t xml:space="preserve">el 17 de enero de 2025 el </w:t>
      </w:r>
      <w:r>
        <w:rPr>
          <w:rFonts w:ascii="Arial" w:hAnsi="Arial" w:cs="Arial"/>
          <w:sz w:val="24"/>
        </w:rPr>
        <w:t>Programa</w:t>
      </w:r>
      <w:r w:rsidRPr="00D20BFB">
        <w:rPr>
          <w:rFonts w:ascii="Arial" w:hAnsi="Arial" w:cs="Arial"/>
          <w:sz w:val="24"/>
        </w:rPr>
        <w:t xml:space="preserve"> de Adquisiciones en el </w:t>
      </w:r>
      <w:r w:rsidRPr="00E62E78">
        <w:rPr>
          <w:rFonts w:ascii="Arial" w:hAnsi="Arial" w:cs="Arial"/>
          <w:sz w:val="24"/>
        </w:rPr>
        <w:t>Sistema Integrado de Compras Públicas (SICOP)</w:t>
      </w:r>
      <w:r>
        <w:rPr>
          <w:rStyle w:val="Refdenotaalpie"/>
          <w:rFonts w:ascii="Arial" w:hAnsi="Arial" w:cs="Arial"/>
          <w:sz w:val="24"/>
        </w:rPr>
        <w:footnoteReference w:id="3"/>
      </w:r>
      <w:r w:rsidRPr="00D20BFB">
        <w:rPr>
          <w:rFonts w:ascii="Arial" w:hAnsi="Arial" w:cs="Arial"/>
          <w:sz w:val="24"/>
        </w:rPr>
        <w:t>, conforme a lo establecido en la Ley General de Contratación Pública y su Reglamento.</w:t>
      </w:r>
    </w:p>
    <w:p w:rsidR="00F757D8" w:rsidP="00F757D8" w:rsidRDefault="00F757D8" w14:paraId="5AB38E87" w14:textId="77777777">
      <w:pPr>
        <w:pStyle w:val="Prrafodelista"/>
        <w:ind w:left="0"/>
        <w:rPr>
          <w:rFonts w:ascii="Arial" w:hAnsi="Arial" w:cs="Arial"/>
          <w:sz w:val="24"/>
        </w:rPr>
      </w:pPr>
    </w:p>
    <w:p w:rsidRPr="00D20BFB" w:rsidR="00F757D8" w:rsidP="00F757D8" w:rsidRDefault="00F757D8" w14:paraId="356FAE68" w14:textId="77777777">
      <w:pPr>
        <w:pStyle w:val="Prrafodelista"/>
        <w:ind w:left="0"/>
        <w:rPr>
          <w:rFonts w:ascii="Arial" w:hAnsi="Arial" w:cs="Arial"/>
          <w:sz w:val="24"/>
        </w:rPr>
      </w:pPr>
      <w:r>
        <w:rPr>
          <w:rFonts w:ascii="Arial" w:hAnsi="Arial" w:cs="Arial"/>
          <w:sz w:val="24"/>
        </w:rPr>
        <w:t>Inicialmente el programa</w:t>
      </w:r>
      <w:r w:rsidRPr="00D20BFB">
        <w:rPr>
          <w:rFonts w:ascii="Arial" w:hAnsi="Arial" w:cs="Arial"/>
          <w:sz w:val="24"/>
        </w:rPr>
        <w:t xml:space="preserve"> contempló un total de 376 nuevas adquisiciones de bienes, servicios y obras</w:t>
      </w:r>
      <w:r>
        <w:rPr>
          <w:rFonts w:ascii="Arial" w:hAnsi="Arial" w:cs="Arial"/>
          <w:sz w:val="24"/>
        </w:rPr>
        <w:t xml:space="preserve">; y, </w:t>
      </w:r>
      <w:r w:rsidRPr="00D20BFB">
        <w:rPr>
          <w:rFonts w:ascii="Arial" w:hAnsi="Arial" w:cs="Arial"/>
          <w:sz w:val="24"/>
        </w:rPr>
        <w:t>en abril</w:t>
      </w:r>
      <w:r>
        <w:rPr>
          <w:rFonts w:ascii="Arial" w:hAnsi="Arial" w:cs="Arial"/>
          <w:sz w:val="24"/>
        </w:rPr>
        <w:t xml:space="preserve"> 2025</w:t>
      </w:r>
      <w:r w:rsidRPr="00D20BFB">
        <w:rPr>
          <w:rFonts w:ascii="Arial" w:hAnsi="Arial" w:cs="Arial"/>
          <w:sz w:val="24"/>
        </w:rPr>
        <w:t xml:space="preserve">, se </w:t>
      </w:r>
      <w:r>
        <w:rPr>
          <w:rFonts w:ascii="Arial" w:hAnsi="Arial" w:cs="Arial"/>
          <w:sz w:val="24"/>
        </w:rPr>
        <w:t xml:space="preserve">incorporaron </w:t>
      </w:r>
      <w:r w:rsidRPr="00D20BFB">
        <w:rPr>
          <w:rFonts w:ascii="Arial" w:hAnsi="Arial" w:cs="Arial"/>
          <w:sz w:val="24"/>
        </w:rPr>
        <w:t>cuatro compras</w:t>
      </w:r>
      <w:r>
        <w:rPr>
          <w:rFonts w:ascii="Arial" w:hAnsi="Arial" w:cs="Arial"/>
          <w:sz w:val="24"/>
        </w:rPr>
        <w:t xml:space="preserve"> </w:t>
      </w:r>
      <w:r w:rsidRPr="00D20BFB">
        <w:rPr>
          <w:rFonts w:ascii="Arial" w:hAnsi="Arial" w:cs="Arial"/>
          <w:sz w:val="24"/>
        </w:rPr>
        <w:t>adicionales</w:t>
      </w:r>
      <w:r w:rsidRPr="00580FDA">
        <w:rPr>
          <w:rFonts w:ascii="Arial" w:hAnsi="Arial" w:cs="Arial"/>
          <w:sz w:val="24"/>
        </w:rPr>
        <w:t xml:space="preserve">. </w:t>
      </w:r>
      <w:r w:rsidRPr="003D08C0">
        <w:rPr>
          <w:rFonts w:ascii="Arial" w:hAnsi="Arial" w:cs="Arial"/>
          <w:sz w:val="24"/>
        </w:rPr>
        <w:t>Según lo aclarado por el Departamento de Proveeduría durante la conferencia técnica, estas adquisiciones fueron el resultado de una modificación presupuestaria gestionada en ese período.</w:t>
      </w:r>
    </w:p>
    <w:p w:rsidRPr="00D20BFB" w:rsidR="00F757D8" w:rsidP="00F757D8" w:rsidRDefault="00F757D8" w14:paraId="18828BB3" w14:textId="77777777">
      <w:pPr>
        <w:pStyle w:val="Prrafodelista"/>
        <w:ind w:left="513"/>
        <w:rPr>
          <w:rFonts w:ascii="Arial" w:hAnsi="Arial" w:cs="Arial"/>
          <w:szCs w:val="22"/>
        </w:rPr>
      </w:pPr>
    </w:p>
    <w:p w:rsidRPr="006329ED" w:rsidR="00F757D8" w:rsidP="00F757D8" w:rsidRDefault="00F757D8" w14:paraId="6336032E" w14:textId="77777777">
      <w:pPr>
        <w:pStyle w:val="Prrafodelista"/>
        <w:ind w:left="513"/>
        <w:rPr>
          <w:rFonts w:ascii="Arial" w:hAnsi="Arial" w:cs="Arial"/>
          <w:szCs w:val="22"/>
          <w:lang w:val="es-CR"/>
        </w:rPr>
      </w:pPr>
    </w:p>
    <w:p w:rsidRPr="006329ED" w:rsidR="00F757D8" w:rsidP="00F757D8" w:rsidRDefault="00F757D8" w14:paraId="2A24DB8C" w14:textId="77777777">
      <w:pPr>
        <w:pStyle w:val="Ttulo1"/>
        <w:numPr>
          <w:ilvl w:val="0"/>
          <w:numId w:val="13"/>
        </w:numPr>
        <w:spacing w:before="0" w:after="0"/>
        <w:ind w:left="567" w:right="-340"/>
        <w:jc w:val="both"/>
        <w:rPr>
          <w:bCs w:val="0"/>
          <w:color w:val="1C4063" w:themeColor="accent1" w:themeShade="80"/>
          <w:kern w:val="0"/>
          <w:sz w:val="28"/>
          <w:szCs w:val="28"/>
          <w:lang w:val="es-CR" w:eastAsia="es-CR"/>
        </w:rPr>
      </w:pPr>
      <w:r w:rsidRPr="006329ED">
        <w:rPr>
          <w:bCs w:val="0"/>
          <w:color w:val="1C4063" w:themeColor="accent1" w:themeShade="80"/>
          <w:kern w:val="0"/>
          <w:sz w:val="28"/>
          <w:szCs w:val="28"/>
          <w:lang w:val="es-CR" w:eastAsia="es-CR"/>
        </w:rPr>
        <w:t>RESUMEN DE RESULTADOS</w:t>
      </w:r>
    </w:p>
    <w:p w:rsidRPr="006329ED" w:rsidR="00F757D8" w:rsidP="00F757D8" w:rsidRDefault="00F757D8" w14:paraId="6307498C" w14:textId="77777777">
      <w:pPr>
        <w:pStyle w:val="Prrafodelista"/>
        <w:ind w:left="513"/>
        <w:rPr>
          <w:rFonts w:ascii="Arial" w:hAnsi="Arial" w:cs="Arial"/>
          <w:szCs w:val="22"/>
          <w:lang w:val="es-CR"/>
        </w:rPr>
      </w:pPr>
    </w:p>
    <w:p w:rsidRPr="00312D31" w:rsidR="00F757D8" w:rsidP="00F757D8" w:rsidRDefault="00F757D8" w14:paraId="299D68D6" w14:textId="77777777">
      <w:pPr>
        <w:rPr>
          <w:rFonts w:ascii="Arial" w:hAnsi="Arial" w:cs="Arial"/>
          <w:sz w:val="24"/>
        </w:rPr>
      </w:pPr>
      <w:bookmarkStart w:name="_Hlk175148887" w:id="0"/>
      <w:r w:rsidRPr="00312D31">
        <w:rPr>
          <w:rFonts w:ascii="Arial" w:hAnsi="Arial" w:cs="Arial"/>
          <w:sz w:val="24"/>
        </w:rPr>
        <w:t xml:space="preserve">Los resultados de esta evaluación se obtuvieron del análisis de una muestra de 48 compras seleccionadas del Programa de Adquisiciones 2025 (ver </w:t>
      </w:r>
      <w:hyperlink w:history="1" w:anchor="Anexo1">
        <w:r w:rsidRPr="00312D31">
          <w:rPr>
            <w:rStyle w:val="Hipervnculo"/>
            <w:rFonts w:ascii="Arial" w:hAnsi="Arial" w:cs="Arial"/>
            <w:sz w:val="24"/>
          </w:rPr>
          <w:t>anexo 1</w:t>
        </w:r>
      </w:hyperlink>
      <w:r w:rsidRPr="00312D31">
        <w:rPr>
          <w:rFonts w:ascii="Arial" w:hAnsi="Arial" w:cs="Arial"/>
          <w:sz w:val="24"/>
        </w:rPr>
        <w:t>), así como de la información proporcionada por los Administradores de Formulación</w:t>
      </w:r>
      <w:r w:rsidRPr="00312D31">
        <w:rPr>
          <w:rStyle w:val="Refdenotaalpie"/>
          <w:rFonts w:ascii="Arial" w:hAnsi="Arial" w:cs="Arial"/>
          <w:sz w:val="24"/>
        </w:rPr>
        <w:footnoteReference w:id="4"/>
      </w:r>
      <w:r w:rsidRPr="00312D31">
        <w:rPr>
          <w:rFonts w:ascii="Arial" w:hAnsi="Arial" w:cs="Arial"/>
          <w:sz w:val="24"/>
        </w:rPr>
        <w:t>, cuyos detalles se presentan a continuación:</w:t>
      </w:r>
    </w:p>
    <w:p w:rsidR="00F757D8" w:rsidP="00F757D8" w:rsidRDefault="00F757D8" w14:paraId="16CB9F94" w14:textId="77777777">
      <w:pPr>
        <w:rPr>
          <w:rFonts w:ascii="Arial" w:hAnsi="Arial" w:cs="Arial"/>
        </w:rPr>
      </w:pPr>
    </w:p>
    <w:p w:rsidR="00F757D8" w:rsidP="00F757D8" w:rsidRDefault="00F757D8" w14:paraId="1CB5AF55" w14:textId="77777777">
      <w:pPr>
        <w:pStyle w:val="Prrafodelista"/>
        <w:numPr>
          <w:ilvl w:val="0"/>
          <w:numId w:val="14"/>
        </w:numPr>
        <w:spacing w:after="160" w:line="259" w:lineRule="auto"/>
        <w:rPr>
          <w:rFonts w:ascii="Arial" w:hAnsi="Arial" w:cs="Arial"/>
          <w:sz w:val="24"/>
        </w:rPr>
      </w:pPr>
      <w:r w:rsidRPr="000A0BAF">
        <w:rPr>
          <w:rFonts w:ascii="Arial" w:hAnsi="Arial" w:cs="Arial"/>
          <w:sz w:val="24"/>
        </w:rPr>
        <w:t>Se verificó la adjudicación entre marzo y agosto de siete compras (14,58%), mediante dos licitaciones menores, dos licitaciones mayores y una compra tramitada por caja chica.</w:t>
      </w:r>
    </w:p>
    <w:p w:rsidRPr="00B01919" w:rsidR="00F757D8" w:rsidP="00F757D8" w:rsidRDefault="00F757D8" w14:paraId="01141D0F" w14:textId="77777777">
      <w:pPr>
        <w:pStyle w:val="Prrafodelista"/>
        <w:numPr>
          <w:ilvl w:val="0"/>
          <w:numId w:val="14"/>
        </w:numPr>
        <w:spacing w:after="160" w:line="259" w:lineRule="auto"/>
        <w:rPr>
          <w:rFonts w:ascii="Arial" w:hAnsi="Arial" w:cs="Arial"/>
          <w:sz w:val="24"/>
        </w:rPr>
      </w:pPr>
      <w:r>
        <w:rPr>
          <w:rFonts w:ascii="Arial" w:hAnsi="Arial" w:cs="Arial"/>
          <w:sz w:val="24"/>
        </w:rPr>
        <w:t>Al cierre del primer semestre, s</w:t>
      </w:r>
      <w:r w:rsidRPr="00B01919">
        <w:rPr>
          <w:rFonts w:ascii="Arial" w:hAnsi="Arial" w:cs="Arial"/>
          <w:sz w:val="24"/>
        </w:rPr>
        <w:t xml:space="preserve">e validó que veinticinco compras (52,08%) se encontraban en fases iniciales, tales como: realización de estudios de mercado, la definición de los requisitos del pliego de condiciones o el inicio de la documentación relacionada con las decisiones iniciales. </w:t>
      </w:r>
      <w:r w:rsidRPr="00B01919">
        <w:rPr>
          <w:rFonts w:ascii="Arial" w:hAnsi="Arial" w:eastAsia="Calibri" w:cs="Arial"/>
          <w:sz w:val="24"/>
          <w:lang w:val="es-CR"/>
        </w:rPr>
        <w:t>Los montos presupuestados para estas compras oscilan entre los ₡50 mil y los ₡964 millones.</w:t>
      </w:r>
      <w:r w:rsidRPr="00B01919">
        <w:rPr>
          <w:rFonts w:ascii="Arial" w:hAnsi="Arial" w:eastAsia="Calibri" w:cs="Arial"/>
          <w:sz w:val="24"/>
        </w:rPr>
        <w:t xml:space="preserve"> </w:t>
      </w:r>
      <w:r>
        <w:rPr>
          <w:rFonts w:ascii="Arial" w:hAnsi="Arial" w:eastAsia="Calibri" w:cs="Arial"/>
          <w:sz w:val="24"/>
        </w:rPr>
        <w:t>Estas compras tienen el riesgo de no contratarse</w:t>
      </w:r>
      <w:r w:rsidRPr="00B01919">
        <w:rPr>
          <w:rFonts w:ascii="Arial" w:hAnsi="Arial" w:eastAsia="Calibri" w:cs="Arial"/>
          <w:sz w:val="24"/>
        </w:rPr>
        <w:t xml:space="preserve">, sobre todo para aquellos procedimientos que requieren trámites más prolongados debido a su cuantía. </w:t>
      </w:r>
      <w:r w:rsidRPr="00B01919">
        <w:rPr>
          <w:rFonts w:ascii="Arial" w:hAnsi="Arial" w:eastAsia="Calibri" w:cs="Arial"/>
          <w:sz w:val="24"/>
          <w:lang w:val="es-CR"/>
        </w:rPr>
        <w:t xml:space="preserve"> </w:t>
      </w:r>
    </w:p>
    <w:p w:rsidRPr="000A0BAF" w:rsidR="00F757D8" w:rsidP="00F757D8" w:rsidRDefault="00F757D8" w14:paraId="7BAB7F5E" w14:textId="77777777">
      <w:pPr>
        <w:pStyle w:val="Prrafodelista"/>
        <w:numPr>
          <w:ilvl w:val="0"/>
          <w:numId w:val="14"/>
        </w:numPr>
        <w:spacing w:after="200" w:line="259" w:lineRule="auto"/>
        <w:rPr>
          <w:rFonts w:ascii="Arial" w:hAnsi="Arial" w:cs="Arial"/>
          <w:sz w:val="24"/>
        </w:rPr>
      </w:pPr>
      <w:r w:rsidRPr="000A0BAF">
        <w:rPr>
          <w:rFonts w:ascii="Arial" w:hAnsi="Arial" w:cs="Arial"/>
          <w:sz w:val="24"/>
        </w:rPr>
        <w:t>En siete compras (14,58%) se indicó que fueron suspendidas debido a cambios en las necesidades o realización de pr</w:t>
      </w:r>
      <w:r>
        <w:rPr>
          <w:rFonts w:ascii="Arial" w:hAnsi="Arial" w:cs="Arial"/>
          <w:sz w:val="24"/>
        </w:rPr>
        <w:t>ó</w:t>
      </w:r>
      <w:r w:rsidRPr="000A0BAF">
        <w:rPr>
          <w:rFonts w:ascii="Arial" w:hAnsi="Arial" w:cs="Arial"/>
          <w:sz w:val="24"/>
        </w:rPr>
        <w:t>rrogas a contratos vigentes. En los casos asociados a cambios en las necesidades, no se aportó información que evidencie una evaluación del impacto operativo o de los riesgos derivados de dicha decisión.</w:t>
      </w:r>
      <w:r>
        <w:rPr>
          <w:rFonts w:ascii="Arial" w:hAnsi="Arial" w:cs="Arial"/>
          <w:sz w:val="24"/>
        </w:rPr>
        <w:t xml:space="preserve"> Si bien no existe norma expresa que requiera la documentación de las implicaciones de cambios en el programa inicial de adquisiciones, tal requerimiento se deriva de una aplicación integrada de varias disposiciones relacionadas con Contratación Pública, Gestión Presupuestaria y Control Interno</w:t>
      </w:r>
      <w:r>
        <w:rPr>
          <w:rStyle w:val="Refdenotaalpie"/>
          <w:rFonts w:ascii="Arial" w:hAnsi="Arial" w:cs="Arial"/>
          <w:sz w:val="24"/>
        </w:rPr>
        <w:footnoteReference w:id="5"/>
      </w:r>
      <w:r>
        <w:rPr>
          <w:rFonts w:ascii="Arial" w:hAnsi="Arial" w:cs="Arial"/>
          <w:sz w:val="24"/>
        </w:rPr>
        <w:t>.</w:t>
      </w:r>
    </w:p>
    <w:p w:rsidR="00F757D8" w:rsidP="00F757D8" w:rsidRDefault="00F757D8" w14:paraId="7D423ED1" w14:textId="77777777">
      <w:pPr>
        <w:pStyle w:val="Prrafodelista"/>
        <w:numPr>
          <w:ilvl w:val="0"/>
          <w:numId w:val="14"/>
        </w:numPr>
        <w:spacing w:after="200" w:line="259" w:lineRule="auto"/>
        <w:rPr>
          <w:rFonts w:ascii="Arial" w:hAnsi="Arial" w:cs="Arial"/>
          <w:sz w:val="24"/>
        </w:rPr>
      </w:pPr>
      <w:r w:rsidRPr="000A0BAF">
        <w:rPr>
          <w:rFonts w:ascii="Arial" w:hAnsi="Arial" w:cs="Arial"/>
          <w:sz w:val="24"/>
        </w:rPr>
        <w:lastRenderedPageBreak/>
        <w:t>En nueve casos (18,75%), se comunicó que la gestión de compra sería postergada para iniciar en el segundo semestre de 2025.</w:t>
      </w:r>
    </w:p>
    <w:p w:rsidRPr="00A03B3C" w:rsidR="00F757D8" w:rsidP="00F757D8" w:rsidRDefault="00F757D8" w14:paraId="7170E576" w14:textId="77777777">
      <w:pPr>
        <w:pStyle w:val="NormalWeb"/>
        <w:jc w:val="both"/>
        <w:rPr>
          <w:rFonts w:ascii="Arial" w:hAnsi="Arial" w:cs="Arial"/>
          <w:lang w:val="es-CR" w:eastAsia="en-US"/>
        </w:rPr>
      </w:pPr>
      <w:r w:rsidRPr="00A03B3C">
        <w:rPr>
          <w:rFonts w:ascii="Arial" w:hAnsi="Arial" w:cs="Arial"/>
          <w:lang w:val="es-CR" w:eastAsia="en-US"/>
        </w:rPr>
        <w:t>Lo anterior se debe a que el subproceso "Elaborar Plan de Adquisiciones"</w:t>
      </w:r>
      <w:r>
        <w:rPr>
          <w:rStyle w:val="Refdenotaalpie"/>
          <w:rFonts w:ascii="Arial" w:hAnsi="Arial" w:cs="Arial"/>
          <w:lang w:val="es-CR" w:eastAsia="en-US"/>
        </w:rPr>
        <w:footnoteReference w:id="6"/>
      </w:r>
      <w:r>
        <w:rPr>
          <w:rFonts w:ascii="Arial" w:hAnsi="Arial" w:cs="Arial"/>
          <w:lang w:val="es-CR" w:eastAsia="en-US"/>
        </w:rPr>
        <w:t xml:space="preserve">, vigente al momento de efectuar el estudio de auditoría, </w:t>
      </w:r>
      <w:r w:rsidRPr="00A03B3C">
        <w:rPr>
          <w:rFonts w:ascii="Arial" w:hAnsi="Arial" w:cs="Arial"/>
          <w:lang w:val="es-CR" w:eastAsia="en-US"/>
        </w:rPr>
        <w:t xml:space="preserve">no contempla actividades de control suficientes ni pertinentes que garanticen la elaboración de un </w:t>
      </w:r>
      <w:r>
        <w:rPr>
          <w:rFonts w:ascii="Arial" w:hAnsi="Arial" w:cs="Arial"/>
          <w:lang w:val="es-CR" w:eastAsia="en-US"/>
        </w:rPr>
        <w:t>programa</w:t>
      </w:r>
      <w:r w:rsidRPr="00A03B3C">
        <w:rPr>
          <w:rFonts w:ascii="Arial" w:hAnsi="Arial" w:cs="Arial"/>
          <w:lang w:val="es-CR" w:eastAsia="en-US"/>
        </w:rPr>
        <w:t xml:space="preserve"> útil y eficaz para dirigir y evaluar los procesos de compra. También, carece de actividades específicas para el control y seguimiento de las modificaciones realizadas, así como para </w:t>
      </w:r>
      <w:r>
        <w:rPr>
          <w:rFonts w:ascii="Arial" w:hAnsi="Arial" w:cs="Arial"/>
          <w:lang w:val="es-CR" w:eastAsia="en-US"/>
        </w:rPr>
        <w:t>el análisis de la ejecución final del programa, a fin de identificar oportunidades de mejora en la gestión presupuestaria, en relación con los planes que originan la solicitud de recursos financieros</w:t>
      </w:r>
      <w:r w:rsidRPr="00A03B3C">
        <w:rPr>
          <w:rFonts w:ascii="Arial" w:hAnsi="Arial" w:cs="Arial"/>
          <w:lang w:val="es-CR" w:eastAsia="en-US"/>
        </w:rPr>
        <w:t>.</w:t>
      </w:r>
    </w:p>
    <w:p w:rsidRPr="00A03B3C" w:rsidR="00F757D8" w:rsidP="00F757D8" w:rsidRDefault="00F757D8" w14:paraId="131FE4B8" w14:textId="77777777">
      <w:pPr>
        <w:pStyle w:val="NormalWeb"/>
        <w:jc w:val="both"/>
        <w:rPr>
          <w:rFonts w:ascii="Arial" w:hAnsi="Arial" w:cs="Arial"/>
          <w:lang w:val="es-CR" w:eastAsia="en-US"/>
        </w:rPr>
      </w:pPr>
      <w:r w:rsidRPr="00A03B3C">
        <w:rPr>
          <w:rFonts w:ascii="Arial" w:hAnsi="Arial" w:cs="Arial"/>
          <w:lang w:val="es-CR" w:eastAsia="en-US"/>
        </w:rPr>
        <w:t xml:space="preserve">Esta ausencia de controles limita la utilidad del </w:t>
      </w:r>
      <w:r>
        <w:rPr>
          <w:rFonts w:ascii="Arial" w:hAnsi="Arial" w:cs="Arial"/>
          <w:lang w:val="es-CR" w:eastAsia="en-US"/>
        </w:rPr>
        <w:t>programa</w:t>
      </w:r>
      <w:r w:rsidRPr="00A03B3C">
        <w:rPr>
          <w:rFonts w:ascii="Arial" w:hAnsi="Arial" w:cs="Arial"/>
          <w:lang w:val="es-CR" w:eastAsia="en-US"/>
        </w:rPr>
        <w:t xml:space="preserve"> como herramienta de gestión, para la provisión oportuna y eficiente de bienes</w:t>
      </w:r>
      <w:r>
        <w:rPr>
          <w:rFonts w:ascii="Arial" w:hAnsi="Arial" w:cs="Arial"/>
          <w:lang w:val="es-CR" w:eastAsia="en-US"/>
        </w:rPr>
        <w:t>, obras</w:t>
      </w:r>
      <w:r w:rsidRPr="00A03B3C">
        <w:rPr>
          <w:rFonts w:ascii="Arial" w:hAnsi="Arial" w:cs="Arial"/>
          <w:lang w:val="es-CR" w:eastAsia="en-US"/>
        </w:rPr>
        <w:t xml:space="preserve"> y servicios. Además, puede comprometer el cumplimiento de los objetivos institucionales, afectar el funcionamiento de la entidad y deteriorar su imagen institucional, debido a posibles ineficiencias en el uso de los recursos públicos destinados a satisfacer sus necesidades de bienes</w:t>
      </w:r>
      <w:r>
        <w:rPr>
          <w:rFonts w:ascii="Arial" w:hAnsi="Arial" w:cs="Arial"/>
          <w:lang w:val="es-CR" w:eastAsia="en-US"/>
        </w:rPr>
        <w:t>, obras</w:t>
      </w:r>
      <w:r w:rsidRPr="00A03B3C">
        <w:rPr>
          <w:rFonts w:ascii="Arial" w:hAnsi="Arial" w:cs="Arial"/>
          <w:lang w:val="es-CR" w:eastAsia="en-US"/>
        </w:rPr>
        <w:t xml:space="preserve"> y servicios.</w:t>
      </w:r>
    </w:p>
    <w:p w:rsidRPr="000F2279" w:rsidR="00F757D8" w:rsidP="00F757D8" w:rsidRDefault="00F757D8" w14:paraId="49961C44" w14:textId="77777777">
      <w:pPr>
        <w:widowControl w:val="0"/>
        <w:rPr>
          <w:rFonts w:ascii="Arial" w:hAnsi="Arial" w:cs="Arial"/>
          <w:sz w:val="24"/>
          <w:lang w:val="es-CR"/>
        </w:rPr>
      </w:pPr>
      <w:r w:rsidRPr="00106B33">
        <w:rPr>
          <w:rFonts w:ascii="Arial" w:hAnsi="Arial" w:cs="Arial"/>
          <w:sz w:val="24"/>
          <w:lang w:val="es-CR"/>
        </w:rPr>
        <w:t xml:space="preserve">No se emiten recomendaciones debido a que, en noviembre de 2025, la División Servicios Compartidos atendió la recomendación R.1 del oficio AI-0213-2024, del </w:t>
      </w:r>
      <w:r w:rsidRPr="00106B33">
        <w:rPr>
          <w:rFonts w:ascii="Arial" w:hAnsi="Arial" w:cs="Arial"/>
          <w:sz w:val="24"/>
        </w:rPr>
        <w:lastRenderedPageBreak/>
        <w:t>14 de noviembre de 2024</w:t>
      </w:r>
      <w:r w:rsidRPr="00106B33">
        <w:rPr>
          <w:rFonts w:ascii="Arial" w:hAnsi="Arial" w:cs="Arial"/>
          <w:sz w:val="24"/>
          <w:lang w:val="es-CR"/>
        </w:rPr>
        <w:t>, referida a la mejora de las actividades para la elaboración y modificación del Programa de Adquisiciones; dicha recomendación fue verificada satisfactoriamente por la Auditoría. Adicionalmente, mediante oficio AI-0275-2025, del 21 de noviembre de 2025, se emitió otra recomendación relacionada con el análisis de modificaciones presupuestarias</w:t>
      </w:r>
      <w:r w:rsidRPr="00106B33">
        <w:rPr>
          <w:rStyle w:val="Refdenotaalpie"/>
          <w:rFonts w:ascii="Arial" w:hAnsi="Arial" w:cs="Arial"/>
          <w:sz w:val="24"/>
          <w:lang w:val="es-CR"/>
        </w:rPr>
        <w:footnoteReference w:id="7"/>
      </w:r>
      <w:r w:rsidRPr="00106B33">
        <w:rPr>
          <w:rFonts w:ascii="Arial" w:hAnsi="Arial" w:cs="Arial"/>
          <w:sz w:val="24"/>
          <w:lang w:val="es-CR"/>
        </w:rPr>
        <w:t xml:space="preserve">, cuyo objetivo es mejorar el control sobre las modificaciones presupuestarias; esta recomendación complementará las actividades de control del subproceso Elaborar Programa de Adquisiciones, de modo que el resultado conjunto de ambas recomendaciones vendría a subsanar las situaciones comentadas. </w:t>
      </w:r>
    </w:p>
    <w:p w:rsidRPr="000A0BAF" w:rsidR="00F757D8" w:rsidP="00F757D8" w:rsidRDefault="00F757D8" w14:paraId="1EC74A1A" w14:textId="77777777">
      <w:pPr>
        <w:pStyle w:val="Prrafodelista"/>
        <w:spacing w:after="240"/>
        <w:ind w:left="1080"/>
        <w:rPr>
          <w:rFonts w:ascii="Arial" w:hAnsi="Arial" w:eastAsia="Calibri" w:cs="Arial"/>
          <w:sz w:val="24"/>
          <w:lang w:val="es-CR"/>
        </w:rPr>
      </w:pPr>
    </w:p>
    <w:p w:rsidRPr="006329ED" w:rsidR="00F757D8" w:rsidP="00F757D8" w:rsidRDefault="00F757D8" w14:paraId="5E72826A" w14:textId="77777777">
      <w:pPr>
        <w:pStyle w:val="Ttulo1"/>
        <w:numPr>
          <w:ilvl w:val="0"/>
          <w:numId w:val="13"/>
        </w:numPr>
        <w:spacing w:before="0" w:after="0"/>
        <w:ind w:left="567" w:right="-340"/>
        <w:jc w:val="both"/>
        <w:rPr>
          <w:bCs w:val="0"/>
          <w:color w:val="1C4063" w:themeColor="accent1" w:themeShade="80"/>
          <w:kern w:val="0"/>
          <w:sz w:val="28"/>
          <w:szCs w:val="28"/>
          <w:lang w:val="es-CR" w:eastAsia="es-CR"/>
        </w:rPr>
      </w:pPr>
      <w:r>
        <w:rPr>
          <w:bCs w:val="0"/>
          <w:color w:val="1C4063" w:themeColor="accent1" w:themeShade="80"/>
          <w:kern w:val="0"/>
          <w:sz w:val="28"/>
          <w:szCs w:val="28"/>
          <w:lang w:val="es-CR" w:eastAsia="es-CR"/>
        </w:rPr>
        <w:t>CONCLUSIÓN</w:t>
      </w:r>
    </w:p>
    <w:p w:rsidRPr="00A03B3C" w:rsidR="00F757D8" w:rsidP="00F757D8" w:rsidRDefault="00F757D8" w14:paraId="6A01F479" w14:textId="77777777">
      <w:pPr>
        <w:rPr>
          <w:rFonts w:ascii="Arial" w:hAnsi="Arial" w:cs="Arial"/>
          <w:sz w:val="24"/>
        </w:rPr>
      </w:pPr>
    </w:p>
    <w:p w:rsidR="00F757D8" w:rsidP="00F757D8" w:rsidRDefault="00F757D8" w14:paraId="680CA93C" w14:textId="77777777">
      <w:pPr>
        <w:widowControl w:val="0"/>
        <w:rPr>
          <w:rFonts w:ascii="Arial" w:hAnsi="Arial" w:cs="Arial"/>
          <w:sz w:val="24"/>
          <w:lang w:val="es-CR"/>
        </w:rPr>
      </w:pPr>
      <w:bookmarkStart w:name="_Hlk180161222" w:id="1"/>
      <w:r w:rsidRPr="00A03B3C">
        <w:rPr>
          <w:rFonts w:ascii="Arial" w:hAnsi="Arial" w:cs="Arial"/>
          <w:sz w:val="24"/>
          <w:lang w:val="es-CR"/>
        </w:rPr>
        <w:t xml:space="preserve">Los resultados obtenidos permiten concluir que el </w:t>
      </w:r>
      <w:r>
        <w:rPr>
          <w:rFonts w:ascii="Arial" w:hAnsi="Arial" w:cs="Arial"/>
          <w:sz w:val="24"/>
          <w:lang w:val="es-CR"/>
        </w:rPr>
        <w:t>Plan</w:t>
      </w:r>
      <w:r w:rsidRPr="00A03B3C">
        <w:rPr>
          <w:rFonts w:ascii="Arial" w:hAnsi="Arial" w:cs="Arial"/>
          <w:sz w:val="24"/>
          <w:lang w:val="es-CR"/>
        </w:rPr>
        <w:t xml:space="preserve"> de Adquisiciones</w:t>
      </w:r>
      <w:r>
        <w:rPr>
          <w:rFonts w:ascii="Arial" w:hAnsi="Arial" w:cs="Arial"/>
          <w:sz w:val="24"/>
          <w:lang w:val="es-CR"/>
        </w:rPr>
        <w:t xml:space="preserve"> 2025 </w:t>
      </w:r>
      <w:r w:rsidRPr="00A03B3C">
        <w:rPr>
          <w:rFonts w:ascii="Arial" w:hAnsi="Arial" w:cs="Arial"/>
          <w:b/>
          <w:bCs/>
          <w:sz w:val="24"/>
          <w:lang w:val="es-CR"/>
        </w:rPr>
        <w:t>cumple parcialmente</w:t>
      </w:r>
      <w:r w:rsidRPr="00A03B3C">
        <w:rPr>
          <w:rStyle w:val="Refdenotaalpie"/>
          <w:rFonts w:ascii="Arial" w:hAnsi="Arial" w:cs="Arial"/>
          <w:sz w:val="24"/>
          <w:lang w:val="es-CR"/>
        </w:rPr>
        <w:footnoteReference w:id="8"/>
      </w:r>
      <w:r w:rsidRPr="00A03B3C">
        <w:rPr>
          <w:rFonts w:ascii="Arial" w:hAnsi="Arial" w:cs="Arial"/>
          <w:b/>
          <w:bCs/>
          <w:sz w:val="24"/>
          <w:lang w:val="es-CR"/>
        </w:rPr>
        <w:t xml:space="preserve"> </w:t>
      </w:r>
      <w:r w:rsidRPr="00A03B3C">
        <w:rPr>
          <w:rFonts w:ascii="Arial" w:hAnsi="Arial" w:cs="Arial"/>
          <w:sz w:val="24"/>
          <w:lang w:val="es-CR"/>
        </w:rPr>
        <w:t xml:space="preserve">con las disposiciones aplicables, </w:t>
      </w:r>
      <w:bookmarkEnd w:id="1"/>
      <w:r w:rsidRPr="00A03B3C">
        <w:rPr>
          <w:rFonts w:ascii="Arial" w:hAnsi="Arial" w:cs="Arial"/>
          <w:sz w:val="24"/>
          <w:lang w:val="es-CR"/>
        </w:rPr>
        <w:t>ya que se identificaron</w:t>
      </w:r>
      <w:r>
        <w:rPr>
          <w:rFonts w:ascii="Arial" w:hAnsi="Arial" w:cs="Arial"/>
          <w:sz w:val="24"/>
          <w:lang w:val="es-CR"/>
        </w:rPr>
        <w:t xml:space="preserve"> </w:t>
      </w:r>
      <w:r w:rsidRPr="00A03B3C">
        <w:rPr>
          <w:rFonts w:ascii="Arial" w:hAnsi="Arial" w:cs="Arial"/>
          <w:sz w:val="24"/>
          <w:lang w:val="es-CR"/>
        </w:rPr>
        <w:t xml:space="preserve">las siguientes </w:t>
      </w:r>
      <w:r>
        <w:rPr>
          <w:rFonts w:ascii="Arial" w:hAnsi="Arial" w:cs="Arial"/>
          <w:sz w:val="24"/>
          <w:lang w:val="es-CR"/>
        </w:rPr>
        <w:t>situaciones</w:t>
      </w:r>
      <w:r w:rsidRPr="00A03B3C">
        <w:rPr>
          <w:rFonts w:ascii="Arial" w:hAnsi="Arial" w:cs="Arial"/>
          <w:sz w:val="24"/>
          <w:lang w:val="es-CR"/>
        </w:rPr>
        <w:t xml:space="preserve">: postergación de las compras con respecto a los periodos planificados; suspensión de compras por cambio de necesidades, sin información que permita evaluar el impacto operativo o en los riesgos asociados; </w:t>
      </w:r>
      <w:r>
        <w:rPr>
          <w:rFonts w:ascii="Arial" w:hAnsi="Arial" w:cs="Arial"/>
          <w:sz w:val="24"/>
          <w:lang w:val="es-CR"/>
        </w:rPr>
        <w:t>s</w:t>
      </w:r>
      <w:r w:rsidRPr="00A03B3C">
        <w:rPr>
          <w:rFonts w:ascii="Arial" w:hAnsi="Arial" w:cs="Arial"/>
          <w:sz w:val="24"/>
          <w:lang w:val="es-CR"/>
        </w:rPr>
        <w:t xml:space="preserve">uspensión de compras por gestión de prórrogas a contratos existentes. </w:t>
      </w:r>
    </w:p>
    <w:p w:rsidR="00F757D8" w:rsidP="00F757D8" w:rsidRDefault="00F757D8" w14:paraId="48C5567C" w14:textId="77777777">
      <w:pPr>
        <w:widowControl w:val="0"/>
        <w:rPr>
          <w:rFonts w:ascii="Arial" w:hAnsi="Arial" w:cs="Arial"/>
          <w:sz w:val="24"/>
          <w:lang w:val="es-CR"/>
        </w:rPr>
      </w:pPr>
    </w:p>
    <w:p w:rsidR="00F757D8" w:rsidP="00F757D8" w:rsidRDefault="00F757D8" w14:paraId="5593BE45" w14:textId="77777777">
      <w:pPr>
        <w:widowControl w:val="0"/>
        <w:rPr>
          <w:rFonts w:ascii="Arial" w:hAnsi="Arial" w:cs="Arial"/>
          <w:sz w:val="24"/>
          <w:lang w:val="es-CR"/>
        </w:rPr>
      </w:pPr>
      <w:r w:rsidRPr="00106B33">
        <w:rPr>
          <w:rFonts w:ascii="Arial" w:hAnsi="Arial" w:cs="Arial"/>
          <w:sz w:val="24"/>
          <w:lang w:val="es-CR"/>
        </w:rPr>
        <w:t>Las recomendaciones incluidas en los informes AI-0213-2024 y AI-0275-2025 -la primera ya atendida y la segunda en proceso- vendrían a subsanar las situaciones expuestas.</w:t>
      </w:r>
    </w:p>
    <w:p w:rsidRPr="00A03B3C" w:rsidR="00F757D8" w:rsidP="00F757D8" w:rsidRDefault="00F757D8" w14:paraId="1FF73423" w14:textId="77777777">
      <w:pPr>
        <w:widowControl w:val="0"/>
        <w:rPr>
          <w:rFonts w:ascii="Arial" w:hAnsi="Arial" w:cs="Arial"/>
          <w:sz w:val="24"/>
          <w:lang w:val="es-CR"/>
        </w:rPr>
      </w:pPr>
    </w:p>
    <w:p w:rsidRPr="007E08DA" w:rsidR="00F757D8" w:rsidP="00F757D8" w:rsidRDefault="00F757D8" w14:paraId="6997D8BC" w14:textId="77777777">
      <w:pPr>
        <w:rPr>
          <w:rFonts w:ascii="Arial" w:hAnsi="Arial" w:cs="Arial"/>
          <w:sz w:val="24"/>
          <w:szCs w:val="28"/>
        </w:rPr>
      </w:pPr>
    </w:p>
    <w:p w:rsidRPr="006329ED" w:rsidR="00F757D8" w:rsidP="00F757D8" w:rsidRDefault="00F757D8" w14:paraId="0162A314" w14:textId="77777777">
      <w:pPr>
        <w:pStyle w:val="Ttulo1"/>
        <w:numPr>
          <w:ilvl w:val="0"/>
          <w:numId w:val="13"/>
        </w:numPr>
        <w:spacing w:before="0" w:after="0"/>
        <w:ind w:left="567" w:right="-340"/>
        <w:jc w:val="both"/>
        <w:rPr>
          <w:bCs w:val="0"/>
          <w:color w:val="1C4063" w:themeColor="accent1" w:themeShade="80"/>
          <w:kern w:val="0"/>
          <w:sz w:val="28"/>
          <w:szCs w:val="28"/>
          <w:lang w:val="es-CR" w:eastAsia="es-CR"/>
        </w:rPr>
      </w:pPr>
      <w:bookmarkStart w:name="_ANEXOS" w:id="2"/>
      <w:bookmarkEnd w:id="2"/>
      <w:r>
        <w:rPr>
          <w:bCs w:val="0"/>
          <w:color w:val="1C4063" w:themeColor="accent1" w:themeShade="80"/>
          <w:kern w:val="0"/>
          <w:sz w:val="28"/>
          <w:szCs w:val="28"/>
          <w:lang w:val="es-CR" w:eastAsia="es-CR"/>
        </w:rPr>
        <w:t>ANEXOS</w:t>
      </w:r>
    </w:p>
    <w:p w:rsidRPr="006329ED" w:rsidR="00F757D8" w:rsidP="00F757D8" w:rsidRDefault="00F757D8" w14:paraId="4016F6A1" w14:textId="77777777">
      <w:pPr>
        <w:rPr>
          <w:rFonts w:ascii="Arial" w:hAnsi="Arial" w:cs="Arial"/>
          <w:lang w:val="es-CR" w:eastAsia="es-CR"/>
        </w:rPr>
      </w:pPr>
    </w:p>
    <w:tbl>
      <w:tblPr>
        <w:tblStyle w:val="Correspondencia1"/>
        <w:tblW w:w="8080" w:type="dxa"/>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05"/>
        <w:gridCol w:w="4178"/>
        <w:gridCol w:w="2497"/>
      </w:tblGrid>
      <w:tr w:rsidRPr="006329ED" w:rsidR="00F757D8" w:rsidTr="00FA07FB" w14:paraId="6DFA918D" w14:textId="77777777">
        <w:trPr>
          <w:cnfStyle w:val="100000000000" w:firstRow="1" w:lastRow="0" w:firstColumn="0" w:lastColumn="0" w:oddVBand="0" w:evenVBand="0" w:oddHBand="0" w:evenHBand="0" w:firstRowFirstColumn="0" w:firstRowLastColumn="0" w:lastRowFirstColumn="0" w:lastRowLastColumn="0"/>
          <w:trHeight w:val="379"/>
        </w:trPr>
        <w:tc>
          <w:tcPr>
            <w:tcW w:w="1418" w:type="dxa"/>
            <w:shd w:val="clear" w:color="auto" w:fill="1C4063" w:themeFill="accent1" w:themeFillShade="80"/>
          </w:tcPr>
          <w:p w:rsidRPr="006329ED" w:rsidR="00F757D8" w:rsidP="00FA07FB" w:rsidRDefault="00F757D8" w14:paraId="4C005974" w14:textId="77777777">
            <w:pPr>
              <w:jc w:val="center"/>
              <w:rPr>
                <w:rFonts w:ascii="Arial" w:hAnsi="Arial" w:cs="Arial"/>
                <w:szCs w:val="22"/>
              </w:rPr>
            </w:pPr>
            <w:bookmarkStart w:name="_Hlk175149004" w:id="3"/>
            <w:r>
              <w:rPr>
                <w:rFonts w:ascii="Arial" w:hAnsi="Arial" w:cs="Arial"/>
                <w:szCs w:val="22"/>
              </w:rPr>
              <w:t>No. Anexo</w:t>
            </w:r>
          </w:p>
        </w:tc>
        <w:tc>
          <w:tcPr>
            <w:tcW w:w="4252" w:type="dxa"/>
            <w:shd w:val="clear" w:color="auto" w:fill="1C4063" w:themeFill="accent1" w:themeFillShade="80"/>
            <w:vAlign w:val="center"/>
          </w:tcPr>
          <w:p w:rsidRPr="006329ED" w:rsidR="00F757D8" w:rsidP="00FA07FB" w:rsidRDefault="00F757D8" w14:paraId="447489B6" w14:textId="77777777">
            <w:pPr>
              <w:jc w:val="center"/>
              <w:rPr>
                <w:rFonts w:ascii="Arial" w:hAnsi="Arial" w:cs="Arial"/>
                <w:szCs w:val="22"/>
              </w:rPr>
            </w:pPr>
            <w:r w:rsidRPr="006329ED">
              <w:rPr>
                <w:rFonts w:ascii="Arial" w:hAnsi="Arial" w:cs="Arial"/>
                <w:szCs w:val="22"/>
              </w:rPr>
              <w:t>Detalle</w:t>
            </w:r>
          </w:p>
        </w:tc>
        <w:tc>
          <w:tcPr>
            <w:tcW w:w="2410" w:type="dxa"/>
            <w:shd w:val="clear" w:color="auto" w:fill="1C4063" w:themeFill="accent1" w:themeFillShade="80"/>
            <w:vAlign w:val="center"/>
          </w:tcPr>
          <w:p w:rsidRPr="006329ED" w:rsidR="00F757D8" w:rsidP="00FA07FB" w:rsidRDefault="00F757D8" w14:paraId="45D3EB66" w14:textId="77777777">
            <w:pPr>
              <w:jc w:val="center"/>
              <w:rPr>
                <w:rFonts w:ascii="Arial" w:hAnsi="Arial" w:cs="Arial"/>
                <w:szCs w:val="22"/>
              </w:rPr>
            </w:pPr>
            <w:r w:rsidRPr="006329ED">
              <w:rPr>
                <w:rFonts w:ascii="Arial" w:hAnsi="Arial" w:cs="Arial"/>
                <w:szCs w:val="22"/>
              </w:rPr>
              <w:t>Adjunto</w:t>
            </w:r>
          </w:p>
        </w:tc>
      </w:tr>
      <w:tr w:rsidRPr="006329ED" w:rsidR="00F757D8" w:rsidTr="00FA07FB" w14:paraId="32D1BBAB" w14:textId="77777777">
        <w:trPr>
          <w:cnfStyle w:val="000000100000" w:firstRow="0" w:lastRow="0" w:firstColumn="0" w:lastColumn="0" w:oddVBand="0" w:evenVBand="0" w:oddHBand="1" w:evenHBand="0" w:firstRowFirstColumn="0" w:firstRowLastColumn="0" w:lastRowFirstColumn="0" w:lastRowLastColumn="0"/>
        </w:trPr>
        <w:tc>
          <w:tcPr>
            <w:tcW w:w="1418" w:type="dxa"/>
            <w:tcBorders>
              <w:right w:val="single" w:color="auto" w:sz="4" w:space="0"/>
            </w:tcBorders>
            <w:vAlign w:val="center"/>
          </w:tcPr>
          <w:p w:rsidRPr="001D56C8" w:rsidR="00F757D8" w:rsidP="00FA07FB" w:rsidRDefault="00F757D8" w14:paraId="40AEC4D6" w14:textId="77777777">
            <w:pPr>
              <w:jc w:val="center"/>
              <w:rPr>
                <w:rFonts w:ascii="Arial" w:hAnsi="Arial" w:cs="Arial"/>
                <w:lang w:val="es-CR"/>
              </w:rPr>
            </w:pPr>
            <w:bookmarkStart w:name="Anexo1" w:id="4"/>
            <w:r w:rsidRPr="001D56C8">
              <w:rPr>
                <w:rFonts w:ascii="Arial" w:hAnsi="Arial" w:cs="Arial"/>
                <w:lang w:val="es-CR"/>
              </w:rPr>
              <w:t>1</w:t>
            </w:r>
            <w:bookmarkEnd w:id="4"/>
          </w:p>
        </w:tc>
        <w:tc>
          <w:tcPr>
            <w:tcW w:w="4252" w:type="dxa"/>
            <w:tcBorders>
              <w:right w:val="single" w:color="auto" w:sz="4" w:space="0"/>
            </w:tcBorders>
            <w:vAlign w:val="center"/>
          </w:tcPr>
          <w:p w:rsidRPr="001D56C8" w:rsidR="00F757D8" w:rsidP="00FA07FB" w:rsidRDefault="00F757D8" w14:paraId="0BC20DE7" w14:textId="77777777">
            <w:pPr>
              <w:rPr>
                <w:rFonts w:ascii="Arial" w:hAnsi="Arial" w:cs="Arial"/>
                <w:lang w:val="es-CR"/>
              </w:rPr>
            </w:pPr>
            <w:r w:rsidRPr="001D56C8">
              <w:rPr>
                <w:rFonts w:ascii="Arial" w:hAnsi="Arial" w:cs="Arial"/>
                <w:lang w:val="es-CR"/>
              </w:rPr>
              <w:t xml:space="preserve">Detalle de resultados </w:t>
            </w:r>
          </w:p>
        </w:tc>
        <w:bookmarkStart w:name="_MON_1791209397" w:id="5"/>
        <w:bookmarkEnd w:id="5"/>
        <w:tc>
          <w:tcPr>
            <w:tcW w:w="2410" w:type="dxa"/>
            <w:tcBorders>
              <w:left w:val="single" w:color="auto" w:sz="4" w:space="0"/>
            </w:tcBorders>
          </w:tcPr>
          <w:p w:rsidRPr="006329ED" w:rsidR="00F757D8" w:rsidP="00FA07FB" w:rsidRDefault="00F757D8" w14:paraId="2E9C0753" w14:textId="77777777">
            <w:pPr>
              <w:jc w:val="center"/>
              <w:rPr>
                <w:rFonts w:ascii="Arial" w:hAnsi="Arial" w:cs="Arial"/>
                <w:szCs w:val="22"/>
              </w:rPr>
            </w:pPr>
            <w:r>
              <w:rPr>
                <w:rFonts w:ascii="Arial" w:hAnsi="Arial" w:cs="Arial" w:eastAsiaTheme="minorEastAsia"/>
                <w:szCs w:val="22"/>
                <w:lang w:eastAsia="ja-JP"/>
              </w:rPr>
              <w:object w:dxaOrig="2262" w:dyaOrig="1476" w14:anchorId="65A52D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14pt;height:73.5pt" o:ole="" type="#_x0000_t75">
                  <v:imagedata o:title="" r:id="rId14"/>
                </v:shape>
                <o:OLEObject Type="Embed" ProgID="Word.Document.12" ShapeID="_x0000_i1025" DrawAspect="Icon" ObjectID="_1827907444" r:id="rId15">
                  <o:FieldCodes>\s</o:FieldCodes>
                </o:OLEObject>
              </w:object>
            </w:r>
          </w:p>
        </w:tc>
      </w:tr>
      <w:bookmarkEnd w:id="0"/>
      <w:bookmarkEnd w:id="3"/>
    </w:tbl>
    <w:p w:rsidR="00F757D8" w:rsidP="00F757D8" w:rsidRDefault="00F757D8" w14:paraId="331951A9" w14:textId="77777777">
      <w:pPr>
        <w:widowControl w:val="0"/>
        <w:rPr>
          <w:rFonts w:ascii="Arial" w:hAnsi="Arial" w:cs="Arial"/>
          <w:sz w:val="24"/>
        </w:rPr>
      </w:pPr>
    </w:p>
    <w:p w:rsidR="00F757D8" w:rsidP="00F757D8" w:rsidRDefault="00F757D8" w14:paraId="6D5E7F42" w14:textId="77777777">
      <w:pPr>
        <w:widowControl w:val="0"/>
        <w:rPr>
          <w:rFonts w:ascii="Arial" w:hAnsi="Arial" w:cs="Arial"/>
          <w:sz w:val="24"/>
        </w:rPr>
      </w:pPr>
    </w:p>
    <w:p w:rsidR="00F757D8" w:rsidP="00F757D8" w:rsidRDefault="00F757D8" w14:paraId="5D44F006" w14:textId="77777777">
      <w:pPr>
        <w:pStyle w:val="NormalWeb"/>
        <w:spacing w:before="0" w:beforeAutospacing="0" w:after="0" w:afterAutospacing="0"/>
        <w:jc w:val="both"/>
        <w:rPr>
          <w:rFonts w:ascii="Arial" w:hAnsi="Arial" w:cs="Arial"/>
        </w:rPr>
      </w:pPr>
      <w:r w:rsidRPr="00EB39A1">
        <w:rPr>
          <w:rFonts w:ascii="Arial" w:hAnsi="Arial" w:cs="Arial"/>
        </w:rPr>
        <w:t xml:space="preserve">La Auditoría Interna realizó las conferencias técnica y final de este informe con la </w:t>
      </w:r>
      <w:r w:rsidRPr="00106B33">
        <w:rPr>
          <w:rFonts w:ascii="Arial" w:hAnsi="Arial" w:cs="Arial"/>
        </w:rPr>
        <w:t>División Servicios Compartidos, División Transformación y Estrategia</w:t>
      </w:r>
      <w:r>
        <w:rPr>
          <w:rStyle w:val="Refdenotaalpie"/>
          <w:rFonts w:ascii="Arial" w:hAnsi="Arial" w:cs="Arial"/>
        </w:rPr>
        <w:footnoteReference w:id="9"/>
      </w:r>
      <w:r w:rsidRPr="00106B33">
        <w:rPr>
          <w:rFonts w:ascii="Arial" w:hAnsi="Arial" w:cs="Arial"/>
        </w:rPr>
        <w:t xml:space="preserve"> y con la</w:t>
      </w:r>
      <w:r w:rsidRPr="006A76CB">
        <w:rPr>
          <w:rFonts w:ascii="Arial" w:hAnsi="Arial" w:cs="Arial"/>
        </w:rPr>
        <w:t xml:space="preserve"> </w:t>
      </w:r>
      <w:r w:rsidRPr="00423CF7">
        <w:rPr>
          <w:rFonts w:ascii="Arial" w:hAnsi="Arial" w:cs="Arial"/>
        </w:rPr>
        <w:t>Gerencia, en fecha 17 y 22 de diciembre, respectivamente como parte de la</w:t>
      </w:r>
      <w:r w:rsidRPr="00EB39A1">
        <w:rPr>
          <w:rFonts w:ascii="Arial" w:hAnsi="Arial" w:cs="Arial"/>
        </w:rPr>
        <w:t xml:space="preserve"> comunicación preliminar de los resultados.</w:t>
      </w:r>
    </w:p>
    <w:p w:rsidR="00F757D8" w:rsidP="00F757D8" w:rsidRDefault="00F757D8" w14:paraId="38B9097F" w14:textId="77777777">
      <w:pPr>
        <w:pStyle w:val="NormalWeb"/>
        <w:spacing w:before="0" w:beforeAutospacing="0" w:after="0" w:afterAutospacing="0"/>
        <w:jc w:val="both"/>
        <w:rPr>
          <w:rFonts w:ascii="Arial" w:hAnsi="Arial" w:cs="Arial"/>
        </w:rPr>
      </w:pPr>
    </w:p>
    <w:p w:rsidRPr="00EB39A1" w:rsidR="00F757D8" w:rsidP="00F757D8" w:rsidRDefault="00F757D8" w14:paraId="2DAE1585" w14:textId="77777777">
      <w:pPr>
        <w:pStyle w:val="NormalWeb"/>
        <w:spacing w:before="0" w:beforeAutospacing="0" w:after="0" w:afterAutospacing="0"/>
        <w:jc w:val="both"/>
        <w:rPr>
          <w:rFonts w:ascii="Arial" w:hAnsi="Arial" w:cs="Arial"/>
        </w:rPr>
      </w:pPr>
      <w:r w:rsidRPr="00327D38">
        <w:rPr>
          <w:rFonts w:ascii="Arial" w:hAnsi="Arial" w:cs="Arial"/>
        </w:rPr>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p>
    <w:p w:rsidRPr="00EB39A1" w:rsidR="00F757D8" w:rsidP="00F757D8" w:rsidRDefault="00F757D8" w14:paraId="0A7C54A1" w14:textId="77777777">
      <w:pPr>
        <w:pStyle w:val="NormalWeb"/>
        <w:spacing w:before="0" w:beforeAutospacing="0" w:after="0" w:afterAutospacing="0"/>
        <w:jc w:val="both"/>
        <w:rPr>
          <w:rFonts w:ascii="Arial" w:hAnsi="Arial" w:cs="Arial"/>
        </w:rPr>
      </w:pPr>
    </w:p>
    <w:p w:rsidRPr="006329ED" w:rsidR="00F757D8" w:rsidP="00F757D8" w:rsidRDefault="00F757D8" w14:paraId="5EC758A3" w14:textId="77777777">
      <w:pPr>
        <w:rPr>
          <w:rFonts w:ascii="Arial" w:hAnsi="Arial" w:cs="Arial"/>
          <w:sz w:val="24"/>
          <w:lang w:val="pt-BR"/>
        </w:rPr>
      </w:pPr>
      <w:bookmarkStart w:name="R_043962_40718750" w:id="6"/>
      <w:bookmarkEnd w:id="6"/>
      <w:r w:rsidRPr="006329ED">
        <w:rPr>
          <w:rFonts w:ascii="Arial" w:hAnsi="Arial" w:cs="Arial"/>
          <w:sz w:val="24"/>
          <w:lang w:val="pt-BR"/>
        </w:rPr>
        <w:t>Atentamente,</w:t>
      </w:r>
    </w:p>
    <w:p w:rsidRPr="006329ED" w:rsidR="00F757D8" w:rsidP="00F757D8" w:rsidRDefault="00F757D8" w14:paraId="20A04F3E" w14:textId="77777777">
      <w:pPr>
        <w:ind w:left="360"/>
        <w:rPr>
          <w:rFonts w:ascii="Arial" w:hAnsi="Arial" w:cs="Arial"/>
          <w:sz w:val="24"/>
          <w:lang w:val="pt-BR"/>
        </w:rPr>
      </w:pPr>
    </w:p>
    <w:p w:rsidRPr="006329ED" w:rsidR="00F757D8" w:rsidP="00F757D8" w:rsidRDefault="00F757D8" w14:paraId="410CB1D3" w14:textId="77777777">
      <w:pPr>
        <w:ind w:left="360"/>
        <w:rPr>
          <w:rFonts w:ascii="Arial" w:hAnsi="Arial" w:cs="Arial"/>
          <w:sz w:val="24"/>
          <w:lang w:val="pt-BR"/>
        </w:rPr>
      </w:pPr>
      <w:r w:rsidRPr="006329ED">
        <w:rPr>
          <w:rFonts w:ascii="Arial" w:hAnsi="Arial" w:cs="Arial"/>
          <w:noProof/>
          <w:sz w:val="24"/>
          <w:lang w:val="es-CR" w:eastAsia="es-CR"/>
        </w:rPr>
        <w:drawing>
          <wp:anchor distT="0" distB="0" distL="114300" distR="114300" simplePos="0" relativeHeight="251659264" behindDoc="1" locked="0" layoutInCell="1" allowOverlap="1" wp14:editId="4B0386F9" wp14:anchorId="475567A9">
            <wp:simplePos x="0" y="0"/>
            <wp:positionH relativeFrom="column">
              <wp:posOffset>-162560</wp:posOffset>
            </wp:positionH>
            <wp:positionV relativeFrom="paragraph">
              <wp:posOffset>79375</wp:posOffset>
            </wp:positionV>
            <wp:extent cx="2506980" cy="388620"/>
            <wp:effectExtent l="0" t="0" r="0" b="0"/>
            <wp:wrapNone/>
            <wp:docPr id="1453495138" name="Imagen 1453495138"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495138" name="Imagen 1453495138" descr="Texto&#10;&#10;El contenido generado por IA puede ser incorrecto."/>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rsidRPr="006329ED" w:rsidR="00F757D8" w:rsidP="00F757D8" w:rsidRDefault="00F757D8" w14:paraId="1F0EBD40" w14:textId="77777777">
      <w:pPr>
        <w:rPr>
          <w:rFonts w:ascii="Arial" w:hAnsi="Arial" w:cs="Arial"/>
          <w:sz w:val="24"/>
          <w:lang w:val="pt-BR"/>
        </w:rPr>
      </w:pPr>
    </w:p>
    <w:p w:rsidRPr="006329ED" w:rsidR="00F757D8" w:rsidP="00F757D8" w:rsidRDefault="00F757D8" w14:paraId="137F12AD" w14:textId="77777777">
      <w:pPr>
        <w:rPr>
          <w:rFonts w:ascii="Arial" w:hAnsi="Arial" w:cs="Arial"/>
          <w:sz w:val="24"/>
          <w:lang w:val="pt-BR"/>
        </w:rPr>
      </w:pPr>
    </w:p>
    <w:p w:rsidRPr="006329ED" w:rsidR="00F757D8" w:rsidP="00F757D8" w:rsidRDefault="00F757D8" w14:paraId="0CFC22D6" w14:textId="77777777">
      <w:pPr>
        <w:rPr>
          <w:rFonts w:ascii="Arial" w:hAnsi="Arial" w:cs="Arial"/>
          <w:sz w:val="24"/>
          <w:lang w:val="pt-BR"/>
        </w:rPr>
      </w:pPr>
      <w:r>
        <w:rPr>
          <w:rFonts w:ascii="Arial" w:hAnsi="Arial" w:cs="Arial"/>
          <w:sz w:val="24"/>
          <w:lang w:val="pt-BR"/>
        </w:rPr>
        <w:t>Joaquín Vargas Guerrero</w:t>
      </w:r>
    </w:p>
    <w:p w:rsidRPr="006329ED" w:rsidR="00F757D8" w:rsidP="00F757D8" w:rsidRDefault="00F757D8" w14:paraId="3FD110C2" w14:textId="77777777">
      <w:pPr>
        <w:rPr>
          <w:rFonts w:ascii="Arial" w:hAnsi="Arial" w:cs="Arial"/>
          <w:b/>
          <w:sz w:val="24"/>
          <w:lang w:val="pt-BR"/>
        </w:rPr>
      </w:pPr>
      <w:r>
        <w:rPr>
          <w:rFonts w:ascii="Arial" w:hAnsi="Arial" w:cs="Arial"/>
          <w:b/>
          <w:sz w:val="24"/>
          <w:lang w:val="pt-BR"/>
        </w:rPr>
        <w:t>A</w:t>
      </w:r>
      <w:r w:rsidRPr="006329ED">
        <w:rPr>
          <w:rFonts w:ascii="Arial" w:hAnsi="Arial" w:cs="Arial"/>
          <w:b/>
          <w:sz w:val="24"/>
          <w:lang w:val="pt-BR"/>
        </w:rPr>
        <w:t>uditor</w:t>
      </w:r>
      <w:r>
        <w:rPr>
          <w:rFonts w:ascii="Arial" w:hAnsi="Arial" w:cs="Arial"/>
          <w:b/>
          <w:sz w:val="24"/>
          <w:lang w:val="pt-BR"/>
        </w:rPr>
        <w:t xml:space="preserve"> Interno</w:t>
      </w:r>
    </w:p>
    <w:p w:rsidRPr="006329ED" w:rsidR="00F757D8" w:rsidP="00F757D8" w:rsidRDefault="00F757D8" w14:paraId="527CB1FA" w14:textId="77777777">
      <w:pPr>
        <w:pStyle w:val="Negrita"/>
        <w:rPr>
          <w:rFonts w:ascii="Arial" w:hAnsi="Arial" w:cs="Arial"/>
          <w:lang w:val="pt-BR"/>
        </w:rPr>
      </w:pPr>
    </w:p>
    <w:p w:rsidR="00F757D8" w:rsidP="00F757D8" w:rsidRDefault="00F757D8" w14:paraId="14C492F3" w14:textId="217CD87F">
      <w:pPr>
        <w:pStyle w:val="CC"/>
        <w:rPr>
          <w:rFonts w:ascii="Arial" w:hAnsi="Arial" w:cs="Arial"/>
        </w:rPr>
      </w:pPr>
      <w:bookmarkStart w:name="_Hlk175152186" w:id="7"/>
      <w:r w:rsidRPr="006329ED">
        <w:rPr>
          <w:rFonts w:ascii="Arial" w:hAnsi="Arial" w:cs="Arial"/>
        </w:rPr>
        <w:t>C</w:t>
      </w:r>
      <w:r w:rsidR="00074D24">
        <w:rPr>
          <w:rFonts w:ascii="Arial" w:hAnsi="Arial" w:cs="Arial"/>
        </w:rPr>
        <w:t>c</w:t>
      </w:r>
      <w:r w:rsidRPr="006329ED">
        <w:rPr>
          <w:rFonts w:ascii="Arial" w:hAnsi="Arial" w:cs="Arial"/>
        </w:rPr>
        <w:t>.</w:t>
      </w:r>
      <w:r w:rsidRPr="006329ED">
        <w:rPr>
          <w:rFonts w:ascii="Arial" w:hAnsi="Arial" w:cs="Arial"/>
        </w:rPr>
        <w:tab/>
      </w:r>
      <w:bookmarkEnd w:id="7"/>
      <w:r w:rsidRPr="006329ED">
        <w:rPr>
          <w:rFonts w:ascii="Arial" w:hAnsi="Arial" w:cs="Arial"/>
        </w:rPr>
        <w:t>Divisi</w:t>
      </w:r>
      <w:r>
        <w:rPr>
          <w:rFonts w:ascii="Arial" w:hAnsi="Arial" w:cs="Arial"/>
        </w:rPr>
        <w:t>ón Servicios Compartidos</w:t>
      </w:r>
    </w:p>
    <w:p w:rsidR="00F757D8" w:rsidP="00F757D8" w:rsidRDefault="00F757D8" w14:paraId="5446208F" w14:textId="77777777">
      <w:pPr>
        <w:pStyle w:val="CC"/>
        <w:rPr>
          <w:rFonts w:ascii="Arial" w:hAnsi="Arial" w:cs="Arial"/>
        </w:rPr>
      </w:pPr>
      <w:r>
        <w:rPr>
          <w:rFonts w:ascii="Arial" w:hAnsi="Arial" w:cs="Arial"/>
        </w:rPr>
        <w:tab/>
      </w:r>
      <w:r w:rsidRPr="00106B33">
        <w:rPr>
          <w:rFonts w:ascii="Arial" w:hAnsi="Arial" w:cs="Arial"/>
        </w:rPr>
        <w:t>División Transformación y Estrategia</w:t>
      </w:r>
    </w:p>
    <w:p w:rsidR="00F757D8" w:rsidP="00F757D8" w:rsidRDefault="00F757D8" w14:paraId="215BF534" w14:textId="66570344">
      <w:pPr>
        <w:pStyle w:val="CC"/>
        <w:rPr>
          <w:rFonts w:ascii="Arial" w:hAnsi="Arial" w:cs="Arial"/>
        </w:rPr>
      </w:pPr>
    </w:p>
    <w:sectPr w:rsidR="00F757D8"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5E57B" w14:textId="77777777" w:rsidR="00F757D8" w:rsidRDefault="00F757D8" w:rsidP="00D43D57">
      <w:r>
        <w:separator/>
      </w:r>
    </w:p>
  </w:endnote>
  <w:endnote w:type="continuationSeparator" w:id="0">
    <w:p w14:paraId="23BCCFF9" w14:textId="77777777" w:rsidR="00F757D8" w:rsidRDefault="00F757D8"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F757D8" w14:paraId="0F12F0B6" w14:textId="72EBC97A">
    <w:pPr>
      <w:pStyle w:val="Piedepgina"/>
    </w:pPr>
    <w:r>
      <w:rPr>
        <w:noProof/>
      </w:rPr>
      <mc:AlternateContent>
        <mc:Choice Requires="wps">
          <w:drawing>
            <wp:anchor distT="0" distB="0" distL="0" distR="0" simplePos="0" relativeHeight="251698176" behindDoc="0" locked="0" layoutInCell="1" allowOverlap="1" wp14:editId="7869FBCC" wp14:anchorId="5A9D53F7">
              <wp:simplePos x="635" y="635"/>
              <wp:positionH relativeFrom="page">
                <wp:align>center</wp:align>
              </wp:positionH>
              <wp:positionV relativeFrom="page">
                <wp:align>bottom</wp:align>
              </wp:positionV>
              <wp:extent cx="1083945" cy="345440"/>
              <wp:effectExtent l="0" t="0" r="1905" b="0"/>
              <wp:wrapNone/>
              <wp:docPr id="1250768366"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F757D8" w:rsidR="00F757D8" w:rsidP="00F757D8" w:rsidRDefault="00F757D8" w14:paraId="372BCA8C" w14:textId="26062D09">
                          <w:pPr>
                            <w:rPr>
                              <w:rFonts w:ascii="Aptos" w:hAnsi="Aptos" w:eastAsia="Aptos" w:cs="Aptos"/>
                              <w:noProof/>
                              <w:color w:val="000000"/>
                              <w:sz w:val="20"/>
                              <w:szCs w:val="20"/>
                            </w:rPr>
                          </w:pPr>
                          <w:r w:rsidRPr="00F757D8">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A9D53F7">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F757D8" w:rsidR="00F757D8" w:rsidP="00F757D8" w:rsidRDefault="00F757D8" w14:paraId="372BCA8C" w14:textId="26062D09">
                    <w:pPr>
                      <w:rPr>
                        <w:rFonts w:ascii="Aptos" w:hAnsi="Aptos" w:eastAsia="Aptos" w:cs="Aptos"/>
                        <w:noProof/>
                        <w:color w:val="000000"/>
                        <w:sz w:val="20"/>
                        <w:szCs w:val="20"/>
                      </w:rPr>
                    </w:pPr>
                    <w:r w:rsidRPr="00F757D8">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F757D8" w14:paraId="4734EED5" w14:textId="00856728">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54459B09" wp14:anchorId="18D328A0">
              <wp:simplePos x="635" y="635"/>
              <wp:positionH relativeFrom="page">
                <wp:align>center</wp:align>
              </wp:positionH>
              <wp:positionV relativeFrom="page">
                <wp:align>bottom</wp:align>
              </wp:positionV>
              <wp:extent cx="1083945" cy="345440"/>
              <wp:effectExtent l="0" t="0" r="1905" b="0"/>
              <wp:wrapNone/>
              <wp:docPr id="789355086"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F757D8" w:rsidR="00F757D8" w:rsidP="00F757D8" w:rsidRDefault="00F757D8" w14:paraId="428A2841" w14:textId="49371FAD">
                          <w:pPr>
                            <w:rPr>
                              <w:rFonts w:ascii="Aptos" w:hAnsi="Aptos" w:eastAsia="Aptos" w:cs="Aptos"/>
                              <w:noProof/>
                              <w:color w:val="000000"/>
                              <w:sz w:val="20"/>
                              <w:szCs w:val="20"/>
                            </w:rPr>
                          </w:pPr>
                          <w:r w:rsidRPr="00F757D8">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8D328A0">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F757D8" w:rsidR="00F757D8" w:rsidP="00F757D8" w:rsidRDefault="00F757D8" w14:paraId="428A2841" w14:textId="49371FAD">
                    <w:pPr>
                      <w:rPr>
                        <w:rFonts w:ascii="Aptos" w:hAnsi="Aptos" w:eastAsia="Aptos" w:cs="Aptos"/>
                        <w:noProof/>
                        <w:color w:val="000000"/>
                        <w:sz w:val="20"/>
                        <w:szCs w:val="20"/>
                      </w:rPr>
                    </w:pPr>
                    <w:r w:rsidRPr="00F757D8">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4B6BAB24AD4E4CE38FD172E4631D1D1C"/>
        </w:placeholder>
        <w:text/>
      </w:sdtPr>
      <w:sdtEndPr/>
      <w:sdtContent>
        <w:r>
          <w:rPr>
            <w:color w:val="004990"/>
            <w:sz w:val="16"/>
            <w:szCs w:val="16"/>
          </w:rPr>
          <w:t>AI-0296-2025</w:t>
        </w:r>
      </w:sdtContent>
    </w:sdt>
  </w:p>
  <w:p w:rsidR="002307FE" w:rsidP="00FA54DF" w:rsidRDefault="002307FE" w14:paraId="54BB3D8A"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2E34C102"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795002A2" wp14:anchorId="3DE445A1">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03E832B8"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7DEE6740"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DFBFB1C" w14:textId="77777777">
                          <w:pPr>
                            <w:rPr>
                              <w:color w:val="003A68"/>
                              <w:sz w:val="14"/>
                              <w:szCs w:val="14"/>
                            </w:rPr>
                          </w:pPr>
                          <w:r w:rsidRPr="00FA54DF">
                            <w:rPr>
                              <w:color w:val="003A68"/>
                              <w:sz w:val="14"/>
                              <w:szCs w:val="14"/>
                            </w:rPr>
                            <w:t>Apdo. 10058-1000</w:t>
                          </w:r>
                        </w:p>
                        <w:p w:rsidR="00D2424F" w:rsidP="00FA54DF" w:rsidRDefault="00D2424F" w14:paraId="06DD3A91" w14:textId="77777777">
                          <w:pPr>
                            <w:rPr>
                              <w:color w:val="003A68"/>
                              <w:sz w:val="14"/>
                              <w:szCs w:val="14"/>
                            </w:rPr>
                          </w:pPr>
                          <w:r w:rsidRPr="00FA54DF">
                            <w:rPr>
                              <w:color w:val="003A68"/>
                              <w:sz w:val="14"/>
                              <w:szCs w:val="14"/>
                            </w:rPr>
                            <w:t>Av. 1 y Central, Calles 2 y 4</w:t>
                          </w:r>
                        </w:p>
                        <w:p w:rsidRPr="00FA54DF" w:rsidR="00D2424F" w:rsidP="00FA54DF" w:rsidRDefault="00D2424F" w14:paraId="701C7489"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3DE445A1">
              <v:textbox>
                <w:txbxContent>
                  <w:p w:rsidRPr="00FA54DF" w:rsidR="00D2424F" w:rsidP="00FA54DF" w:rsidRDefault="00D2424F" w14:paraId="03E832B8"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7DEE6740"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DFBFB1C" w14:textId="77777777">
                    <w:pPr>
                      <w:rPr>
                        <w:color w:val="003A68"/>
                        <w:sz w:val="14"/>
                        <w:szCs w:val="14"/>
                      </w:rPr>
                    </w:pPr>
                    <w:r w:rsidRPr="00FA54DF">
                      <w:rPr>
                        <w:color w:val="003A68"/>
                        <w:sz w:val="14"/>
                        <w:szCs w:val="14"/>
                      </w:rPr>
                      <w:t>Apdo. 10058-1000</w:t>
                    </w:r>
                  </w:p>
                  <w:p w:rsidR="00D2424F" w:rsidP="00FA54DF" w:rsidRDefault="00D2424F" w14:paraId="06DD3A91" w14:textId="77777777">
                    <w:pPr>
                      <w:rPr>
                        <w:color w:val="003A68"/>
                        <w:sz w:val="14"/>
                        <w:szCs w:val="14"/>
                      </w:rPr>
                    </w:pPr>
                    <w:r w:rsidRPr="00FA54DF">
                      <w:rPr>
                        <w:color w:val="003A68"/>
                        <w:sz w:val="14"/>
                        <w:szCs w:val="14"/>
                      </w:rPr>
                      <w:t>Av. 1 y Central, Calles 2 y 4</w:t>
                    </w:r>
                  </w:p>
                  <w:p w:rsidRPr="00FA54DF" w:rsidR="00D2424F" w:rsidP="00FA54DF" w:rsidRDefault="00D2424F" w14:paraId="701C7489"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4DCE7AA9" wp14:anchorId="0D81F631">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F757D8" w14:paraId="0AA101F4" w14:textId="79F7826C">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4650B592" wp14:anchorId="275368D7">
              <wp:simplePos x="1409700" y="9283700"/>
              <wp:positionH relativeFrom="page">
                <wp:align>center</wp:align>
              </wp:positionH>
              <wp:positionV relativeFrom="page">
                <wp:align>bottom</wp:align>
              </wp:positionV>
              <wp:extent cx="1083945" cy="345440"/>
              <wp:effectExtent l="0" t="0" r="1905" b="0"/>
              <wp:wrapNone/>
              <wp:docPr id="2030025227"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F757D8" w:rsidR="00F757D8" w:rsidP="00F757D8" w:rsidRDefault="00F757D8" w14:paraId="4061B30E" w14:textId="7F1F0862">
                          <w:pPr>
                            <w:rPr>
                              <w:rFonts w:ascii="Aptos" w:hAnsi="Aptos" w:eastAsia="Aptos" w:cs="Aptos"/>
                              <w:noProof/>
                              <w:color w:val="000000"/>
                              <w:sz w:val="20"/>
                              <w:szCs w:val="20"/>
                            </w:rPr>
                          </w:pPr>
                          <w:r w:rsidRPr="00F757D8">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75368D7">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F757D8" w:rsidR="00F757D8" w:rsidP="00F757D8" w:rsidRDefault="00F757D8" w14:paraId="4061B30E" w14:textId="7F1F0862">
                    <w:pPr>
                      <w:rPr>
                        <w:rFonts w:ascii="Aptos" w:hAnsi="Aptos" w:eastAsia="Aptos" w:cs="Aptos"/>
                        <w:noProof/>
                        <w:color w:val="000000"/>
                        <w:sz w:val="20"/>
                        <w:szCs w:val="20"/>
                      </w:rPr>
                    </w:pPr>
                    <w:r w:rsidRPr="00F757D8">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4B362403" wp14:anchorId="2CB23208">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0248D985"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FCD84CE"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4A6CA33C" w14:textId="77777777">
                          <w:pPr>
                            <w:rPr>
                              <w:color w:val="003A68"/>
                              <w:sz w:val="14"/>
                              <w:szCs w:val="14"/>
                            </w:rPr>
                          </w:pPr>
                          <w:r w:rsidRPr="00FA54DF">
                            <w:rPr>
                              <w:color w:val="003A68"/>
                              <w:sz w:val="14"/>
                              <w:szCs w:val="14"/>
                            </w:rPr>
                            <w:t>Apdo. 10058-1000</w:t>
                          </w:r>
                        </w:p>
                        <w:p w:rsidR="00B65442" w:rsidP="00B65442" w:rsidRDefault="00B65442" w14:paraId="44BF21D1" w14:textId="77777777">
                          <w:pPr>
                            <w:rPr>
                              <w:color w:val="003A68"/>
                              <w:sz w:val="14"/>
                              <w:szCs w:val="14"/>
                            </w:rPr>
                          </w:pPr>
                          <w:r w:rsidRPr="00FA54DF">
                            <w:rPr>
                              <w:color w:val="003A68"/>
                              <w:sz w:val="14"/>
                              <w:szCs w:val="14"/>
                            </w:rPr>
                            <w:t>Av. 1 y Central, Calles 2 y 4</w:t>
                          </w:r>
                        </w:p>
                        <w:p w:rsidRPr="00FA54DF" w:rsidR="00D2424F" w:rsidRDefault="00D2424F" w14:paraId="738133C7"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2CB23208">
              <v:textbox>
                <w:txbxContent>
                  <w:p w:rsidRPr="00FA54DF" w:rsidR="00D2424F" w:rsidRDefault="00D2424F" w14:paraId="0248D985"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FCD84CE"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4A6CA33C" w14:textId="77777777">
                    <w:pPr>
                      <w:rPr>
                        <w:color w:val="003A68"/>
                        <w:sz w:val="14"/>
                        <w:szCs w:val="14"/>
                      </w:rPr>
                    </w:pPr>
                    <w:r w:rsidRPr="00FA54DF">
                      <w:rPr>
                        <w:color w:val="003A68"/>
                        <w:sz w:val="14"/>
                        <w:szCs w:val="14"/>
                      </w:rPr>
                      <w:t>Apdo. 10058-1000</w:t>
                    </w:r>
                  </w:p>
                  <w:p w:rsidR="00B65442" w:rsidP="00B65442" w:rsidRDefault="00B65442" w14:paraId="44BF21D1" w14:textId="77777777">
                    <w:pPr>
                      <w:rPr>
                        <w:color w:val="003A68"/>
                        <w:sz w:val="14"/>
                        <w:szCs w:val="14"/>
                      </w:rPr>
                    </w:pPr>
                    <w:r w:rsidRPr="00FA54DF">
                      <w:rPr>
                        <w:color w:val="003A68"/>
                        <w:sz w:val="14"/>
                        <w:szCs w:val="14"/>
                      </w:rPr>
                      <w:t>Av. 1 y Central, Calles 2 y 4</w:t>
                    </w:r>
                  </w:p>
                  <w:p w:rsidRPr="00FA54DF" w:rsidR="00D2424F" w:rsidRDefault="00D2424F" w14:paraId="738133C7"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4C8E232C" wp14:anchorId="77106F63">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5DD49580"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3F78419E"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6912" w14:textId="77777777" w:rsidR="00F757D8" w:rsidRDefault="00F757D8" w:rsidP="00D43D57">
      <w:r>
        <w:separator/>
      </w:r>
    </w:p>
  </w:footnote>
  <w:footnote w:type="continuationSeparator" w:id="0">
    <w:p w14:paraId="0B1F0C7F" w14:textId="77777777" w:rsidR="00F757D8" w:rsidRDefault="00F757D8" w:rsidP="00D43D57">
      <w:r>
        <w:continuationSeparator/>
      </w:r>
    </w:p>
  </w:footnote>
  <w:footnote w:id="1">
    <w:p w14:paraId="0D9526A0" w14:textId="77777777" w:rsidR="00F757D8" w:rsidRPr="009B367F" w:rsidRDefault="00F757D8" w:rsidP="00F757D8">
      <w:pPr>
        <w:pStyle w:val="Textonotapie"/>
        <w:rPr>
          <w:rFonts w:ascii="Arial" w:hAnsi="Arial" w:cs="Arial"/>
          <w:sz w:val="16"/>
          <w:szCs w:val="16"/>
        </w:rPr>
      </w:pPr>
      <w:r w:rsidRPr="009B367F">
        <w:rPr>
          <w:rStyle w:val="Refdenotaalpie"/>
          <w:rFonts w:ascii="Arial" w:hAnsi="Arial" w:cs="Arial"/>
          <w:sz w:val="16"/>
          <w:szCs w:val="16"/>
        </w:rPr>
        <w:footnoteRef/>
      </w:r>
      <w:r w:rsidRPr="009B367F">
        <w:rPr>
          <w:rFonts w:ascii="Arial" w:hAnsi="Arial" w:cs="Arial"/>
          <w:sz w:val="16"/>
          <w:szCs w:val="16"/>
        </w:rPr>
        <w:t xml:space="preserve"> Auditoría de carácter especial: Evalúa si las actividades, operaciones financieras e información, cumplen en todos los aspectos relevantes, con las regulaciones o mandatos que rigen a la entidad.</w:t>
      </w:r>
    </w:p>
  </w:footnote>
  <w:footnote w:id="2">
    <w:p w14:paraId="2DF77037" w14:textId="77777777" w:rsidR="00F757D8" w:rsidRPr="00EA4C3D" w:rsidRDefault="00F757D8" w:rsidP="00F757D8">
      <w:pPr>
        <w:pStyle w:val="Textonotapie"/>
        <w:rPr>
          <w:rFonts w:ascii="Arial" w:hAnsi="Arial" w:cs="Arial"/>
          <w:sz w:val="16"/>
          <w:szCs w:val="16"/>
        </w:rPr>
      </w:pPr>
      <w:r w:rsidRPr="00EA4C3D">
        <w:rPr>
          <w:rStyle w:val="Refdenotaalpie"/>
          <w:rFonts w:ascii="Arial" w:hAnsi="Arial" w:cs="Arial"/>
          <w:sz w:val="16"/>
          <w:szCs w:val="16"/>
        </w:rPr>
        <w:footnoteRef/>
      </w:r>
      <w:r w:rsidRPr="00EA4C3D">
        <w:rPr>
          <w:rFonts w:ascii="Arial" w:hAnsi="Arial" w:cs="Arial"/>
          <w:sz w:val="16"/>
          <w:szCs w:val="16"/>
        </w:rPr>
        <w:t xml:space="preserve"> </w:t>
      </w:r>
      <w:hyperlink w:anchor="Anexo1" w:history="1">
        <w:r w:rsidRPr="00EA4C3D">
          <w:rPr>
            <w:rStyle w:val="Hipervnculo"/>
            <w:rFonts w:ascii="Arial" w:hAnsi="Arial" w:cs="Arial"/>
            <w:sz w:val="16"/>
            <w:szCs w:val="16"/>
          </w:rPr>
          <w:t>Anexo 1</w:t>
        </w:r>
      </w:hyperlink>
      <w:r w:rsidRPr="00EA4C3D">
        <w:rPr>
          <w:rFonts w:ascii="Arial" w:hAnsi="Arial" w:cs="Arial"/>
          <w:sz w:val="16"/>
          <w:szCs w:val="16"/>
        </w:rPr>
        <w:t xml:space="preserve"> Detalle de la muestra. </w:t>
      </w:r>
    </w:p>
  </w:footnote>
  <w:footnote w:id="3">
    <w:p w14:paraId="0898A847" w14:textId="77777777" w:rsidR="00F757D8" w:rsidRPr="009B367F" w:rsidRDefault="00F757D8" w:rsidP="00F757D8">
      <w:pPr>
        <w:pStyle w:val="Textonotapie"/>
        <w:rPr>
          <w:rFonts w:ascii="Arial" w:hAnsi="Arial" w:cs="Arial"/>
          <w:sz w:val="16"/>
          <w:szCs w:val="16"/>
        </w:rPr>
      </w:pPr>
      <w:r w:rsidRPr="009B367F">
        <w:rPr>
          <w:rStyle w:val="Refdenotaalpie"/>
          <w:rFonts w:ascii="Arial" w:hAnsi="Arial" w:cs="Arial"/>
          <w:sz w:val="16"/>
          <w:szCs w:val="16"/>
        </w:rPr>
        <w:footnoteRef/>
      </w:r>
      <w:r w:rsidRPr="009B367F">
        <w:rPr>
          <w:rFonts w:ascii="Arial" w:hAnsi="Arial" w:cs="Arial"/>
          <w:sz w:val="16"/>
          <w:szCs w:val="16"/>
        </w:rPr>
        <w:t xml:space="preserve"> </w:t>
      </w:r>
      <w:r w:rsidRPr="009B367F">
        <w:rPr>
          <w:rFonts w:ascii="Arial" w:hAnsi="Arial" w:cs="Arial"/>
          <w:color w:val="040C28"/>
          <w:sz w:val="16"/>
          <w:szCs w:val="16"/>
        </w:rPr>
        <w:t> </w:t>
      </w:r>
      <w:r w:rsidRPr="009B367F">
        <w:rPr>
          <w:rFonts w:ascii="Arial" w:hAnsi="Arial" w:cs="Arial"/>
          <w:sz w:val="16"/>
          <w:szCs w:val="16"/>
        </w:rPr>
        <w:t xml:space="preserve">Plataforma para gestionar los procesos de compras públicas, ligado a la Ley General de Contratación Pública N. °9986. </w:t>
      </w:r>
    </w:p>
  </w:footnote>
  <w:footnote w:id="4">
    <w:p w14:paraId="637C6B68" w14:textId="77777777" w:rsidR="00F757D8" w:rsidRPr="003032C9" w:rsidRDefault="00F757D8" w:rsidP="00F757D8">
      <w:pPr>
        <w:pStyle w:val="Textonotapie"/>
        <w:rPr>
          <w:rFonts w:ascii="Arial" w:hAnsi="Arial" w:cs="Arial"/>
          <w:sz w:val="16"/>
          <w:szCs w:val="16"/>
        </w:rPr>
      </w:pPr>
      <w:r w:rsidRPr="00106B33">
        <w:rPr>
          <w:rStyle w:val="Refdenotaalpie"/>
          <w:rFonts w:ascii="Arial" w:hAnsi="Arial" w:cs="Arial"/>
          <w:sz w:val="16"/>
          <w:szCs w:val="16"/>
        </w:rPr>
        <w:footnoteRef/>
      </w:r>
      <w:r w:rsidRPr="00106B33">
        <w:rPr>
          <w:rFonts w:ascii="Arial" w:hAnsi="Arial" w:cs="Arial"/>
          <w:sz w:val="16"/>
          <w:szCs w:val="16"/>
        </w:rPr>
        <w:t xml:space="preserve"> Rol del subproceso Elaborar plan de adquisiciones, vigente durante el desarrollo del estudio de auditoría.</w:t>
      </w:r>
      <w:r w:rsidRPr="003032C9">
        <w:rPr>
          <w:rFonts w:ascii="Arial" w:hAnsi="Arial" w:cs="Arial"/>
          <w:sz w:val="16"/>
          <w:szCs w:val="16"/>
        </w:rPr>
        <w:t xml:space="preserve"> </w:t>
      </w:r>
    </w:p>
  </w:footnote>
  <w:footnote w:id="5">
    <w:p w14:paraId="373156CA" w14:textId="77777777" w:rsidR="00F757D8" w:rsidRDefault="00F757D8" w:rsidP="00F757D8">
      <w:pPr>
        <w:pStyle w:val="Textonotapie"/>
        <w:rPr>
          <w:rFonts w:ascii="Arial" w:hAnsi="Arial" w:cs="Arial"/>
          <w:sz w:val="16"/>
          <w:szCs w:val="16"/>
        </w:rPr>
      </w:pPr>
      <w:r w:rsidRPr="007376AA">
        <w:rPr>
          <w:rStyle w:val="Refdenotaalpie"/>
          <w:rFonts w:ascii="Arial" w:hAnsi="Arial" w:cs="Arial"/>
          <w:sz w:val="16"/>
          <w:szCs w:val="16"/>
        </w:rPr>
        <w:footnoteRef/>
      </w:r>
      <w:r w:rsidRPr="007376AA">
        <w:rPr>
          <w:rFonts w:ascii="Arial" w:hAnsi="Arial" w:cs="Arial"/>
          <w:sz w:val="16"/>
          <w:szCs w:val="16"/>
        </w:rPr>
        <w:t xml:space="preserve"> </w:t>
      </w:r>
      <w:r>
        <w:rPr>
          <w:rFonts w:ascii="Arial" w:hAnsi="Arial" w:cs="Arial"/>
          <w:sz w:val="16"/>
          <w:szCs w:val="16"/>
        </w:rPr>
        <w:t xml:space="preserve">- </w:t>
      </w:r>
      <w:r w:rsidRPr="007376AA">
        <w:rPr>
          <w:rFonts w:ascii="Arial" w:hAnsi="Arial" w:cs="Arial"/>
          <w:sz w:val="16"/>
          <w:szCs w:val="16"/>
        </w:rPr>
        <w:t>Reglamento a la Ley General de Contratación Pública</w:t>
      </w:r>
      <w:r>
        <w:rPr>
          <w:rFonts w:ascii="Arial" w:hAnsi="Arial" w:cs="Arial"/>
          <w:sz w:val="16"/>
          <w:szCs w:val="16"/>
        </w:rPr>
        <w:t xml:space="preserve">, </w:t>
      </w:r>
      <w:r w:rsidRPr="007376AA">
        <w:rPr>
          <w:rFonts w:ascii="Arial" w:hAnsi="Arial" w:cs="Arial"/>
          <w:sz w:val="16"/>
          <w:szCs w:val="16"/>
        </w:rPr>
        <w:t>Decreto Ejecutivo 43808</w:t>
      </w:r>
      <w:r>
        <w:rPr>
          <w:rFonts w:ascii="Arial" w:hAnsi="Arial" w:cs="Arial"/>
          <w:sz w:val="16"/>
          <w:szCs w:val="16"/>
        </w:rPr>
        <w:t xml:space="preserve"> </w:t>
      </w:r>
      <w:r w:rsidRPr="007376AA">
        <w:rPr>
          <w:rFonts w:ascii="Arial" w:hAnsi="Arial" w:cs="Arial"/>
          <w:sz w:val="16"/>
          <w:szCs w:val="16"/>
        </w:rPr>
        <w:t>del</w:t>
      </w:r>
      <w:r>
        <w:rPr>
          <w:rFonts w:ascii="Arial" w:hAnsi="Arial" w:cs="Arial"/>
          <w:sz w:val="16"/>
          <w:szCs w:val="16"/>
        </w:rPr>
        <w:t xml:space="preserve"> </w:t>
      </w:r>
      <w:r w:rsidRPr="007376AA">
        <w:rPr>
          <w:rFonts w:ascii="Arial" w:hAnsi="Arial" w:cs="Arial"/>
          <w:sz w:val="16"/>
          <w:szCs w:val="16"/>
        </w:rPr>
        <w:t>22/11/2022</w:t>
      </w:r>
      <w:r>
        <w:rPr>
          <w:rFonts w:ascii="Arial" w:hAnsi="Arial" w:cs="Arial"/>
          <w:sz w:val="16"/>
          <w:szCs w:val="16"/>
        </w:rPr>
        <w:t xml:space="preserve">. </w:t>
      </w:r>
    </w:p>
    <w:p w14:paraId="7ADB4D55" w14:textId="77777777" w:rsidR="00F757D8" w:rsidRPr="007376AA" w:rsidRDefault="00F757D8" w:rsidP="00F757D8">
      <w:pPr>
        <w:pStyle w:val="Textonotapie"/>
        <w:ind w:firstLine="270"/>
        <w:rPr>
          <w:rFonts w:ascii="Arial" w:hAnsi="Arial" w:cs="Arial"/>
          <w:sz w:val="16"/>
          <w:szCs w:val="16"/>
          <w:lang w:val="es-CR"/>
        </w:rPr>
      </w:pPr>
      <w:r>
        <w:rPr>
          <w:rFonts w:ascii="Arial" w:hAnsi="Arial" w:cs="Arial"/>
          <w:sz w:val="16"/>
          <w:szCs w:val="16"/>
        </w:rPr>
        <w:t>* Artículo 80, inciso b): “</w:t>
      </w:r>
      <w:r w:rsidRPr="007376AA">
        <w:rPr>
          <w:rFonts w:ascii="Arial" w:hAnsi="Arial" w:cs="Arial"/>
          <w:sz w:val="16"/>
          <w:szCs w:val="16"/>
          <w:lang w:val="es-CR"/>
        </w:rPr>
        <w:t>La Administración deberá incluir en el Programa de Adquisiciones al menos, la siguiente información:</w:t>
      </w:r>
      <w:r>
        <w:rPr>
          <w:rFonts w:ascii="Arial" w:hAnsi="Arial" w:cs="Arial"/>
          <w:sz w:val="16"/>
          <w:szCs w:val="16"/>
          <w:lang w:val="es-CR"/>
        </w:rPr>
        <w:t xml:space="preserve"> (…) </w:t>
      </w:r>
      <w:r w:rsidRPr="007376AA">
        <w:rPr>
          <w:rFonts w:ascii="Arial" w:hAnsi="Arial" w:cs="Arial"/>
          <w:sz w:val="16"/>
          <w:szCs w:val="16"/>
          <w:lang w:val="es-CR"/>
        </w:rPr>
        <w:t>b) Proyecto o programa dentro del cual se realizará la contratación.</w:t>
      </w:r>
      <w:r>
        <w:rPr>
          <w:rFonts w:ascii="Arial" w:hAnsi="Arial" w:cs="Arial"/>
          <w:sz w:val="16"/>
          <w:szCs w:val="16"/>
          <w:lang w:val="es-CR"/>
        </w:rPr>
        <w:t>”</w:t>
      </w:r>
    </w:p>
    <w:p w14:paraId="4A32C0CC" w14:textId="77777777" w:rsidR="00F757D8" w:rsidRDefault="00F757D8" w:rsidP="00F757D8">
      <w:pPr>
        <w:pStyle w:val="Textonotapie"/>
        <w:rPr>
          <w:rFonts w:ascii="Arial" w:hAnsi="Arial" w:cs="Arial"/>
          <w:sz w:val="16"/>
          <w:szCs w:val="16"/>
        </w:rPr>
      </w:pPr>
    </w:p>
    <w:p w14:paraId="181B22F6" w14:textId="77777777" w:rsidR="00F757D8" w:rsidRDefault="00F757D8" w:rsidP="00F757D8">
      <w:pPr>
        <w:pStyle w:val="Textonotapie"/>
        <w:rPr>
          <w:rFonts w:ascii="Arial" w:hAnsi="Arial" w:cs="Arial"/>
          <w:sz w:val="16"/>
          <w:szCs w:val="16"/>
        </w:rPr>
      </w:pPr>
      <w:r>
        <w:rPr>
          <w:rFonts w:ascii="Arial" w:hAnsi="Arial" w:cs="Arial"/>
          <w:sz w:val="16"/>
          <w:szCs w:val="16"/>
        </w:rPr>
        <w:t xml:space="preserve">   - </w:t>
      </w:r>
      <w:r w:rsidRPr="007376AA">
        <w:rPr>
          <w:rFonts w:ascii="Arial" w:hAnsi="Arial" w:cs="Arial"/>
          <w:sz w:val="16"/>
          <w:szCs w:val="16"/>
        </w:rPr>
        <w:t>Normas Técnicas sobre Presupuesto Público (N-1-2012-DC-DFOE)</w:t>
      </w:r>
      <w:r>
        <w:rPr>
          <w:rFonts w:ascii="Arial" w:hAnsi="Arial" w:cs="Arial"/>
          <w:sz w:val="16"/>
          <w:szCs w:val="16"/>
        </w:rPr>
        <w:t xml:space="preserve">, </w:t>
      </w:r>
      <w:r w:rsidRPr="007376AA">
        <w:rPr>
          <w:rFonts w:ascii="Arial" w:hAnsi="Arial" w:cs="Arial"/>
          <w:sz w:val="16"/>
          <w:szCs w:val="16"/>
        </w:rPr>
        <w:t>Resolución del</w:t>
      </w:r>
      <w:r>
        <w:rPr>
          <w:rFonts w:ascii="Arial" w:hAnsi="Arial" w:cs="Arial"/>
          <w:sz w:val="16"/>
          <w:szCs w:val="16"/>
        </w:rPr>
        <w:t xml:space="preserve"> </w:t>
      </w:r>
      <w:r w:rsidRPr="007376AA">
        <w:rPr>
          <w:rFonts w:ascii="Arial" w:hAnsi="Arial" w:cs="Arial"/>
          <w:sz w:val="16"/>
          <w:szCs w:val="16"/>
        </w:rPr>
        <w:t>26/03/2012</w:t>
      </w:r>
      <w:r>
        <w:rPr>
          <w:rFonts w:ascii="Arial" w:hAnsi="Arial" w:cs="Arial"/>
          <w:sz w:val="16"/>
          <w:szCs w:val="16"/>
        </w:rPr>
        <w:t xml:space="preserve">, de la Contraloría General de la República. </w:t>
      </w:r>
    </w:p>
    <w:p w14:paraId="6418EA77" w14:textId="77777777" w:rsidR="00F757D8" w:rsidRDefault="00F757D8" w:rsidP="00F757D8">
      <w:pPr>
        <w:pStyle w:val="Textonotapie"/>
        <w:ind w:firstLine="270"/>
        <w:rPr>
          <w:rFonts w:ascii="Arial" w:hAnsi="Arial" w:cs="Arial"/>
          <w:sz w:val="16"/>
          <w:szCs w:val="16"/>
          <w:lang w:val="es-CR"/>
        </w:rPr>
      </w:pPr>
      <w:r>
        <w:rPr>
          <w:rFonts w:ascii="Arial" w:hAnsi="Arial" w:cs="Arial"/>
          <w:sz w:val="16"/>
          <w:szCs w:val="16"/>
        </w:rPr>
        <w:t>* Numeral 2.2.3 Principios presupuestarios, incisos b y c: “</w:t>
      </w:r>
      <w:r w:rsidRPr="007376AA">
        <w:rPr>
          <w:rFonts w:ascii="Arial" w:hAnsi="Arial" w:cs="Arial"/>
          <w:sz w:val="16"/>
          <w:szCs w:val="16"/>
          <w:lang w:val="es-CR"/>
        </w:rPr>
        <w:t xml:space="preserve">En concordancia con el marco jurídico y técnico, tanto para el presupuesto institucional como para el proceso presupuestario, se deberá cumplir con los siguientes principios, según correspondan: (…) b) Principio de vinculación del presupuesto con la planificación institucional. El presupuesto debe responder a la planificación institucional de corto plazo y ésta a su vez a la de mediano y largo plazo que se deriven de la estrategia institucional, teniendo al Plan Nacional de Desarrollo y otros planes como los sectoriales, regionales y municipales como marco orientador global, según el nivel de autonomía de la institución // </w:t>
      </w:r>
      <w:r w:rsidRPr="007376AA">
        <w:rPr>
          <w:rFonts w:ascii="Arial" w:hAnsi="Arial" w:cs="Arial"/>
          <w:sz w:val="16"/>
          <w:szCs w:val="16"/>
        </w:rPr>
        <w:t>c) Principio de programación. Los presupuestos deberán expresar con claridad los objetivos, las metas y los productos que se pretenden alcanzar, así como los recursos necesarios para cumplirlos, de manera que puedan reflejar el costo</w:t>
      </w:r>
      <w:r>
        <w:rPr>
          <w:rFonts w:ascii="Arial" w:hAnsi="Arial" w:cs="Arial"/>
          <w:sz w:val="16"/>
          <w:szCs w:val="16"/>
        </w:rPr>
        <w:t>.</w:t>
      </w:r>
      <w:r w:rsidRPr="007376AA">
        <w:rPr>
          <w:rFonts w:ascii="Arial" w:hAnsi="Arial" w:cs="Arial"/>
          <w:sz w:val="16"/>
          <w:szCs w:val="16"/>
          <w:lang w:val="es-CR"/>
        </w:rPr>
        <w:t>”</w:t>
      </w:r>
    </w:p>
    <w:p w14:paraId="2AE7D2CA" w14:textId="77777777" w:rsidR="00F757D8" w:rsidRDefault="00F757D8" w:rsidP="00F757D8">
      <w:pPr>
        <w:pStyle w:val="Textonotapie"/>
        <w:ind w:firstLine="270"/>
        <w:rPr>
          <w:rFonts w:ascii="Arial" w:hAnsi="Arial" w:cs="Arial"/>
          <w:sz w:val="16"/>
          <w:szCs w:val="16"/>
          <w:lang w:val="es-CR"/>
        </w:rPr>
      </w:pPr>
      <w:r>
        <w:rPr>
          <w:rFonts w:ascii="Arial" w:hAnsi="Arial" w:cs="Arial"/>
          <w:sz w:val="16"/>
          <w:szCs w:val="16"/>
          <w:lang w:val="es-CR"/>
        </w:rPr>
        <w:t xml:space="preserve">* </w:t>
      </w:r>
      <w:r w:rsidRPr="00A24420">
        <w:rPr>
          <w:rFonts w:ascii="Arial" w:hAnsi="Arial" w:cs="Arial"/>
          <w:sz w:val="16"/>
          <w:szCs w:val="16"/>
          <w:lang w:val="es-CR"/>
        </w:rPr>
        <w:t xml:space="preserve">Numeral 2.2.6 </w:t>
      </w:r>
      <w:r w:rsidRPr="00D229FD">
        <w:rPr>
          <w:rFonts w:ascii="Arial" w:hAnsi="Arial" w:cs="Arial"/>
          <w:sz w:val="16"/>
          <w:szCs w:val="16"/>
        </w:rPr>
        <w:t>Contenido</w:t>
      </w:r>
      <w:r w:rsidRPr="00A24420">
        <w:rPr>
          <w:rFonts w:ascii="Arial" w:hAnsi="Arial" w:cs="Arial"/>
          <w:sz w:val="16"/>
          <w:szCs w:val="16"/>
          <w:lang w:val="es-CR"/>
        </w:rPr>
        <w:t xml:space="preserve"> del presupuesto, inciso b: “El presupuesto deberá contener al menos los siguientes elementos: (…) b) Una sección de gastos que incluirá la estimación de todos los gastos necesarios en que incurrirá la institución durante el año y que son necesarios para su operación e inversión, con el fin de lograr los objetivos y metas definidos en la planificación anual. Por lo tanto, dichos gastos deben estar debidamente financiados para todo el periodo presupuestario. Dicha sección deberá mostrar los conceptos de gastos agrupados en los diferentes niveles de clasificación, de acuerdo con los clasificadores vigentes según lo establezca el órgano competente, con la asignación presupuestaria para cada nivel en términos de la moneda oficial del país. Esto tanto a nivel global de la institución, como para cada una de las categorías programáticas definidas.</w:t>
      </w:r>
      <w:r>
        <w:rPr>
          <w:rFonts w:ascii="Arial" w:hAnsi="Arial" w:cs="Arial"/>
          <w:sz w:val="16"/>
          <w:szCs w:val="16"/>
          <w:lang w:val="es-CR"/>
        </w:rPr>
        <w:t>”</w:t>
      </w:r>
    </w:p>
    <w:p w14:paraId="1A8E5704" w14:textId="77777777" w:rsidR="00F757D8" w:rsidRDefault="00F757D8" w:rsidP="00F757D8">
      <w:pPr>
        <w:pStyle w:val="Textonotapie"/>
        <w:rPr>
          <w:rFonts w:ascii="Arial" w:hAnsi="Arial" w:cs="Arial"/>
          <w:sz w:val="16"/>
          <w:szCs w:val="16"/>
          <w:lang w:val="es-CR"/>
        </w:rPr>
      </w:pPr>
      <w:r>
        <w:rPr>
          <w:rFonts w:ascii="Arial" w:hAnsi="Arial" w:cs="Arial"/>
          <w:sz w:val="16"/>
          <w:szCs w:val="16"/>
          <w:lang w:val="es-CR"/>
        </w:rPr>
        <w:t xml:space="preserve">   </w:t>
      </w:r>
    </w:p>
    <w:p w14:paraId="61AD00CE" w14:textId="77777777" w:rsidR="00F757D8" w:rsidRDefault="00F757D8" w:rsidP="00F757D8">
      <w:pPr>
        <w:pStyle w:val="Textonotapie"/>
        <w:rPr>
          <w:rFonts w:ascii="Arial" w:hAnsi="Arial" w:cs="Arial"/>
          <w:sz w:val="16"/>
          <w:szCs w:val="16"/>
          <w:lang w:val="es-CR"/>
        </w:rPr>
      </w:pPr>
      <w:r>
        <w:rPr>
          <w:rFonts w:ascii="Arial" w:hAnsi="Arial" w:cs="Arial"/>
          <w:sz w:val="16"/>
          <w:szCs w:val="16"/>
          <w:lang w:val="es-CR"/>
        </w:rPr>
        <w:t xml:space="preserve">     - </w:t>
      </w:r>
      <w:r w:rsidRPr="00502652">
        <w:rPr>
          <w:rFonts w:ascii="Arial" w:hAnsi="Arial" w:cs="Arial"/>
          <w:sz w:val="16"/>
          <w:szCs w:val="16"/>
          <w:lang w:val="es-CR"/>
        </w:rPr>
        <w:t>Normas de control interno para el Sector Público (N-2-2009-CO-DFOE) y reforma Resoluciones N° R-CO-64-2005, N° R-CO-26-2007, N° R-CO-10-2007</w:t>
      </w:r>
      <w:r>
        <w:rPr>
          <w:rFonts w:ascii="Arial" w:hAnsi="Arial" w:cs="Arial"/>
          <w:sz w:val="16"/>
          <w:szCs w:val="16"/>
          <w:lang w:val="es-CR"/>
        </w:rPr>
        <w:t xml:space="preserve">, </w:t>
      </w:r>
      <w:r w:rsidRPr="00502652">
        <w:rPr>
          <w:rFonts w:ascii="Arial" w:hAnsi="Arial" w:cs="Arial"/>
          <w:sz w:val="16"/>
          <w:szCs w:val="16"/>
          <w:lang w:val="es-CR"/>
        </w:rPr>
        <w:t>Resolución</w:t>
      </w:r>
      <w:r>
        <w:rPr>
          <w:rFonts w:ascii="Arial" w:hAnsi="Arial" w:cs="Arial"/>
          <w:sz w:val="16"/>
          <w:szCs w:val="16"/>
          <w:lang w:val="es-CR"/>
        </w:rPr>
        <w:t xml:space="preserve"> 9 </w:t>
      </w:r>
      <w:r w:rsidRPr="00502652">
        <w:rPr>
          <w:rFonts w:ascii="Arial" w:hAnsi="Arial" w:cs="Arial"/>
          <w:sz w:val="16"/>
          <w:szCs w:val="16"/>
          <w:lang w:val="es-CR"/>
        </w:rPr>
        <w:t>del</w:t>
      </w:r>
      <w:r>
        <w:rPr>
          <w:rFonts w:ascii="Arial" w:hAnsi="Arial" w:cs="Arial"/>
          <w:sz w:val="16"/>
          <w:szCs w:val="16"/>
          <w:lang w:val="es-CR"/>
        </w:rPr>
        <w:t xml:space="preserve"> </w:t>
      </w:r>
      <w:r w:rsidRPr="00502652">
        <w:rPr>
          <w:rFonts w:ascii="Arial" w:hAnsi="Arial" w:cs="Arial"/>
          <w:sz w:val="16"/>
          <w:szCs w:val="16"/>
          <w:lang w:val="es-CR"/>
        </w:rPr>
        <w:t>26/01/2009</w:t>
      </w:r>
      <w:r>
        <w:rPr>
          <w:rFonts w:ascii="Arial" w:hAnsi="Arial" w:cs="Arial"/>
          <w:sz w:val="16"/>
          <w:szCs w:val="16"/>
          <w:lang w:val="es-CR"/>
        </w:rPr>
        <w:t>, de la Contraloría General de la República:</w:t>
      </w:r>
    </w:p>
    <w:p w14:paraId="4504BC32" w14:textId="77777777" w:rsidR="00F757D8" w:rsidRPr="007376AA" w:rsidRDefault="00F757D8" w:rsidP="00F757D8">
      <w:pPr>
        <w:pStyle w:val="Textonotapie"/>
        <w:ind w:firstLine="270"/>
        <w:rPr>
          <w:rFonts w:ascii="Arial" w:hAnsi="Arial" w:cs="Arial"/>
          <w:sz w:val="16"/>
          <w:szCs w:val="16"/>
          <w:lang w:val="es-CR"/>
        </w:rPr>
      </w:pPr>
      <w:r>
        <w:rPr>
          <w:rFonts w:ascii="Arial" w:hAnsi="Arial" w:cs="Arial"/>
          <w:sz w:val="16"/>
          <w:szCs w:val="16"/>
          <w:lang w:val="es-CR"/>
        </w:rPr>
        <w:t xml:space="preserve">* Numeral </w:t>
      </w:r>
      <w:r w:rsidRPr="00502652">
        <w:rPr>
          <w:rFonts w:ascii="Arial" w:hAnsi="Arial" w:cs="Arial"/>
          <w:sz w:val="16"/>
          <w:szCs w:val="16"/>
          <w:lang w:val="es-CR"/>
        </w:rPr>
        <w:t>4.4.1 Documentación y registro de la gestión institucional</w:t>
      </w:r>
      <w:r>
        <w:rPr>
          <w:rFonts w:ascii="Arial" w:hAnsi="Arial" w:cs="Arial"/>
          <w:sz w:val="16"/>
          <w:szCs w:val="16"/>
          <w:lang w:val="es-CR"/>
        </w:rPr>
        <w:t>: “</w:t>
      </w:r>
      <w:r w:rsidRPr="00502652">
        <w:rPr>
          <w:rFonts w:ascii="Arial" w:hAnsi="Arial" w:cs="Arial"/>
          <w:sz w:val="16"/>
          <w:szCs w:val="16"/>
          <w:lang w:val="es-CR"/>
        </w:rPr>
        <w:t>El jerarca y los titulares subordinados, según sus competencias, deben establecer las medidas pertinentes para que los actos de la gestión institucional, sus resultados y otros eventos relevantes, se registren y documenten en el lapso adecuado y conveniente, y se garanticen razonablemente la confidencialidad y el acceso a la información pública, según corresponda.</w:t>
      </w:r>
      <w:r>
        <w:rPr>
          <w:rFonts w:ascii="Arial" w:hAnsi="Arial" w:cs="Arial"/>
          <w:sz w:val="16"/>
          <w:szCs w:val="16"/>
          <w:lang w:val="es-CR"/>
        </w:rPr>
        <w:t>”</w:t>
      </w:r>
    </w:p>
    <w:p w14:paraId="61B4B070" w14:textId="77777777" w:rsidR="00F757D8" w:rsidRPr="007376AA" w:rsidRDefault="00F757D8" w:rsidP="00F757D8">
      <w:pPr>
        <w:pStyle w:val="Textonotapie"/>
        <w:rPr>
          <w:rFonts w:ascii="Arial" w:hAnsi="Arial" w:cs="Arial"/>
          <w:sz w:val="16"/>
          <w:szCs w:val="16"/>
        </w:rPr>
      </w:pPr>
    </w:p>
  </w:footnote>
  <w:footnote w:id="6">
    <w:p w14:paraId="6BE1B691" w14:textId="77777777" w:rsidR="00F757D8" w:rsidRPr="006A76CB" w:rsidRDefault="00F757D8" w:rsidP="00F757D8">
      <w:pPr>
        <w:pStyle w:val="Textonotapie"/>
        <w:rPr>
          <w:rFonts w:ascii="Arial" w:hAnsi="Arial" w:cs="Arial"/>
          <w:sz w:val="16"/>
          <w:szCs w:val="16"/>
        </w:rPr>
      </w:pPr>
      <w:r w:rsidRPr="00106B33">
        <w:rPr>
          <w:rStyle w:val="Refdenotaalpie"/>
          <w:rFonts w:ascii="Arial" w:hAnsi="Arial" w:cs="Arial"/>
          <w:sz w:val="16"/>
          <w:szCs w:val="16"/>
        </w:rPr>
        <w:footnoteRef/>
      </w:r>
      <w:r w:rsidRPr="00106B33">
        <w:rPr>
          <w:rFonts w:ascii="Arial" w:hAnsi="Arial" w:cs="Arial"/>
          <w:sz w:val="16"/>
          <w:szCs w:val="16"/>
        </w:rPr>
        <w:t xml:space="preserve"> Al momento de emisión de este informe ese subproceso fue rediseñado y renombrado.</w:t>
      </w:r>
    </w:p>
  </w:footnote>
  <w:footnote w:id="7">
    <w:p w14:paraId="4D25B882" w14:textId="77777777" w:rsidR="00F757D8" w:rsidRPr="006A76CB" w:rsidRDefault="00F757D8" w:rsidP="00F757D8">
      <w:pPr>
        <w:pStyle w:val="Textonotapie"/>
        <w:rPr>
          <w:rFonts w:ascii="Arial" w:hAnsi="Arial" w:cs="Arial"/>
          <w:sz w:val="16"/>
          <w:szCs w:val="16"/>
        </w:rPr>
      </w:pPr>
      <w:r w:rsidRPr="00106B33">
        <w:rPr>
          <w:rStyle w:val="Refdenotaalpie"/>
          <w:rFonts w:ascii="Arial" w:hAnsi="Arial" w:cs="Arial"/>
          <w:sz w:val="16"/>
          <w:szCs w:val="16"/>
        </w:rPr>
        <w:footnoteRef/>
      </w:r>
      <w:r w:rsidRPr="00106B33">
        <w:rPr>
          <w:rFonts w:ascii="Arial" w:hAnsi="Arial" w:cs="Arial"/>
          <w:sz w:val="16"/>
          <w:szCs w:val="16"/>
        </w:rPr>
        <w:t xml:space="preserve"> R.1 (Prioridad 2) Establecer actividades de control y seguimiento de segunda línea que garanticen que en el informe de evaluación de resultados (semestral y anual), se incluyan los cambios en la distribución original del presupuesto aprobado (producto de modificaciones y variaciones), por programa, partida presupuestaria y centro gestor, así como el análisis del impacto de dichos cambios en la consecución de las metas y los objetivos institucionales, para los cuales fueron formulados y aprobados los recursos. Fecha de atención: marzo 2027.</w:t>
      </w:r>
    </w:p>
  </w:footnote>
  <w:footnote w:id="8">
    <w:p w14:paraId="3B24395B" w14:textId="77777777" w:rsidR="00F757D8" w:rsidRPr="000220AA" w:rsidRDefault="00F757D8" w:rsidP="00F757D8">
      <w:pPr>
        <w:pStyle w:val="NormalWeb"/>
        <w:spacing w:before="0" w:beforeAutospacing="0" w:after="0" w:afterAutospacing="0"/>
        <w:rPr>
          <w:rFonts w:ascii="Segoe UI" w:hAnsi="Segoe UI" w:cs="Segoe UI"/>
          <w:sz w:val="16"/>
          <w:szCs w:val="16"/>
        </w:rPr>
      </w:pPr>
      <w:r w:rsidRPr="000220AA">
        <w:rPr>
          <w:rStyle w:val="Refdenotaalpie"/>
          <w:rFonts w:ascii="Arial" w:hAnsi="Arial" w:cs="Arial"/>
          <w:sz w:val="16"/>
          <w:szCs w:val="16"/>
        </w:rPr>
        <w:footnoteRef/>
      </w:r>
      <w:r w:rsidRPr="000220AA">
        <w:rPr>
          <w:sz w:val="16"/>
          <w:szCs w:val="16"/>
        </w:rPr>
        <w:t xml:space="preserve"> </w:t>
      </w:r>
      <w:r w:rsidRPr="000220AA">
        <w:rPr>
          <w:rFonts w:ascii="Arial" w:hAnsi="Arial" w:cs="Arial"/>
          <w:sz w:val="16"/>
          <w:szCs w:val="16"/>
        </w:rPr>
        <w:t>Indica que los resultados obtenidos de los procedimientos efectuados por la Auditoría satisfacen algunos de los criterios evaluados.</w:t>
      </w:r>
      <w:r w:rsidRPr="000220AA">
        <w:rPr>
          <w:rFonts w:ascii="Segoe UI" w:hAnsi="Segoe UI" w:cs="Segoe UI"/>
          <w:sz w:val="16"/>
          <w:szCs w:val="16"/>
        </w:rPr>
        <w:t xml:space="preserve"> </w:t>
      </w:r>
    </w:p>
    <w:p w14:paraId="77B921A3" w14:textId="77777777" w:rsidR="00F757D8" w:rsidRPr="004154A1" w:rsidRDefault="00F757D8" w:rsidP="00F757D8">
      <w:pPr>
        <w:pStyle w:val="Textonotapie"/>
        <w:rPr>
          <w:lang w:val="es-MX"/>
        </w:rPr>
      </w:pPr>
    </w:p>
  </w:footnote>
  <w:footnote w:id="9">
    <w:p w14:paraId="144C524B" w14:textId="77777777" w:rsidR="00F757D8" w:rsidRPr="001A0BBC" w:rsidRDefault="00F757D8" w:rsidP="00F757D8">
      <w:pPr>
        <w:pStyle w:val="Textonotapie"/>
        <w:rPr>
          <w:rFonts w:ascii="Arial" w:hAnsi="Arial" w:cs="Arial"/>
          <w:sz w:val="16"/>
          <w:szCs w:val="16"/>
        </w:rPr>
      </w:pPr>
      <w:r w:rsidRPr="001A0BBC">
        <w:rPr>
          <w:rStyle w:val="Refdenotaalpie"/>
          <w:rFonts w:ascii="Arial" w:hAnsi="Arial" w:cs="Arial"/>
          <w:sz w:val="16"/>
          <w:szCs w:val="16"/>
        </w:rPr>
        <w:footnoteRef/>
      </w:r>
      <w:r w:rsidRPr="001A0BBC">
        <w:rPr>
          <w:rFonts w:ascii="Arial" w:hAnsi="Arial" w:cs="Arial"/>
          <w:sz w:val="16"/>
          <w:szCs w:val="16"/>
        </w:rPr>
        <w:t xml:space="preserve"> La División Transformación y Estrategia no se pronunció sobre el informe.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50F2DD0F"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6F52DDD3" w14:textId="77777777">
    <w:pPr>
      <w:pStyle w:val="Encabezado"/>
      <w:jc w:val="center"/>
    </w:pPr>
    <w:r>
      <w:rPr>
        <w:noProof/>
        <w:lang w:val="es-CR" w:eastAsia="es-CR"/>
      </w:rPr>
      <w:drawing>
        <wp:anchor distT="0" distB="0" distL="114300" distR="114300" simplePos="0" relativeHeight="251696128" behindDoc="1" locked="0" layoutInCell="1" allowOverlap="1" wp14:editId="2C00A348" wp14:anchorId="471C83FF">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149BF3CA" wp14:anchorId="2F84CC3C">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197ED9FB" w14:textId="77777777">
    <w:pPr>
      <w:pStyle w:val="Encabezado"/>
      <w:jc w:val="center"/>
    </w:pPr>
    <w:r>
      <w:rPr>
        <w:noProof/>
        <w:lang w:val="es-CR" w:eastAsia="es-CR"/>
      </w:rPr>
      <w:drawing>
        <wp:anchor distT="0" distB="0" distL="114300" distR="114300" simplePos="0" relativeHeight="251694080" behindDoc="1" locked="0" layoutInCell="1" allowOverlap="1" wp14:editId="2F679741" wp14:anchorId="05447C77">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28570045" wp14:anchorId="34227108">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4C12CF8"/>
    <w:multiLevelType w:val="hybridMultilevel"/>
    <w:tmpl w:val="F900034A"/>
    <w:lvl w:ilvl="0" w:tplc="140A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697846045">
    <w:abstractNumId w:val="10"/>
  </w:num>
  <w:num w:numId="2" w16cid:durableId="1594387854">
    <w:abstractNumId w:val="13"/>
  </w:num>
  <w:num w:numId="3" w16cid:durableId="1435445720">
    <w:abstractNumId w:val="9"/>
  </w:num>
  <w:num w:numId="4" w16cid:durableId="672414413">
    <w:abstractNumId w:val="7"/>
  </w:num>
  <w:num w:numId="5" w16cid:durableId="128406309">
    <w:abstractNumId w:val="6"/>
  </w:num>
  <w:num w:numId="6" w16cid:durableId="1952664919">
    <w:abstractNumId w:val="5"/>
  </w:num>
  <w:num w:numId="7" w16cid:durableId="1871722955">
    <w:abstractNumId w:val="4"/>
  </w:num>
  <w:num w:numId="8" w16cid:durableId="1334917682">
    <w:abstractNumId w:val="8"/>
  </w:num>
  <w:num w:numId="9" w16cid:durableId="498664897">
    <w:abstractNumId w:val="3"/>
  </w:num>
  <w:num w:numId="10" w16cid:durableId="586154974">
    <w:abstractNumId w:val="2"/>
  </w:num>
  <w:num w:numId="11" w16cid:durableId="545147993">
    <w:abstractNumId w:val="1"/>
  </w:num>
  <w:num w:numId="12" w16cid:durableId="940995583">
    <w:abstractNumId w:val="0"/>
  </w:num>
  <w:num w:numId="13" w16cid:durableId="2145535272">
    <w:abstractNumId w:val="11"/>
  </w:num>
  <w:num w:numId="14" w16cid:durableId="16914455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D8"/>
    <w:rsid w:val="000064A4"/>
    <w:rsid w:val="000235B5"/>
    <w:rsid w:val="00026C85"/>
    <w:rsid w:val="000439A6"/>
    <w:rsid w:val="00060C03"/>
    <w:rsid w:val="000646DD"/>
    <w:rsid w:val="00074D24"/>
    <w:rsid w:val="00081865"/>
    <w:rsid w:val="00082968"/>
    <w:rsid w:val="000A16BF"/>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47FD3"/>
    <w:rsid w:val="00E5185D"/>
    <w:rsid w:val="00E75AC8"/>
    <w:rsid w:val="00E81553"/>
    <w:rsid w:val="00EB71D8"/>
    <w:rsid w:val="00EC7A70"/>
    <w:rsid w:val="00EE00D4"/>
    <w:rsid w:val="00EE3A47"/>
    <w:rsid w:val="00EF0C8B"/>
    <w:rsid w:val="00F1102D"/>
    <w:rsid w:val="00F1297C"/>
    <w:rsid w:val="00F64992"/>
    <w:rsid w:val="00F654F5"/>
    <w:rsid w:val="00F70AB7"/>
    <w:rsid w:val="00F757D8"/>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5EE719B"/>
  <w15:docId w15:val="{CFB0C912-E141-440D-8A19-22F2EA0F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paragraph" w:styleId="Ttulo1">
    <w:name w:val="heading 1"/>
    <w:basedOn w:val="Normal"/>
    <w:next w:val="Normal"/>
    <w:link w:val="Ttulo1Car"/>
    <w:qFormat/>
    <w:locked/>
    <w:rsid w:val="00F757D8"/>
    <w:pPr>
      <w:keepNext/>
      <w:spacing w:before="240" w:after="60"/>
      <w:jc w:val="left"/>
      <w:outlineLvl w:val="0"/>
    </w:pPr>
    <w:rPr>
      <w:rFonts w:ascii="Arial" w:hAnsi="Arial" w:cs="Arial"/>
      <w:b/>
      <w:bCs/>
      <w:kern w:val="32"/>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character" w:customStyle="1" w:styleId="Ttulo1Car">
    <w:name w:val="Título 1 Car"/>
    <w:basedOn w:val="Fuentedeprrafopredeter"/>
    <w:link w:val="Ttulo1"/>
    <w:rsid w:val="00F757D8"/>
    <w:rPr>
      <w:rFonts w:ascii="Arial" w:eastAsia="Times New Roman" w:hAnsi="Arial" w:cs="Arial"/>
      <w:b/>
      <w:bCs/>
      <w:kern w:val="32"/>
      <w:sz w:val="32"/>
      <w:szCs w:val="32"/>
      <w:lang w:val="en-US" w:eastAsia="en-US"/>
    </w:rPr>
  </w:style>
  <w:style w:type="paragraph" w:styleId="Textonotapie">
    <w:name w:val="footnote text"/>
    <w:aliases w:val=" Car Car,Car Car, Car Char,Car,Car Char, Car"/>
    <w:basedOn w:val="Normal"/>
    <w:link w:val="TextonotapieCar"/>
    <w:uiPriority w:val="99"/>
    <w:unhideWhenUsed/>
    <w:locked/>
    <w:rsid w:val="00F757D8"/>
    <w:rPr>
      <w:sz w:val="20"/>
      <w:szCs w:val="20"/>
    </w:rPr>
  </w:style>
  <w:style w:type="character" w:customStyle="1" w:styleId="TextonotapieCar">
    <w:name w:val="Texto nota pie Car"/>
    <w:aliases w:val=" Car Car Car,Car Car Car, Car Char Car,Car Car1,Car Char Car, Car Car1"/>
    <w:basedOn w:val="Fuentedeprrafopredeter"/>
    <w:link w:val="Textonotapie"/>
    <w:uiPriority w:val="99"/>
    <w:rsid w:val="00F757D8"/>
    <w:rPr>
      <w:rFonts w:eastAsia="Times New Roman"/>
      <w:lang w:val="es-ES" w:eastAsia="en-US"/>
    </w:rPr>
  </w:style>
  <w:style w:type="character" w:styleId="Refdenotaalpie">
    <w:name w:val="footnote reference"/>
    <w:basedOn w:val="Fuentedeprrafopredeter"/>
    <w:uiPriority w:val="99"/>
    <w:unhideWhenUsed/>
    <w:locked/>
    <w:rsid w:val="00F757D8"/>
    <w:rPr>
      <w:vertAlign w:val="superscript"/>
    </w:rPr>
  </w:style>
  <w:style w:type="paragraph" w:styleId="Prrafodelista">
    <w:name w:val="List Paragraph"/>
    <w:aliases w:val="Bullet 1,Use Case List Paragraph"/>
    <w:basedOn w:val="Normal"/>
    <w:link w:val="PrrafodelistaCar"/>
    <w:uiPriority w:val="34"/>
    <w:qFormat/>
    <w:locked/>
    <w:rsid w:val="00F757D8"/>
    <w:pPr>
      <w:ind w:left="720"/>
      <w:contextualSpacing/>
    </w:pPr>
  </w:style>
  <w:style w:type="character" w:customStyle="1" w:styleId="PrrafodelistaCar">
    <w:name w:val="Párrafo de lista Car"/>
    <w:aliases w:val="Bullet 1 Car,Use Case List Paragraph Car"/>
    <w:link w:val="Prrafodelista"/>
    <w:uiPriority w:val="34"/>
    <w:rsid w:val="00F757D8"/>
    <w:rPr>
      <w:rFonts w:eastAsia="Times New Roman"/>
      <w:sz w:val="22"/>
      <w:szCs w:val="24"/>
      <w:lang w:val="es-ES" w:eastAsia="en-US"/>
    </w:rPr>
  </w:style>
  <w:style w:type="character" w:styleId="Hipervnculo">
    <w:name w:val="Hyperlink"/>
    <w:uiPriority w:val="99"/>
    <w:locked/>
    <w:rsid w:val="00F757D8"/>
    <w:rPr>
      <w:color w:val="0000FF"/>
      <w:u w:val="single"/>
    </w:rPr>
  </w:style>
  <w:style w:type="paragraph" w:styleId="NormalWeb">
    <w:name w:val="Normal (Web)"/>
    <w:basedOn w:val="Normal"/>
    <w:uiPriority w:val="99"/>
    <w:locked/>
    <w:rsid w:val="00F757D8"/>
    <w:pPr>
      <w:spacing w:before="100" w:beforeAutospacing="1" w:after="100" w:afterAutospacing="1"/>
      <w:jc w:val="left"/>
    </w:pPr>
    <w:rPr>
      <w:rFonts w:ascii="Times New Roman" w:hAnsi="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2.xml"/><Relationship Id="rId24" Type="http://schemas.openxmlformats.org/officeDocument/2006/relationships/glossaryDocument" Target="glossary/document.xml"/><Relationship Id="rId6" Type="http://schemas.openxmlformats.org/officeDocument/2006/relationships/customXml" Target="../customXml/item6.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package" Target="embeddings/Microsoft_Word_Document.docx"/><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BAB24AD4E4CE38FD172E4631D1D1C"/>
        <w:category>
          <w:name w:val="General"/>
          <w:gallery w:val="placeholder"/>
        </w:category>
        <w:types>
          <w:type w:val="bbPlcHdr"/>
        </w:types>
        <w:behaviors>
          <w:behavior w:val="content"/>
        </w:behaviors>
        <w:guid w:val="{51286404-0A7A-42E1-80C1-29CCE5ADCD45}"/>
      </w:docPartPr>
      <w:docPartBody>
        <w:p w:rsidR="00470C15" w:rsidRDefault="00470C15">
          <w:pPr>
            <w:pStyle w:val="4B6BAB24AD4E4CE38FD172E4631D1D1C"/>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C15"/>
    <w:rsid w:val="000A16BF"/>
    <w:rsid w:val="00470C15"/>
    <w:rsid w:val="00E47FD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4B6BAB24AD4E4CE38FD172E4631D1D1C">
    <w:name w:val="4B6BAB24AD4E4CE38FD172E4631D1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3uWx1nPKkUUekdUppXPXoR20dJLBNyWm5bjpZkBvM7U=</DigestValue>
    </Reference>
    <Reference Type="http://uri.etsi.org/01903#SignedProperties" URI="#idSignedProperties">
      <Transforms>
        <Transform Algorithm="http://www.w3.org/TR/2001/REC-xml-c14n-20010315"/>
      </Transforms>
      <DigestMethod Algorithm="http://www.w3.org/2001/04/xmlenc#sha256"/>
      <DigestValue>dfhcYu9A9EsOEoYW4Nxy3KqnaSs9iXn9C8Tn/V66zyM=</DigestValue>
    </Reference>
  </SignedInfo>
  <SignatureValue>FliaylD80NLyYd2hMTLRF2xksepXWlNivMFfTv03GToZ/eGfTkxsdL1H1GtoclHWt+oo2a6sLxs0u6xyXbrpho5o5tEqCtI4GjAeHfiItcgHE7WoueDygONStncDMg7H5xJJ+phVCDTee1JyGlacb2z0TxtQxlnmoowRjCf0JEHT9k6NVodq4cgQQEDo6GdLQ4DSnH46UWeTDQG6g0rHPwoiz81MncvEmNzDM2FGbRM3NsRtBMRB767hHTvxeVl3esS8UcAeZdPGEqxd7b1bk+GyihZl6rwr2NQZpjcmRd5fZoPmClTNZnTLR9Mj+cM4H4s/gk4C3ztg3BhQX8otTQ==</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qM2zHoQ2BGGhJupAT7TvxujTTGlBlCDlr7FNbHg8G+o=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G6x1t1QTX6P2aKDLavZYM0cyz3dyM7p6nanM54bgXZc=</DigestValue>
      </Reference>
      <Reference URI="/word/numbering.xml?ContentType=application/vnd.openxmlformats-officedocument.wordprocessingml.numbering+xml">
        <DigestMethod Algorithm="http://www.w3.org/2001/04/xmlenc#sha256"/>
        <DigestValue>69lzw1mQVLPmuIihyLzTsBonkxXWfp25pzxxBxDbGb0=</DigestValue>
      </Reference>
      <Reference URI="/word/endnotes.xml?ContentType=application/vnd.openxmlformats-officedocument.wordprocessingml.endnotes+xml">
        <DigestMethod Algorithm="http://www.w3.org/2001/04/xmlenc#sha256"/>
        <DigestValue>1FeL6KI/vGDdw9n+CjaHqEqa9ys6yRhUuXhdDZpArCk=</DigestValue>
      </Reference>
      <Reference URI="/word/header2.xml?ContentType=application/vnd.openxmlformats-officedocument.wordprocessingml.header+xml">
        <DigestMethod Algorithm="http://www.w3.org/2001/04/xmlenc#sha256"/>
        <DigestValue>VmWx0YGhVOs4avVLpkdXJcgJThxMDr3gcNM3gk4lUpU=</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x60ImN2WQqEA+Vbqynrfg+vRozdaEWrYyCoMQ2YARSw=</DigestValue>
      </Reference>
      <Reference URI="/word/footnotes.xml?ContentType=application/vnd.openxmlformats-officedocument.wordprocessingml.footnotes+xml">
        <DigestMethod Algorithm="http://www.w3.org/2001/04/xmlenc#sha256"/>
        <DigestValue>E6BYUN+1VltNVtQJDDdBiAGzUEthWXSTYarzZQkvHKE=</DigestValue>
      </Reference>
      <Reference URI="/word/header1.xml?ContentType=application/vnd.openxmlformats-officedocument.wordprocessingml.header+xml">
        <DigestMethod Algorithm="http://www.w3.org/2001/04/xmlenc#sha256"/>
        <DigestValue>ciW4Oe2RTYA57srogQLwtHzWI/HliTq1N8C9r8Ev3bE=</DigestValue>
      </Reference>
      <Reference URI="/word/theme/theme1.xml?ContentType=application/vnd.openxmlformats-officedocument.theme+xml">
        <DigestMethod Algorithm="http://www.w3.org/2001/04/xmlenc#sha256"/>
        <DigestValue>9TZ4mZI8zGI3VflhVf7jIYdeWBzUvylr4fmB98sbr7g=</DigestValue>
      </Reference>
      <Reference URI="/word/media/image2.jpeg?ContentType=image/jpeg">
        <DigestMethod Algorithm="http://www.w3.org/2001/04/xmlenc#sha256"/>
        <DigestValue>i5L6dPa91f4vprUe/qDpQrrKZLI1MiYL71asHHkAjWs=</DigestValue>
      </Reference>
      <Reference URI="/word/footer2.xml?ContentType=application/vnd.openxmlformats-officedocument.wordprocessingml.footer+xml">
        <DigestMethod Algorithm="http://www.w3.org/2001/04/xmlenc#sha256"/>
        <DigestValue>vZTsKfvFK8Jq2yL4KkcVQgkWZqa0L1xYA4qIGj0a9kg=</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q0PLZcb5LVfl4onDYoBwYMSJSKj/Zh9ecKNGjI1WvJE=</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o4yvOOwG6xJ7X59qk2fYaqbrpnwX8WFgAhhYMn4ZIpI=</DigestValue>
      </Reference>
      <Reference URI="/word/glossary/styles.xml?ContentType=application/vnd.openxmlformats-officedocument.wordprocessingml.styles+xml">
        <DigestMethod Algorithm="http://www.w3.org/2001/04/xmlenc#sha256"/>
        <DigestValue>azFkfaiVZm39mEwAe/Rj0odpVnIYoNJQ/tmUTcE8ju4=</DigestValue>
      </Reference>
      <Reference URI="/word/glossary/fontTable.xml?ContentType=application/vnd.openxmlformats-officedocument.wordprocessingml.fontTable+xml">
        <DigestMethod Algorithm="http://www.w3.org/2001/04/xmlenc#sha256"/>
        <DigestValue>q3gZW+6u0aUn3dTMBYHO9mL6mSPOkWX3csyAVfcSDOY=</DigestValue>
      </Reference>
      <Reference URI="/word/embeddings/Microsoft_Word_Document.docx?ContentType=application/vnd.openxmlformats-officedocument.wordprocessingml.document">
        <DigestMethod Algorithm="http://www.w3.org/2001/04/xmlenc#sha256"/>
        <DigestValue>ZBiAy+pv3r8zgH+/6zgY1LvrMgsdCX5zMnwb1c45R70=</DigestValue>
      </Reference>
      <Reference URI="/word/fontTable.xml?ContentType=application/vnd.openxmlformats-officedocument.wordprocessingml.fontTable+xml">
        <DigestMethod Algorithm="http://www.w3.org/2001/04/xmlenc#sha256"/>
        <DigestValue>T047vovSNIKkpNlzH6p6liH9KY+AQEK+hSLouvoYnX4=</DigestValue>
      </Reference>
      <Reference URI="/word/settings.xml?ContentType=application/vnd.openxmlformats-officedocument.wordprocessingml.settings+xml">
        <DigestMethod Algorithm="http://www.w3.org/2001/04/xmlenc#sha256"/>
        <DigestValue>m3k9v05i1j5xhU3V2lLZagP+X+JFCApF2By7dZS1FH0=</DigestValue>
      </Reference>
      <Reference URI="/word/footer1.xml?ContentType=application/vnd.openxmlformats-officedocument.wordprocessingml.footer+xml">
        <DigestMethod Algorithm="http://www.w3.org/2001/04/xmlenc#sha256"/>
        <DigestValue>nJG6xwtV0gxCQWE8b514GoH/3NEtkqS2hYe+QJTVjJU=</DigestValue>
      </Reference>
      <Reference URI="/word/styles.xml?ContentType=application/vnd.openxmlformats-officedocument.wordprocessingml.styles+xml">
        <DigestMethod Algorithm="http://www.w3.org/2001/04/xmlenc#sha256"/>
        <DigestValue>7itDtbTBxVhmpYBUw1uPM92dWRf3kBbfjE7DisN6DQ8=</DigestValue>
      </Reference>
      <Reference URI="/word/media/image1.emf?ContentType=image/x-emf">
        <DigestMethod Algorithm="http://www.w3.org/2001/04/xmlenc#sha256"/>
        <DigestValue>AbJ6uU0L4YX9bj0FMpPLT7VjP7fl+jOvAiVTTd2PlsA=</DigestValue>
      </Reference>
      <Reference URI="/word/footer3.xml?ContentType=application/vnd.openxmlformats-officedocument.wordprocessingml.footer+xml">
        <DigestMethod Algorithm="http://www.w3.org/2001/04/xmlenc#sha256"/>
        <DigestValue>dRsedt9vRWq7IlE6yMzR34vzbKleB8R0xSkLlUZOxyU=</DigestValue>
      </Reference>
    </Manifest>
    <SignatureProperties>
      <SignatureProperty Id="idSignatureTime" Target="#idPackageSignature">
        <mdssi:SignatureTime xmlns:mdssi="http://schemas.openxmlformats.org/package/2006/digital-signature">
          <mdssi:Format>YYYY-MM-DDThh:mm:ssTZD</mdssi:Format>
          <mdssi:Value>2025-12-22T18:14:39Z</mdssi:Value>
        </mdssi:SignatureTime>
      </SignatureProperty>
    </SignatureProperties>
  </Object>
  <Object>
    <xd:QualifyingProperties xmlns:xd="http://uri.etsi.org/01903/v1.3.2#" Target="#idPackageSignature">
      <xd:SignedProperties Id="idSignedProperties">
        <xd:SignedSignatureProperties>
          <xd:SigningTime>2025-12-22T18:14:39Z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Wu+/ZJWznbfNSvIU1z0fuRrVkBGvh5FTwwmlwRKmm1wCBCleDuAYDzIwMjUxMjIyMTgxNDQ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fMPmOJ34ItCHuSdYVIXTXQE/wlE=</xd:ByKey>
                  </xd:ResponderID>
                  <xd:ProducedAt>2025-12-22T18:14:48Z</xd:ProducedAt>
                </xd:OCSPIdentifier>
                <xd:DigestAlgAndValue>
                  <DigestMethod Algorithm="http://www.w3.org/2001/04/xmlenc#sha256"/>
                  <DigestValue>MmGaBJpZoeHNnx8I8o7dXfzTCyKAXePthUWieowk7Bo=</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</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BKBkBGIwYAIBAQYIYIE8AQEBAQUwMTANBglghkgBZQMEAgEFAAQgKdvMpMfIJCl7ebthrpK75fAA
K4ZPcnpA1itYG6U7n64CBCleDuEYDzIwMjUxMjIyMTgxNDQ4WjAEgAIB9AEB/6CCB8Iwgge+MIIF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CSqGSIb3DQEJAzENBgsqhkiG9w0BCRABBDAcBgkqhkiG9w0BCQUxDxcNMjUxMjIyMTgxNDQ4WjAv
BgkqhkiG9w0BCQQxIgQgQXE7z1r0vSw1Bkj8DI2kycml5XfXec2yIWjbOUORhccwNwYLKoZIhvcN
AQkQAi8xKDAmMCQwIgQgrKszXYj6Q2nTJpWV/NZakemXG2IrBO983WoSsYOW808wDQYJKoZIhvcN
AQEBBQAEggEAYJ/PcQVl4p75QjdIu128zaiLAm47MSKhB5Cpy003VSYh9D3UR9E4QyEtcY062tXv
APUyYfr7V26hYPYRm1wHljDmzpw/NPS5UQHnTaacgZcVUmpwDL3k41iermhKf9YYmcoRkGAKRKcP
TO6SXfC8da1tFx2GmGSOXZ7yzkat0oWpJXJIJvBHoLnBWkrx6MWDulgJv/Z54ZmOXqnesFXtEa/2
0rMwciNIFPT6sL+YjQXLgU8/p7GH+pcJfkJF10FJSihvbr8x2z5OuAVklAn8ZVWRhBNSH+jNPHlH
TxXSFvN3yeNld6D7iML+Ld+9CBytv9DvQk5xsO0WIBItl5utDA==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9F76-280E-4EB2-A0DB-4D329FFE1132}"/>
</file>

<file path=customXml/itemProps2.xml><?xml version="1.0" encoding="utf-8"?>
<ds:datastoreItem xmlns:ds="http://schemas.openxmlformats.org/officeDocument/2006/customXml" ds:itemID="{805026B0-B1F8-4AB8-808D-0FD19405CA24}"/>
</file>

<file path=customXml/itemProps3.xml><?xml version="1.0" encoding="utf-8"?>
<ds:datastoreItem xmlns:ds="http://schemas.openxmlformats.org/officeDocument/2006/customXml" ds:itemID="{283BF82E-1A70-4392-8CF2-7DEAFF1953AE}">
  <ds:schemaRefs>
    <ds:schemaRef ds:uri="http://schemas.microsoft.com/sharepoint/v3"/>
    <ds:schemaRef ds:uri="http://purl.org/dc/terms/"/>
    <ds:schemaRef ds:uri="http://schemas.microsoft.com/office/2006/metadata/properties"/>
    <ds:schemaRef ds:uri="b875e23b-67d9-4b2e-bdec-edacbf90b326"/>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62db5286-48a0-4e17-a672-7c89f7b8ca75"/>
    <ds:schemaRef ds:uri="http://www.w3.org/XML/1998/namespace"/>
  </ds:schemaRefs>
</ds:datastoreItem>
</file>

<file path=customXml/itemProps4.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5.xml><?xml version="1.0" encoding="utf-8"?>
<ds:datastoreItem xmlns:ds="http://schemas.openxmlformats.org/officeDocument/2006/customXml" ds:itemID="{77F43B45-9286-400C-BB52-41376A14EFF1}"/>
</file>

<file path=customXml/itemProps6.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7.xml><?xml version="1.0" encoding="utf-8"?>
<ds:datastoreItem xmlns:ds="http://schemas.openxmlformats.org/officeDocument/2006/customXml" ds:itemID="{DE0E6ED7-43D3-4CF5-AE82-02D70DC56D1B}"/>
</file>

<file path=docProps/app.xml><?xml version="1.0" encoding="utf-8"?>
<Properties xmlns="http://schemas.openxmlformats.org/officeDocument/2006/extended-properties" xmlns:vt="http://schemas.openxmlformats.org/officeDocument/2006/docPropsVTypes">
  <Template>plantilla-DAI.dotx</Template>
  <TotalTime>4</TotalTime>
  <Pages>5</Pages>
  <Words>1146</Words>
  <Characters>6308</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AI-0296-2025</dc:title>
  <dc:subject/>
  <dc:creator>ROJAS QUINTERO MARIA LINA</dc:creator>
  <cp:keywords/>
  <dc:description/>
  <cp:lastModifiedBy>ROJAS QUINTERO MARIA LINA</cp:lastModifiedBy>
  <cp:revision>2</cp:revision>
  <cp:lastPrinted>2011-05-05T20:16:00Z</cp:lastPrinted>
  <dcterms:created xsi:type="dcterms:W3CDTF">2025-12-22T17:12:00Z</dcterms:created>
  <dcterms:modified xsi:type="dcterms:W3CDTF">2025-12-22T17:18:00Z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Gerencia|7f4773cf-2cb9-48b6-88d2-9e4750a72616;#972;#DSC - División Servicios Compartidos|39bf63db-793f-4ef3-91b9-d7ea899416c1;#971;#DTE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78ffba0b,4a8d35ee,2f0c9a4e</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2025-12-22T17:15:03Z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328bb977-5404-4a04-a8fb-e05131f1b8b6</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3598ac08-66e4-4258-9916-e672c2905e74,7;1afe6994-8faf-447a-9c55-27a860d20fdf,10;cf7072bc-9575-4d0b-b529-251f6b43b02b,11;cf7072bc-9575-4d0b-b529-251f6b43b02b,11;</vt:lpwstr>
  </property>
  <property fmtid="{D5CDD505-2E9C-101B-9397-08002B2CF9AE}" pid="32" name="Order">
    <vt:r8>211000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01/10/2026 23:42:44</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Gerencia|7f4773cf-2cb9-48b6-88d2-9e4750a72616;#972;#DSC - División Servicios Compartidos|39bf63db-793f-4ef3-91b9-d7ea899416c1;#971;#DTE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