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20DEC" w:rsidR="003554C5" w:rsidP="00320DEC" w:rsidRDefault="00320DEC" w14:paraId="0B50CF4C" w14:textId="6342C5D8">
      <w:pPr>
        <w:rPr>
          <w:rFonts w:ascii="Arial" w:hAnsi="Arial" w:cs="Arial"/>
          <w:sz w:val="24"/>
        </w:rPr>
      </w:pPr>
      <w:r w:rsidRPr="00320DEC">
        <w:rPr>
          <w:rFonts w:ascii="Arial" w:hAnsi="Arial" w:cs="Arial"/>
          <w:sz w:val="24"/>
        </w:rPr>
        <w:t>23 de octubre del 2025</w:t>
      </w:r>
    </w:p>
    <w:sdt>
      <w:sdtPr>
        <w:alias w:val="Consecutivo"/>
        <w:tag w:val="Consecutivo"/>
        <w:id w:val="867724263"/>
        <w:placeholder>
          <w:docPart w:val="AEB7B45B2BA84E02A9571A669202FA50"/>
        </w:placeholder>
        <w:text/>
      </w:sdtPr>
      <w:sdtEndPr/>
      <w:sdtContent>
        <w:p w:rsidR="003554C5" w:rsidP="0085692C" w:rsidRDefault="00BF4EBD" w14:paraId="362D4ECE" w14:textId="77777777">
          <w:r>
            <w:rPr>
              <w:rStyle w:val="Textodelmarcadordeposicin"/>
              <w:rFonts w:eastAsia="Calibri"/>
            </w:rPr>
            <w:t>AI-0245-2025</w:t>
          </w:r>
        </w:p>
      </w:sdtContent>
    </w:sdt>
    <w:p w:rsidR="00BF4EBD" w:rsidP="0085692C" w:rsidRDefault="00BF4EBD" w14:paraId="03351785" w14:textId="77777777"/>
    <w:p w:rsidRPr="00F835F3" w:rsidR="00320DEC" w:rsidP="0085692C" w:rsidRDefault="00320DEC" w14:paraId="74BF3919" w14:textId="77777777"/>
    <w:p w:rsidRPr="00320DEC" w:rsidR="00320DEC" w:rsidP="00320DEC" w:rsidRDefault="00320DEC" w14:paraId="69863518" w14:textId="77777777">
      <w:pPr>
        <w:rPr>
          <w:rFonts w:ascii="Arial" w:hAnsi="Arial" w:cs="Arial"/>
          <w:sz w:val="24"/>
        </w:rPr>
      </w:pPr>
      <w:r w:rsidRPr="00320DEC">
        <w:rPr>
          <w:rFonts w:ascii="Arial" w:hAnsi="Arial" w:cs="Arial"/>
          <w:sz w:val="24"/>
        </w:rPr>
        <w:t>Señor</w:t>
      </w:r>
    </w:p>
    <w:p w:rsidRPr="00320DEC" w:rsidR="00320DEC" w:rsidP="00320DEC" w:rsidRDefault="00320DEC" w14:paraId="5CAFD8A5" w14:textId="77777777">
      <w:pPr>
        <w:rPr>
          <w:rFonts w:ascii="Arial" w:hAnsi="Arial" w:cs="Arial"/>
          <w:sz w:val="24"/>
        </w:rPr>
      </w:pPr>
      <w:r w:rsidRPr="00320DEC">
        <w:rPr>
          <w:rFonts w:ascii="Arial" w:hAnsi="Arial" w:cs="Arial"/>
          <w:sz w:val="24"/>
        </w:rPr>
        <w:t>Pablo Villalobos González, Gerente</w:t>
      </w:r>
    </w:p>
    <w:p w:rsidRPr="00320DEC" w:rsidR="00320DEC" w:rsidP="00320DEC" w:rsidRDefault="00320DEC" w14:paraId="6117269A" w14:textId="77777777">
      <w:pPr>
        <w:tabs>
          <w:tab w:val="center" w:pos="4419"/>
          <w:tab w:val="right" w:pos="8838"/>
        </w:tabs>
        <w:rPr>
          <w:rFonts w:ascii="Arial" w:hAnsi="Arial" w:eastAsia="Calibri" w:cs="Arial"/>
          <w:b/>
          <w:color w:val="1C4063" w:themeColor="accent1" w:themeShade="80"/>
          <w:sz w:val="24"/>
          <w:lang w:val="es-CR"/>
        </w:rPr>
      </w:pPr>
      <w:r w:rsidRPr="00320DEC">
        <w:rPr>
          <w:rFonts w:ascii="Arial" w:hAnsi="Arial" w:eastAsia="Calibri" w:cs="Arial"/>
          <w:b/>
          <w:color w:val="1C4063" w:themeColor="accent1" w:themeShade="80"/>
          <w:sz w:val="24"/>
          <w:lang w:val="es-CR"/>
        </w:rPr>
        <w:t>BANCO CENTRAL DE COSTA RICA</w:t>
      </w:r>
    </w:p>
    <w:p w:rsidR="00320DEC" w:rsidP="00320DEC" w:rsidRDefault="00320DEC" w14:paraId="5030DB07" w14:textId="77777777">
      <w:pPr>
        <w:rPr>
          <w:rFonts w:ascii="Arial" w:hAnsi="Arial" w:cs="Arial"/>
        </w:rPr>
      </w:pPr>
    </w:p>
    <w:p w:rsidRPr="00320DEC" w:rsidR="00320DEC" w:rsidP="00320DEC" w:rsidRDefault="00320DEC" w14:paraId="46929660" w14:textId="77777777">
      <w:pPr>
        <w:rPr>
          <w:rFonts w:ascii="Arial" w:hAnsi="Arial" w:cs="Arial"/>
        </w:rPr>
      </w:pPr>
    </w:p>
    <w:p w:rsidRPr="00320DEC" w:rsidR="00320DEC" w:rsidP="00320DEC" w:rsidRDefault="00320DEC" w14:paraId="7D4F89C2" w14:textId="77777777">
      <w:pPr>
        <w:rPr>
          <w:rFonts w:ascii="Arial" w:hAnsi="Arial" w:cs="Arial"/>
          <w:b/>
          <w:bCs/>
          <w:sz w:val="24"/>
        </w:rPr>
      </w:pPr>
      <w:r w:rsidRPr="00320DEC">
        <w:rPr>
          <w:rFonts w:ascii="Arial" w:hAnsi="Arial" w:cs="Arial"/>
          <w:b/>
          <w:sz w:val="24"/>
        </w:rPr>
        <w:t xml:space="preserve">Ref. Comunicación del Informe </w:t>
      </w:r>
      <w:r w:rsidRPr="00320DEC">
        <w:rPr>
          <w:rFonts w:ascii="Arial" w:hAnsi="Arial" w:cs="Arial"/>
          <w:b/>
          <w:bCs/>
          <w:sz w:val="24"/>
        </w:rPr>
        <w:t>de la auditoría de carácter especial (cumplimiento) sobre la aplicación del modelo de seguridad “confianza cero” (Zero Trust).</w:t>
      </w:r>
    </w:p>
    <w:p w:rsidRPr="00320DEC" w:rsidR="00320DEC" w:rsidP="00320DEC" w:rsidRDefault="00320DEC" w14:paraId="6F64DF18" w14:textId="77777777">
      <w:pPr>
        <w:rPr>
          <w:rFonts w:ascii="Arial" w:hAnsi="Arial" w:cs="Arial"/>
        </w:rPr>
      </w:pPr>
    </w:p>
    <w:p w:rsidRPr="00320DEC" w:rsidR="00320DEC" w:rsidP="00320DEC" w:rsidRDefault="00320DEC" w14:paraId="0BCF933C" w14:textId="77777777">
      <w:pPr>
        <w:rPr>
          <w:rFonts w:ascii="Arial" w:hAnsi="Arial" w:cs="Arial"/>
        </w:rPr>
      </w:pPr>
    </w:p>
    <w:p w:rsidRPr="00320DEC" w:rsidR="00320DEC" w:rsidP="00320DEC" w:rsidRDefault="00320DEC" w14:paraId="35500D7C" w14:textId="77777777">
      <w:pPr>
        <w:rPr>
          <w:rFonts w:ascii="Arial" w:hAnsi="Arial" w:cs="Arial"/>
          <w:sz w:val="24"/>
        </w:rPr>
      </w:pPr>
      <w:r w:rsidRPr="00320DEC">
        <w:rPr>
          <w:rFonts w:ascii="Arial" w:hAnsi="Arial" w:cs="Arial"/>
          <w:sz w:val="24"/>
        </w:rPr>
        <w:t>Estimado señor:</w:t>
      </w:r>
    </w:p>
    <w:p w:rsidRPr="00320DEC" w:rsidR="00320DEC" w:rsidP="00320DEC" w:rsidRDefault="00320DEC" w14:paraId="5B2219B9" w14:textId="77777777">
      <w:pPr>
        <w:rPr>
          <w:rFonts w:ascii="Arial" w:hAnsi="Arial" w:cs="Arial"/>
          <w:sz w:val="24"/>
        </w:rPr>
      </w:pPr>
    </w:p>
    <w:p w:rsidRPr="00320DEC" w:rsidR="00320DEC" w:rsidP="00320DEC" w:rsidRDefault="00320DEC" w14:paraId="4641B994" w14:textId="77777777">
      <w:pPr>
        <w:tabs>
          <w:tab w:val="left" w:pos="5505"/>
        </w:tabs>
        <w:rPr>
          <w:rFonts w:ascii="Arial" w:hAnsi="Arial" w:cs="Arial"/>
          <w:sz w:val="24"/>
        </w:rPr>
      </w:pPr>
      <w:r w:rsidRPr="00320DEC">
        <w:rPr>
          <w:rFonts w:ascii="Arial" w:hAnsi="Arial" w:cs="Arial"/>
          <w:sz w:val="24"/>
        </w:rPr>
        <w:t>Este informe contiene los resultados correspondientes a la auditoría de carácter especial</w:t>
      </w:r>
      <w:r w:rsidRPr="00320DEC">
        <w:rPr>
          <w:rFonts w:ascii="Arial" w:hAnsi="Arial" w:cs="Arial"/>
        </w:rPr>
        <w:t xml:space="preserve"> </w:t>
      </w:r>
      <w:r w:rsidRPr="00320DEC">
        <w:rPr>
          <w:rFonts w:ascii="Arial" w:hAnsi="Arial" w:cs="Arial"/>
          <w:sz w:val="24"/>
        </w:rPr>
        <w:t>mediante la cual esta Auditoría evaluó el modelo de seguridad “confianza cero” en el Banco Central de Costa Rica (BCCR). El objetivo del estudio fue evaluar la suficiencia, pertinencia y cumplimiento de las acciones realizadas por el BCCR para alinearse con los principios y buenas prácticas del referido modelo de seguridad en su infraestructura tecnológica, con el fin de garantizar un acceso basado en verificación continua y privilegios mínimos, conforme con las mejores prácticas internacionales. El proceso evaluado está bajo la responsabilidad del Departamento de Ciberseguridad, adscrito a la División de Servicios Tecnológicos.</w:t>
      </w:r>
    </w:p>
    <w:p w:rsidRPr="00320DEC" w:rsidR="00320DEC" w:rsidP="00320DEC" w:rsidRDefault="00320DEC" w14:paraId="627947C4" w14:textId="77777777">
      <w:pPr>
        <w:tabs>
          <w:tab w:val="left" w:pos="5505"/>
        </w:tabs>
        <w:rPr>
          <w:rFonts w:ascii="Arial" w:hAnsi="Arial" w:cs="Arial"/>
          <w:sz w:val="24"/>
        </w:rPr>
      </w:pPr>
    </w:p>
    <w:p w:rsidRPr="00320DEC" w:rsidR="00320DEC" w:rsidP="00320DEC" w:rsidRDefault="00320DEC" w14:paraId="61C324B6" w14:textId="77777777">
      <w:pPr>
        <w:spacing w:before="120"/>
        <w:rPr>
          <w:rFonts w:ascii="Arial" w:hAnsi="Arial" w:cs="Arial"/>
          <w:sz w:val="24"/>
        </w:rPr>
      </w:pPr>
      <w:r w:rsidRPr="00320DEC">
        <w:rPr>
          <w:rFonts w:ascii="Arial" w:hAnsi="Arial" w:cs="Arial"/>
          <w:sz w:val="24"/>
        </w:rPr>
        <w:t xml:space="preserve">El alcance del estudio comprendió </w:t>
      </w:r>
      <w:r w:rsidRPr="00320DEC">
        <w:rPr>
          <w:rFonts w:ascii="Arial" w:hAnsi="Arial" w:cs="Arial"/>
          <w:color w:val="000000"/>
          <w:sz w:val="24"/>
        </w:rPr>
        <w:t>los controles, configuraciones, procesos y políticas aplicables a los componentes fundamentales del modelo de seguridad “confianza cero”, para el período junio 2024 a junio 2025</w:t>
      </w:r>
      <w:r w:rsidRPr="00320DEC">
        <w:rPr>
          <w:rFonts w:ascii="Arial" w:hAnsi="Arial" w:cs="Arial"/>
          <w:sz w:val="24"/>
        </w:rPr>
        <w:t>.</w:t>
      </w:r>
    </w:p>
    <w:p w:rsidRPr="00320DEC" w:rsidR="00320DEC" w:rsidP="00320DEC" w:rsidRDefault="00320DEC" w14:paraId="16643349" w14:textId="77777777">
      <w:pPr>
        <w:rPr>
          <w:rFonts w:ascii="Arial" w:hAnsi="Arial" w:cs="Arial"/>
          <w:sz w:val="24"/>
          <w:lang w:eastAsia="uk-UA"/>
        </w:rPr>
      </w:pPr>
    </w:p>
    <w:p w:rsidRPr="00320DEC" w:rsidR="00320DEC" w:rsidP="00320DEC" w:rsidRDefault="00320DEC" w14:paraId="1D1030D8" w14:textId="77777777">
      <w:pPr>
        <w:rPr>
          <w:rFonts w:ascii="Arial" w:hAnsi="Arial" w:cs="Arial"/>
          <w:sz w:val="24"/>
        </w:rPr>
      </w:pPr>
      <w:r w:rsidRPr="00320DEC">
        <w:rPr>
          <w:rFonts w:ascii="Arial" w:hAnsi="Arial" w:cs="Arial"/>
          <w:sz w:val="24"/>
          <w:lang w:eastAsia="uk-UA"/>
        </w:rPr>
        <w:t>Para la ejecución de este estudio se aplicaron los criterios de auditoría que se consideraron pertinentes, según el objetivo planteado, los cuales fueron comunicados mediante oficio AI-0201-2025 del 2 de setiembre del 2025.</w:t>
      </w:r>
    </w:p>
    <w:p w:rsidRPr="00320DEC" w:rsidR="00320DEC" w:rsidP="00320DEC" w:rsidRDefault="00320DEC" w14:paraId="112E8039" w14:textId="77777777">
      <w:pPr>
        <w:contextualSpacing/>
        <w:rPr>
          <w:rFonts w:ascii="Arial" w:hAnsi="Arial" w:cs="Arial"/>
          <w:sz w:val="24"/>
        </w:rPr>
      </w:pPr>
    </w:p>
    <w:p w:rsidRPr="00320DEC" w:rsidR="00320DEC" w:rsidP="00320DEC" w:rsidRDefault="00320DEC" w14:paraId="3FF9D590" w14:textId="77777777">
      <w:pPr>
        <w:rPr>
          <w:rFonts w:ascii="Arial" w:hAnsi="Arial" w:cs="Arial"/>
          <w:sz w:val="24"/>
        </w:rPr>
      </w:pPr>
      <w:r w:rsidRPr="00320DEC">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320DEC" w:rsidR="00320DEC" w:rsidP="00320DEC" w:rsidRDefault="00320DEC" w14:paraId="6E82BA65" w14:textId="77777777">
      <w:pPr>
        <w:contextualSpacing/>
        <w:rPr>
          <w:rFonts w:ascii="Arial" w:hAnsi="Arial" w:cs="Arial"/>
          <w:sz w:val="24"/>
        </w:rPr>
      </w:pPr>
    </w:p>
    <w:p w:rsidRPr="00320DEC" w:rsidR="00320DEC" w:rsidP="00320DEC" w:rsidRDefault="00320DEC" w14:paraId="2835A0AA" w14:textId="77777777">
      <w:pPr>
        <w:widowControl w:val="0"/>
        <w:rPr>
          <w:rFonts w:ascii="Arial" w:hAnsi="Arial" w:cs="Arial"/>
          <w:sz w:val="24"/>
        </w:rPr>
      </w:pPr>
    </w:p>
    <w:p w:rsidRPr="00320DEC" w:rsidR="00320DEC" w:rsidP="00320DEC" w:rsidRDefault="00320DEC" w14:paraId="2C6169DC"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320DEC">
        <w:rPr>
          <w:rFonts w:ascii="Arial" w:hAnsi="Arial" w:cs="Arial"/>
          <w:b/>
          <w:color w:val="1C4063" w:themeColor="accent1" w:themeShade="80"/>
          <w:sz w:val="28"/>
          <w:szCs w:val="28"/>
          <w:lang w:val="es-CR" w:eastAsia="es-CR"/>
        </w:rPr>
        <w:lastRenderedPageBreak/>
        <w:t>GENERALIDADES</w:t>
      </w:r>
    </w:p>
    <w:p w:rsidRPr="00320DEC" w:rsidR="00320DEC" w:rsidP="00320DEC" w:rsidRDefault="00320DEC" w14:paraId="3026D711" w14:textId="77777777">
      <w:pPr>
        <w:ind w:left="513"/>
        <w:contextualSpacing/>
        <w:rPr>
          <w:rFonts w:ascii="Arial" w:hAnsi="Arial" w:cs="Arial"/>
          <w:szCs w:val="22"/>
        </w:rPr>
      </w:pPr>
    </w:p>
    <w:p w:rsidRPr="00320DEC" w:rsidR="00320DEC" w:rsidP="00320DEC" w:rsidRDefault="00320DEC" w14:paraId="5D157F37" w14:textId="77777777">
      <w:pPr>
        <w:contextualSpacing/>
        <w:rPr>
          <w:rFonts w:ascii="Arial" w:hAnsi="Arial" w:cs="Arial"/>
          <w:bCs/>
          <w:sz w:val="24"/>
          <w:lang w:val="es-CR"/>
        </w:rPr>
      </w:pPr>
      <w:bookmarkStart w:name="_Hlk171873726" w:id="0"/>
      <w:r w:rsidRPr="00320DEC">
        <w:rPr>
          <w:rFonts w:ascii="Arial" w:hAnsi="Arial" w:cs="Arial"/>
          <w:bCs/>
          <w:sz w:val="24"/>
          <w:lang w:val="es-CR"/>
        </w:rPr>
        <w:t>El Banco ha adoptado medidas operativas que están alineadas al modelo de seguridad “confianza cero”, que se basa en el principio de “nunca confiar, siempre verificar”, asumiendo que toda solicitud de acceso, interna o externa, puede provenir de una fuente potencialmente comprometida. Estas medidas incluyen la autenticación multifactor robusta, el control de accesos bajo privilegio mínimo, la verificación continua de identidades y dispositivos y la segmentación lógica de la red para limitar el movimiento lateral de amenazas. Asimismo, se aplican accesos mancomunados temporales y únicos para las cuentas privilegiadas y la configuración segura de los dispositivos institucionales, incluidos entornos de teletrabajo, así como la configuración segura de los dispositivos de terceros que acceden a servicios en la nube del Banco.</w:t>
      </w:r>
    </w:p>
    <w:p w:rsidRPr="00320DEC" w:rsidR="00320DEC" w:rsidP="00320DEC" w:rsidRDefault="00320DEC" w14:paraId="1CBE4B3B" w14:textId="77777777">
      <w:pPr>
        <w:contextualSpacing/>
        <w:rPr>
          <w:rFonts w:ascii="Arial" w:hAnsi="Arial" w:cs="Arial"/>
          <w:bCs/>
          <w:sz w:val="24"/>
          <w:lang w:val="es-CR"/>
        </w:rPr>
      </w:pPr>
    </w:p>
    <w:p w:rsidRPr="00320DEC" w:rsidR="00320DEC" w:rsidP="00320DEC" w:rsidRDefault="00320DEC" w14:paraId="4B58DFA3" w14:textId="77777777">
      <w:pPr>
        <w:contextualSpacing/>
        <w:rPr>
          <w:rFonts w:ascii="Arial" w:hAnsi="Arial" w:cs="Arial"/>
          <w:bCs/>
          <w:sz w:val="24"/>
        </w:rPr>
      </w:pPr>
      <w:r w:rsidRPr="00320DEC">
        <w:rPr>
          <w:rFonts w:ascii="Arial" w:hAnsi="Arial" w:cs="Arial"/>
          <w:bCs/>
          <w:sz w:val="24"/>
          <w:lang w:val="es-CR"/>
        </w:rPr>
        <w:t>Los controles adoptados sobre “confianza cero” están dispuestos en las Políticas Específicas de Ciberseguridad, las políticas del ambiente PCI-DSS, los lineamientos técnicos del MICITT</w:t>
      </w:r>
      <w:r w:rsidRPr="00320DEC">
        <w:rPr>
          <w:rFonts w:ascii="Arial" w:hAnsi="Arial" w:cs="Arial"/>
          <w:bCs/>
          <w:sz w:val="24"/>
          <w:vertAlign w:val="superscript"/>
          <w:lang w:val="es-CR"/>
        </w:rPr>
        <w:footnoteReference w:id="1"/>
      </w:r>
      <w:r w:rsidRPr="00320DEC">
        <w:rPr>
          <w:rFonts w:ascii="Arial" w:hAnsi="Arial" w:cs="Arial"/>
          <w:bCs/>
          <w:sz w:val="24"/>
          <w:lang w:val="es-CR"/>
        </w:rPr>
        <w:t xml:space="preserve"> y marcos de mejores prácticas internacionales. Con tales controles se busca minimizar la superficie de ataque, reforzar la capacidad de detección y respuesta y garantizar que el acceso a recursos críticos se base siempre en una validación rigurosa y continua, sin asumir confianza implícita en ningún momento.</w:t>
      </w:r>
    </w:p>
    <w:bookmarkEnd w:id="0"/>
    <w:p w:rsidRPr="00320DEC" w:rsidR="00320DEC" w:rsidP="00320DEC" w:rsidRDefault="00320DEC" w14:paraId="2B885BD0" w14:textId="77777777">
      <w:pPr>
        <w:ind w:left="513"/>
        <w:contextualSpacing/>
        <w:rPr>
          <w:rFonts w:ascii="Arial" w:hAnsi="Arial" w:cs="Arial"/>
          <w:szCs w:val="22"/>
          <w:lang w:val="es-CR"/>
        </w:rPr>
      </w:pPr>
    </w:p>
    <w:p w:rsidRPr="00320DEC" w:rsidR="00320DEC" w:rsidP="00320DEC" w:rsidRDefault="00320DEC" w14:paraId="29370E1C" w14:textId="77777777">
      <w:pPr>
        <w:ind w:left="513"/>
        <w:contextualSpacing/>
        <w:rPr>
          <w:rFonts w:ascii="Arial" w:hAnsi="Arial" w:cs="Arial"/>
          <w:szCs w:val="22"/>
          <w:lang w:val="es-CR"/>
        </w:rPr>
      </w:pPr>
    </w:p>
    <w:p w:rsidRPr="00320DEC" w:rsidR="00320DEC" w:rsidP="00320DEC" w:rsidRDefault="00320DEC" w14:paraId="40250FF4"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320DEC">
        <w:rPr>
          <w:rFonts w:ascii="Arial" w:hAnsi="Arial" w:cs="Arial"/>
          <w:b/>
          <w:color w:val="1C4063" w:themeColor="accent1" w:themeShade="80"/>
          <w:sz w:val="28"/>
          <w:szCs w:val="28"/>
          <w:lang w:val="es-CR" w:eastAsia="es-CR"/>
        </w:rPr>
        <w:t>RESUMEN DE RESULTADOS</w:t>
      </w:r>
    </w:p>
    <w:p w:rsidRPr="00320DEC" w:rsidR="00320DEC" w:rsidP="00320DEC" w:rsidRDefault="00320DEC" w14:paraId="68E1DDED" w14:textId="77777777">
      <w:pPr>
        <w:rPr>
          <w:rFonts w:ascii="Arial" w:hAnsi="Arial" w:cs="Arial"/>
          <w:szCs w:val="22"/>
          <w:lang w:val="es-CR"/>
        </w:rPr>
      </w:pPr>
    </w:p>
    <w:p w:rsidRPr="00320DEC" w:rsidR="00320DEC" w:rsidP="00320DEC" w:rsidRDefault="00320DEC" w14:paraId="3C0BC894" w14:textId="77777777">
      <w:pPr>
        <w:rPr>
          <w:rFonts w:ascii="Arial" w:hAnsi="Arial" w:cs="Arial"/>
          <w:sz w:val="24"/>
          <w:szCs w:val="28"/>
        </w:rPr>
      </w:pPr>
      <w:r w:rsidRPr="00320DEC">
        <w:rPr>
          <w:rFonts w:ascii="Arial" w:hAnsi="Arial" w:cs="Arial"/>
          <w:sz w:val="24"/>
          <w:szCs w:val="28"/>
        </w:rPr>
        <w:t xml:space="preserve">Los resultados de esta evaluación permitieron identificar los siguientes aspectos: </w:t>
      </w:r>
    </w:p>
    <w:p w:rsidRPr="00320DEC" w:rsidR="00320DEC" w:rsidP="00320DEC" w:rsidRDefault="00320DEC" w14:paraId="2B1ABCCB" w14:textId="77777777">
      <w:pPr>
        <w:rPr>
          <w:rFonts w:ascii="Arial" w:hAnsi="Arial" w:cs="Arial"/>
          <w:sz w:val="24"/>
          <w:szCs w:val="28"/>
        </w:rPr>
      </w:pPr>
    </w:p>
    <w:p w:rsidR="00320DEC" w:rsidP="00320DEC" w:rsidRDefault="00320DEC" w14:paraId="3BC98838" w14:textId="77777777">
      <w:pPr>
        <w:rPr>
          <w:rFonts w:ascii="Arial" w:hAnsi="Arial" w:cs="Arial"/>
          <w:b/>
          <w:bCs/>
          <w:sz w:val="24"/>
        </w:rPr>
      </w:pPr>
      <w:r w:rsidRPr="00320DEC">
        <w:rPr>
          <w:rFonts w:ascii="Arial" w:hAnsi="Arial" w:cs="Arial"/>
          <w:b/>
          <w:bCs/>
          <w:sz w:val="24"/>
        </w:rPr>
        <w:t>Mecanismos de autenticación en accesos críticos, con énfasis en autenticación multifactor</w:t>
      </w:r>
    </w:p>
    <w:p w:rsidRPr="00320DEC" w:rsidR="00320DEC" w:rsidP="00320DEC" w:rsidRDefault="00320DEC" w14:paraId="0B8B677E" w14:textId="77777777">
      <w:pPr>
        <w:rPr>
          <w:rFonts w:ascii="Arial" w:hAnsi="Arial" w:cs="Arial"/>
          <w:b/>
          <w:bCs/>
          <w:sz w:val="24"/>
        </w:rPr>
      </w:pPr>
    </w:p>
    <w:p w:rsidRPr="00320DEC" w:rsidR="00320DEC" w:rsidP="00320DEC" w:rsidRDefault="00320DEC" w14:paraId="3D7BA955" w14:textId="77777777">
      <w:pPr>
        <w:numPr>
          <w:ilvl w:val="0"/>
          <w:numId w:val="14"/>
        </w:numPr>
        <w:spacing w:after="120"/>
        <w:contextualSpacing/>
        <w:rPr>
          <w:rFonts w:ascii="Arial" w:hAnsi="Arial" w:cs="Arial"/>
          <w:sz w:val="24"/>
        </w:rPr>
      </w:pPr>
      <w:r w:rsidRPr="00320DEC">
        <w:rPr>
          <w:rFonts w:ascii="Arial" w:hAnsi="Arial" w:cs="Arial"/>
          <w:sz w:val="24"/>
        </w:rPr>
        <w:t>Se constató que el Banco implementa mecanismos de autenticación multifactor para el acceso a los recursos de red, y que cada usuario dispone de una cuenta individual y no transferible.</w:t>
      </w:r>
    </w:p>
    <w:p w:rsidRPr="00320DEC" w:rsidR="00320DEC" w:rsidP="00320DEC" w:rsidRDefault="00320DEC" w14:paraId="4C1BE550" w14:textId="77777777">
      <w:pPr>
        <w:numPr>
          <w:ilvl w:val="0"/>
          <w:numId w:val="14"/>
        </w:numPr>
        <w:spacing w:after="120"/>
        <w:contextualSpacing/>
        <w:rPr>
          <w:rFonts w:ascii="Arial" w:hAnsi="Arial" w:cs="Arial"/>
          <w:sz w:val="24"/>
        </w:rPr>
      </w:pPr>
      <w:r w:rsidRPr="00320DEC">
        <w:rPr>
          <w:rFonts w:ascii="Arial" w:hAnsi="Arial" w:cs="Arial"/>
          <w:sz w:val="24"/>
        </w:rPr>
        <w:t>Se verificó que el Banco ha implementado controles de restricción geográfica (geobloqueo), mediante los cuales se bloquean los intentos de acceso a la red institucional originados desde países no autorizados.</w:t>
      </w:r>
    </w:p>
    <w:p w:rsidRPr="00320DEC" w:rsidR="00320DEC" w:rsidP="00320DEC" w:rsidRDefault="00320DEC" w14:paraId="65391A2F" w14:textId="77777777">
      <w:pPr>
        <w:numPr>
          <w:ilvl w:val="0"/>
          <w:numId w:val="14"/>
        </w:numPr>
        <w:spacing w:after="120"/>
        <w:contextualSpacing/>
        <w:rPr>
          <w:rFonts w:ascii="Arial" w:hAnsi="Arial" w:cs="Arial"/>
          <w:sz w:val="24"/>
        </w:rPr>
      </w:pPr>
      <w:r w:rsidRPr="00320DEC">
        <w:rPr>
          <w:rFonts w:ascii="Arial" w:hAnsi="Arial" w:cs="Arial"/>
          <w:sz w:val="24"/>
        </w:rPr>
        <w:lastRenderedPageBreak/>
        <w:t>Se verificó que el Banco gestiona y controla la navegación en Internet  de los usuarios mediante software especializado, el cual restringe el acceso a sitios catalogados como peligrosos o no autorizados.</w:t>
      </w:r>
    </w:p>
    <w:p w:rsidRPr="00320DEC" w:rsidR="00320DEC" w:rsidP="00320DEC" w:rsidRDefault="00320DEC" w14:paraId="5AAE5B08" w14:textId="77777777">
      <w:pPr>
        <w:numPr>
          <w:ilvl w:val="0"/>
          <w:numId w:val="14"/>
        </w:numPr>
        <w:spacing w:after="120"/>
        <w:contextualSpacing/>
        <w:rPr>
          <w:rFonts w:ascii="Arial" w:hAnsi="Arial" w:cs="Arial"/>
          <w:sz w:val="24"/>
        </w:rPr>
      </w:pPr>
      <w:r w:rsidRPr="00320DEC">
        <w:rPr>
          <w:rFonts w:ascii="Arial" w:hAnsi="Arial" w:cs="Arial"/>
          <w:sz w:val="24"/>
        </w:rPr>
        <w:t xml:space="preserve">El Banco mantiene habilitada la conexión remota a la red institucional a través equipos propiedad de los usuarios. Este mecanismo es utilizado tanto por personal institucional como por personas externas que por alguna situación particular deben acceder a los recursos internos. En estos casos se aplica un conjunto de verificaciones de seguridad que se revisan antes de permitir la conexión. </w:t>
      </w:r>
    </w:p>
    <w:p w:rsidRPr="00320DEC" w:rsidR="00320DEC" w:rsidP="00320DEC" w:rsidRDefault="00320DEC" w14:paraId="6DE73990" w14:textId="77777777">
      <w:pPr>
        <w:numPr>
          <w:ilvl w:val="0"/>
          <w:numId w:val="14"/>
        </w:numPr>
        <w:spacing w:after="120"/>
        <w:contextualSpacing/>
        <w:rPr>
          <w:rFonts w:ascii="Arial" w:hAnsi="Arial" w:cs="Arial"/>
          <w:sz w:val="24"/>
        </w:rPr>
      </w:pPr>
      <w:r w:rsidRPr="00320DEC">
        <w:rPr>
          <w:rFonts w:ascii="Arial" w:hAnsi="Arial" w:cs="Arial"/>
          <w:sz w:val="24"/>
        </w:rPr>
        <w:t>Se verificó la aplicación de procedimientos para: la detección de incidentes de “viajeros imposibles” (aparentes desplazamientos geográficos imposibles de realizar en un periodo de tiempo), el análisis de los resultados de los escaneos de vulnerabilidades y la aplicación oportuna de parches de seguridad asociados a vulnerabilidades de tipo “día cero” (deben aplicarse de inmediato).</w:t>
      </w:r>
    </w:p>
    <w:p w:rsidRPr="00320DEC" w:rsidR="00320DEC" w:rsidP="00320DEC" w:rsidRDefault="00320DEC" w14:paraId="5A984C96" w14:textId="77777777">
      <w:pPr>
        <w:numPr>
          <w:ilvl w:val="0"/>
          <w:numId w:val="14"/>
        </w:numPr>
        <w:spacing w:after="120"/>
        <w:contextualSpacing/>
        <w:rPr>
          <w:rFonts w:ascii="Arial" w:hAnsi="Arial" w:cs="Arial"/>
          <w:sz w:val="24"/>
        </w:rPr>
      </w:pPr>
      <w:r w:rsidRPr="00320DEC">
        <w:rPr>
          <w:rFonts w:ascii="Arial" w:hAnsi="Arial" w:cs="Arial"/>
          <w:sz w:val="24"/>
        </w:rPr>
        <w:t>Se constató que los procedimientos operativos, guías y políticas del Banco en materia de ciberseguridad, se encuentran alineados con la Circular MIDEPLAN-DM-CIRC-0004-2025 - MICITT-DM-CIRC-008-2025, en relación con la obligatoriedad de implementar mecanismos de doble factor de autenticación y restricciones de acceso basadas en localización geográfica.</w:t>
      </w:r>
    </w:p>
    <w:p w:rsidRPr="00320DEC" w:rsidR="00320DEC" w:rsidP="00320DEC" w:rsidRDefault="00320DEC" w14:paraId="1FBEF953" w14:textId="77777777">
      <w:pPr>
        <w:numPr>
          <w:ilvl w:val="0"/>
          <w:numId w:val="14"/>
        </w:numPr>
        <w:spacing w:after="120"/>
        <w:contextualSpacing/>
        <w:rPr>
          <w:rFonts w:ascii="Arial" w:hAnsi="Arial" w:cs="Arial"/>
          <w:sz w:val="24"/>
        </w:rPr>
      </w:pPr>
      <w:r w:rsidRPr="00320DEC">
        <w:rPr>
          <w:rFonts w:ascii="Arial" w:hAnsi="Arial" w:cs="Arial"/>
          <w:sz w:val="24"/>
        </w:rPr>
        <w:t>Se verificó que el Banco realiza monitoreo y análisis continuo de los eventos asociados a intentos de autenticación fallidos o sospechosos en accesos críticos, mediante el uso de herramientas de seguridad centralizadas.</w:t>
      </w:r>
    </w:p>
    <w:p w:rsidR="00320DEC" w:rsidP="00320DEC" w:rsidRDefault="00320DEC" w14:paraId="78F8E242" w14:textId="77777777">
      <w:pPr>
        <w:rPr>
          <w:rFonts w:ascii="Arial" w:hAnsi="Arial" w:cs="Arial"/>
          <w:b/>
          <w:bCs/>
          <w:sz w:val="24"/>
        </w:rPr>
      </w:pPr>
    </w:p>
    <w:p w:rsidR="00320DEC" w:rsidP="00320DEC" w:rsidRDefault="00320DEC" w14:paraId="7C6FAF07" w14:textId="7E0DF83B">
      <w:pPr>
        <w:rPr>
          <w:rFonts w:ascii="Arial" w:hAnsi="Arial" w:cs="Arial"/>
          <w:b/>
          <w:bCs/>
          <w:sz w:val="24"/>
        </w:rPr>
      </w:pPr>
      <w:r w:rsidRPr="00320DEC">
        <w:rPr>
          <w:rFonts w:ascii="Arial" w:hAnsi="Arial" w:cs="Arial"/>
          <w:b/>
          <w:bCs/>
          <w:sz w:val="24"/>
        </w:rPr>
        <w:t>Políticas de control de acceso y gestión de identidades, bajo los principios de privilegio mínimo y verificación continua</w:t>
      </w:r>
    </w:p>
    <w:p w:rsidRPr="00320DEC" w:rsidR="00320DEC" w:rsidP="00320DEC" w:rsidRDefault="00320DEC" w14:paraId="2FBC8541" w14:textId="77777777">
      <w:pPr>
        <w:rPr>
          <w:rFonts w:ascii="Arial" w:hAnsi="Arial" w:cs="Arial"/>
          <w:b/>
          <w:bCs/>
          <w:sz w:val="24"/>
        </w:rPr>
      </w:pPr>
    </w:p>
    <w:p w:rsidRPr="00320DEC" w:rsidR="00320DEC" w:rsidP="00320DEC" w:rsidRDefault="00320DEC" w14:paraId="639AA37D" w14:textId="77777777">
      <w:pPr>
        <w:numPr>
          <w:ilvl w:val="0"/>
          <w:numId w:val="15"/>
        </w:numPr>
        <w:spacing w:after="120"/>
        <w:contextualSpacing/>
        <w:rPr>
          <w:rFonts w:ascii="Arial" w:hAnsi="Arial" w:cs="Arial"/>
          <w:sz w:val="24"/>
        </w:rPr>
      </w:pPr>
      <w:r w:rsidRPr="00320DEC">
        <w:rPr>
          <w:rFonts w:ascii="Arial" w:hAnsi="Arial" w:cs="Arial"/>
          <w:sz w:val="24"/>
        </w:rPr>
        <w:t>Se verificó que el Banco dispone de un proceso formal para la administración de cuentas de usuario, el cual abarca la creación de cuentas para funcionarios de nuevo ingreso, la desactivación de las cuentas por renuncia o jubilación, así como el traslado entre dependencias de la institución -incluidas las superintendencias; también, se gestionan los privilegios de acceso conforme a políticas establecidas. En particular, se constató que:</w:t>
      </w:r>
    </w:p>
    <w:p w:rsidRPr="00320DEC" w:rsidR="00320DEC" w:rsidP="00320DEC" w:rsidRDefault="00320DEC" w14:paraId="3E7EEDAB" w14:textId="77777777">
      <w:pPr>
        <w:numPr>
          <w:ilvl w:val="1"/>
          <w:numId w:val="15"/>
        </w:numPr>
        <w:spacing w:after="120"/>
        <w:ind w:left="810"/>
        <w:contextualSpacing/>
        <w:rPr>
          <w:rFonts w:ascii="Arial" w:hAnsi="Arial" w:cs="Arial"/>
          <w:sz w:val="24"/>
        </w:rPr>
      </w:pPr>
      <w:r w:rsidRPr="00320DEC">
        <w:rPr>
          <w:rFonts w:ascii="Arial" w:hAnsi="Arial" w:cs="Arial"/>
          <w:sz w:val="24"/>
        </w:rPr>
        <w:t>Las políticas de acceso están alineadas con el principio de privilegio mínimo, se revisan periódicamente y se basa en funciones previamente definidas.</w:t>
      </w:r>
    </w:p>
    <w:p w:rsidRPr="00320DEC" w:rsidR="00320DEC" w:rsidP="00320DEC" w:rsidRDefault="00320DEC" w14:paraId="26708B3F" w14:textId="77777777">
      <w:pPr>
        <w:numPr>
          <w:ilvl w:val="1"/>
          <w:numId w:val="15"/>
        </w:numPr>
        <w:spacing w:after="120"/>
        <w:ind w:left="810"/>
        <w:contextualSpacing/>
        <w:rPr>
          <w:rFonts w:ascii="Arial" w:hAnsi="Arial" w:cs="Arial"/>
          <w:sz w:val="24"/>
        </w:rPr>
      </w:pPr>
      <w:r w:rsidRPr="00320DEC">
        <w:rPr>
          <w:rFonts w:ascii="Arial" w:hAnsi="Arial" w:cs="Arial"/>
          <w:sz w:val="24"/>
        </w:rPr>
        <w:t>Los privilegios de acceso son asignados y revocados mediante procedimientos formales, bajo la supervisión de las jefaturas autorizadas.</w:t>
      </w:r>
    </w:p>
    <w:p w:rsidRPr="00320DEC" w:rsidR="00320DEC" w:rsidP="00320DEC" w:rsidRDefault="00320DEC" w14:paraId="469AA65C" w14:textId="77777777">
      <w:pPr>
        <w:numPr>
          <w:ilvl w:val="1"/>
          <w:numId w:val="15"/>
        </w:numPr>
        <w:spacing w:after="120"/>
        <w:ind w:left="810"/>
        <w:rPr>
          <w:rFonts w:ascii="Arial" w:hAnsi="Arial" w:cs="Arial"/>
          <w:sz w:val="24"/>
        </w:rPr>
      </w:pPr>
      <w:r w:rsidRPr="00320DEC">
        <w:rPr>
          <w:rFonts w:ascii="Arial" w:hAnsi="Arial" w:cs="Arial"/>
          <w:sz w:val="24"/>
        </w:rPr>
        <w:t>Se encuentra habilitada la separación de roles, diferenciando las labores de desarrollo y las de soporte de aplicaciones e infraestructura tecnológica.</w:t>
      </w:r>
    </w:p>
    <w:p w:rsidRPr="00320DEC" w:rsidR="00320DEC" w:rsidP="00320DEC" w:rsidRDefault="00320DEC" w14:paraId="35ECF349" w14:textId="77777777">
      <w:pPr>
        <w:numPr>
          <w:ilvl w:val="0"/>
          <w:numId w:val="15"/>
        </w:numPr>
        <w:spacing w:after="120"/>
        <w:contextualSpacing/>
        <w:rPr>
          <w:rFonts w:ascii="Arial" w:hAnsi="Arial" w:cs="Arial"/>
          <w:sz w:val="24"/>
        </w:rPr>
      </w:pPr>
      <w:r w:rsidRPr="00320DEC">
        <w:rPr>
          <w:rFonts w:ascii="Arial" w:hAnsi="Arial" w:cs="Arial"/>
          <w:sz w:val="24"/>
        </w:rPr>
        <w:lastRenderedPageBreak/>
        <w:t>Se constató que el sistema de Gestión de Procesos de Negocio (BPM) automatiza los procesos de creación y retiro de cuentas de usuario. Las gestiones realizadas con traslados continúan realizándose mediante correo electrónico.</w:t>
      </w:r>
    </w:p>
    <w:p w:rsidRPr="00320DEC" w:rsidR="00320DEC" w:rsidP="00320DEC" w:rsidRDefault="00320DEC" w14:paraId="5E3E0585" w14:textId="77777777">
      <w:pPr>
        <w:numPr>
          <w:ilvl w:val="0"/>
          <w:numId w:val="15"/>
        </w:numPr>
        <w:spacing w:after="120"/>
        <w:contextualSpacing/>
        <w:rPr>
          <w:rFonts w:ascii="Arial" w:hAnsi="Arial" w:cs="Arial"/>
          <w:sz w:val="24"/>
        </w:rPr>
      </w:pPr>
      <w:r w:rsidRPr="00320DEC">
        <w:rPr>
          <w:rFonts w:ascii="Arial" w:hAnsi="Arial" w:cs="Arial"/>
          <w:sz w:val="24"/>
        </w:rPr>
        <w:t>Se verificó que el Banco aplica bloqueos automáticos a las cuentas de usuario por contraseñas caducadas, así como desactivaciones administrativas en los casos de las cuentas en desuso.</w:t>
      </w:r>
    </w:p>
    <w:p w:rsidRPr="00320DEC" w:rsidR="00320DEC" w:rsidP="00320DEC" w:rsidRDefault="00320DEC" w14:paraId="0C669C88" w14:textId="77777777">
      <w:pPr>
        <w:numPr>
          <w:ilvl w:val="0"/>
          <w:numId w:val="15"/>
        </w:numPr>
        <w:spacing w:after="120"/>
        <w:contextualSpacing/>
        <w:rPr>
          <w:rFonts w:ascii="Arial" w:hAnsi="Arial" w:cs="Arial"/>
          <w:sz w:val="24"/>
        </w:rPr>
      </w:pPr>
      <w:r w:rsidRPr="00320DEC">
        <w:rPr>
          <w:rFonts w:ascii="Arial" w:hAnsi="Arial" w:cs="Arial"/>
          <w:sz w:val="24"/>
        </w:rPr>
        <w:t>Se comprobó que el Banco documenta y gestiona la creación de cuentas de usuarios externos, registrando el responsable asignado, fecha de expiración, la justificación de acceso y el procedimiento formal de autorización correspondiente.</w:t>
      </w:r>
    </w:p>
    <w:p w:rsidRPr="00320DEC" w:rsidR="00320DEC" w:rsidP="00320DEC" w:rsidRDefault="00320DEC" w14:paraId="578FBF62" w14:textId="77777777">
      <w:pPr>
        <w:rPr>
          <w:rFonts w:ascii="Arial" w:hAnsi="Arial" w:cs="Arial"/>
        </w:rPr>
      </w:pPr>
    </w:p>
    <w:p w:rsidR="00320DEC" w:rsidP="00320DEC" w:rsidRDefault="00320DEC" w14:paraId="40ADF25C" w14:textId="77777777">
      <w:pPr>
        <w:rPr>
          <w:rFonts w:ascii="Arial" w:hAnsi="Arial" w:cs="Arial"/>
          <w:b/>
          <w:bCs/>
          <w:sz w:val="24"/>
        </w:rPr>
      </w:pPr>
      <w:r w:rsidRPr="00320DEC">
        <w:rPr>
          <w:rFonts w:ascii="Arial" w:hAnsi="Arial" w:cs="Arial"/>
          <w:b/>
          <w:bCs/>
          <w:sz w:val="24"/>
        </w:rPr>
        <w:t>Segmentación lógica de red y monitoreo de tráfico este-oeste</w:t>
      </w:r>
    </w:p>
    <w:p w:rsidRPr="00320DEC" w:rsidR="00320DEC" w:rsidP="00320DEC" w:rsidRDefault="00320DEC" w14:paraId="2DF01E79" w14:textId="77777777">
      <w:pPr>
        <w:rPr>
          <w:rFonts w:ascii="Arial" w:hAnsi="Arial" w:cs="Arial"/>
          <w:b/>
          <w:bCs/>
          <w:sz w:val="24"/>
        </w:rPr>
      </w:pPr>
    </w:p>
    <w:p w:rsidRPr="00320DEC" w:rsidR="00320DEC" w:rsidP="00320DEC" w:rsidRDefault="00320DEC" w14:paraId="6C379281" w14:textId="77777777">
      <w:pPr>
        <w:numPr>
          <w:ilvl w:val="0"/>
          <w:numId w:val="16"/>
        </w:numPr>
        <w:spacing w:after="120"/>
        <w:contextualSpacing/>
        <w:rPr>
          <w:rFonts w:ascii="Arial" w:hAnsi="Arial" w:cs="Arial"/>
          <w:sz w:val="24"/>
        </w:rPr>
      </w:pPr>
      <w:r w:rsidRPr="00320DEC">
        <w:rPr>
          <w:rFonts w:ascii="Arial" w:hAnsi="Arial" w:cs="Arial"/>
          <w:sz w:val="24"/>
        </w:rPr>
        <w:t xml:space="preserve">Se revisó el último </w:t>
      </w:r>
      <w:r w:rsidRPr="00320DEC">
        <w:rPr>
          <w:rFonts w:ascii="Arial" w:hAnsi="Arial" w:cs="Arial"/>
          <w:i/>
          <w:iCs/>
          <w:sz w:val="24"/>
        </w:rPr>
        <w:t>penetration test</w:t>
      </w:r>
      <w:r w:rsidRPr="00320DEC" w:rsidDel="00350C75">
        <w:rPr>
          <w:rFonts w:ascii="Arial" w:hAnsi="Arial" w:cs="Arial"/>
          <w:sz w:val="24"/>
        </w:rPr>
        <w:t xml:space="preserve"> </w:t>
      </w:r>
      <w:r w:rsidRPr="00320DEC">
        <w:rPr>
          <w:rFonts w:ascii="Arial" w:hAnsi="Arial" w:cs="Arial"/>
          <w:sz w:val="24"/>
        </w:rPr>
        <w:t>externo, realizado en enero del presente año, constatándose que no se identificaron incidentes graves ni hallazgos críticos, y que las recomendaciones emitidas fueron debidamente atendidas por el Banco.</w:t>
      </w:r>
    </w:p>
    <w:p w:rsidRPr="00320DEC" w:rsidR="00320DEC" w:rsidP="00320DEC" w:rsidRDefault="00320DEC" w14:paraId="2AFC4BF6" w14:textId="77777777">
      <w:pPr>
        <w:numPr>
          <w:ilvl w:val="0"/>
          <w:numId w:val="16"/>
        </w:numPr>
        <w:spacing w:after="120"/>
        <w:contextualSpacing/>
        <w:rPr>
          <w:rFonts w:ascii="Arial" w:hAnsi="Arial" w:cs="Arial"/>
          <w:sz w:val="24"/>
        </w:rPr>
      </w:pPr>
      <w:r w:rsidRPr="00320DEC">
        <w:rPr>
          <w:rFonts w:ascii="Arial" w:hAnsi="Arial" w:cs="Arial"/>
          <w:sz w:val="24"/>
        </w:rPr>
        <w:t>Se verificó que la segmentación de las redes del Banco y del SINPE se encuentra implementada y gestionada a través de la herramienta de monitoreo de seguridad, la cual permite su configuración y control.</w:t>
      </w:r>
    </w:p>
    <w:p w:rsidRPr="00320DEC" w:rsidR="00320DEC" w:rsidP="00320DEC" w:rsidRDefault="00320DEC" w14:paraId="2BFAE1D4" w14:textId="77777777">
      <w:pPr>
        <w:numPr>
          <w:ilvl w:val="0"/>
          <w:numId w:val="16"/>
        </w:numPr>
        <w:spacing w:after="120"/>
        <w:contextualSpacing/>
        <w:rPr>
          <w:rFonts w:ascii="Arial" w:hAnsi="Arial" w:cs="Arial"/>
          <w:sz w:val="24"/>
        </w:rPr>
      </w:pPr>
      <w:r w:rsidRPr="00320DEC">
        <w:rPr>
          <w:rFonts w:ascii="Arial" w:hAnsi="Arial" w:cs="Arial"/>
          <w:sz w:val="24"/>
        </w:rPr>
        <w:t>Se constató que el Banco ejecuta actividades de monitoreo orientadas a la detección de potenciales movimientos laterales en sus redes; durante el período evaluado no se registraron incidentes asociados a este tipo de actividad.</w:t>
      </w:r>
    </w:p>
    <w:p w:rsidRPr="00320DEC" w:rsidR="00320DEC" w:rsidP="00320DEC" w:rsidRDefault="00320DEC" w14:paraId="52B6441A" w14:textId="77777777">
      <w:pPr>
        <w:numPr>
          <w:ilvl w:val="0"/>
          <w:numId w:val="16"/>
        </w:numPr>
        <w:spacing w:after="120"/>
        <w:contextualSpacing/>
        <w:rPr>
          <w:rFonts w:ascii="Arial" w:hAnsi="Arial" w:cs="Arial"/>
          <w:sz w:val="24"/>
        </w:rPr>
      </w:pPr>
      <w:r w:rsidRPr="00320DEC">
        <w:rPr>
          <w:rFonts w:ascii="Arial" w:hAnsi="Arial" w:cs="Arial"/>
          <w:sz w:val="24"/>
        </w:rPr>
        <w:t>Se verificó que el Banco efectúa revisiones periódicas de las reglas de firewall y de los grupos de seguridad de red (NSG) en el ambiente PCI, como parte de sus controles de seguridad perimetral.</w:t>
      </w:r>
    </w:p>
    <w:p w:rsidRPr="00320DEC" w:rsidR="00320DEC" w:rsidP="00320DEC" w:rsidRDefault="00320DEC" w14:paraId="355F7B3A" w14:textId="77777777">
      <w:pPr>
        <w:rPr>
          <w:rFonts w:ascii="Arial" w:hAnsi="Arial" w:cs="Arial"/>
          <w:sz w:val="24"/>
          <w:szCs w:val="28"/>
        </w:rPr>
      </w:pPr>
      <w:bookmarkStart w:name="_Hlk175148887" w:id="1"/>
    </w:p>
    <w:p w:rsidRPr="00320DEC" w:rsidR="00320DEC" w:rsidP="00320DEC" w:rsidRDefault="00320DEC" w14:paraId="2B073B7C"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320DEC">
        <w:rPr>
          <w:rFonts w:ascii="Arial" w:hAnsi="Arial" w:cs="Arial"/>
          <w:b/>
          <w:color w:val="1C4063" w:themeColor="accent1" w:themeShade="80"/>
          <w:sz w:val="28"/>
          <w:szCs w:val="28"/>
          <w:lang w:val="es-CR" w:eastAsia="es-CR"/>
        </w:rPr>
        <w:t>CONCLUSIÓN</w:t>
      </w:r>
    </w:p>
    <w:p w:rsidRPr="00320DEC" w:rsidR="00320DEC" w:rsidP="00320DEC" w:rsidRDefault="00320DEC" w14:paraId="4F81CE9A" w14:textId="77777777">
      <w:pPr>
        <w:rPr>
          <w:rFonts w:ascii="Arial" w:hAnsi="Arial" w:cs="Arial"/>
          <w:sz w:val="24"/>
          <w:szCs w:val="28"/>
        </w:rPr>
      </w:pPr>
    </w:p>
    <w:p w:rsidRPr="00320DEC" w:rsidR="00320DEC" w:rsidP="00320DEC" w:rsidRDefault="00320DEC" w14:paraId="41DFB985" w14:textId="77777777">
      <w:pPr>
        <w:contextualSpacing/>
        <w:rPr>
          <w:rFonts w:ascii="Arial" w:hAnsi="Arial" w:cs="Arial"/>
          <w:sz w:val="24"/>
          <w:szCs w:val="28"/>
        </w:rPr>
      </w:pPr>
      <w:r w:rsidRPr="00320DEC">
        <w:rPr>
          <w:rFonts w:ascii="Arial" w:hAnsi="Arial" w:cs="Arial"/>
          <w:sz w:val="24"/>
          <w:szCs w:val="28"/>
        </w:rPr>
        <w:t xml:space="preserve">Los resultados obtenidos permitieron concluir que las actividades evaluadas </w:t>
      </w:r>
      <w:r w:rsidRPr="00320DEC">
        <w:rPr>
          <w:rFonts w:ascii="Arial" w:hAnsi="Arial" w:cs="Arial"/>
          <w:b/>
          <w:bCs/>
          <w:sz w:val="24"/>
          <w:szCs w:val="28"/>
        </w:rPr>
        <w:t>cumplen</w:t>
      </w:r>
      <w:r w:rsidRPr="00320DEC">
        <w:rPr>
          <w:rFonts w:ascii="Arial" w:hAnsi="Arial" w:cs="Arial"/>
          <w:sz w:val="24"/>
          <w:szCs w:val="28"/>
          <w:vertAlign w:val="superscript"/>
        </w:rPr>
        <w:footnoteReference w:id="2"/>
      </w:r>
      <w:r w:rsidRPr="00320DEC">
        <w:rPr>
          <w:rFonts w:ascii="Arial" w:hAnsi="Arial" w:cs="Arial"/>
          <w:sz w:val="24"/>
          <w:szCs w:val="28"/>
        </w:rPr>
        <w:t xml:space="preserve"> con los criterios de evaluación establecidos.</w:t>
      </w:r>
    </w:p>
    <w:p w:rsidRPr="00320DEC" w:rsidR="00320DEC" w:rsidP="00320DEC" w:rsidRDefault="00320DEC" w14:paraId="3EDCF969" w14:textId="77777777">
      <w:pPr>
        <w:rPr>
          <w:rFonts w:ascii="Arial" w:hAnsi="Arial" w:cs="Arial"/>
          <w:sz w:val="24"/>
          <w:szCs w:val="28"/>
        </w:rPr>
      </w:pPr>
    </w:p>
    <w:bookmarkEnd w:id="1"/>
    <w:p w:rsidRPr="00320DEC" w:rsidR="00320DEC" w:rsidP="00320DEC" w:rsidRDefault="00320DEC" w14:paraId="3E58FFAB" w14:textId="77777777">
      <w:pPr>
        <w:rPr>
          <w:rFonts w:ascii="Arial" w:hAnsi="Arial" w:cs="Arial"/>
          <w:sz w:val="24"/>
          <w:lang w:val="es-MX" w:eastAsia="es-MX"/>
        </w:rPr>
      </w:pPr>
      <w:r w:rsidRPr="00320DEC">
        <w:rPr>
          <w:rFonts w:ascii="Arial" w:hAnsi="Arial" w:cs="Arial"/>
          <w:sz w:val="24"/>
          <w:lang w:val="es-MX" w:eastAsia="es-MX"/>
        </w:rPr>
        <w:t>La Auditoría Interna realizó la conferencia final de este informe con la División de Servicios Tecnológicos y con la Gerencia, en fecha 15 de octubre</w:t>
      </w:r>
      <w:r w:rsidRPr="00320DEC">
        <w:rPr>
          <w:rFonts w:ascii="Arial" w:hAnsi="Arial" w:cs="Arial"/>
          <w:sz w:val="24"/>
          <w:vertAlign w:val="superscript"/>
          <w:lang w:val="es-MX" w:eastAsia="es-MX"/>
        </w:rPr>
        <w:footnoteReference w:id="3"/>
      </w:r>
      <w:r w:rsidRPr="00320DEC">
        <w:rPr>
          <w:rFonts w:ascii="Arial" w:hAnsi="Arial" w:cs="Arial"/>
          <w:sz w:val="24"/>
          <w:lang w:val="es-MX" w:eastAsia="es-MX"/>
        </w:rPr>
        <w:t>, como parte de la comunicación preliminar de los resultados.</w:t>
      </w:r>
    </w:p>
    <w:p w:rsidRPr="00320DEC" w:rsidR="00320DEC" w:rsidP="00320DEC" w:rsidRDefault="00320DEC" w14:paraId="77552ABE" w14:textId="77777777">
      <w:pPr>
        <w:rPr>
          <w:rFonts w:ascii="Arial" w:hAnsi="Arial" w:cs="Arial"/>
          <w:sz w:val="24"/>
          <w:lang w:val="es-MX" w:eastAsia="es-MX"/>
        </w:rPr>
      </w:pPr>
    </w:p>
    <w:p w:rsidRPr="00320DEC" w:rsidR="00320DEC" w:rsidP="00320DEC" w:rsidRDefault="00320DEC" w14:paraId="1955C33F" w14:textId="3D4CD876">
      <w:pPr>
        <w:rPr>
          <w:rFonts w:ascii="Arial" w:hAnsi="Arial" w:cs="Arial"/>
          <w:sz w:val="24"/>
          <w:lang w:val="pt-BR"/>
        </w:rPr>
      </w:pPr>
      <w:bookmarkStart w:name="R_043962_40718750" w:id="2"/>
      <w:bookmarkEnd w:id="2"/>
      <w:r w:rsidRPr="00320DEC">
        <w:rPr>
          <w:rFonts w:ascii="Arial" w:hAnsi="Arial" w:cs="Arial"/>
          <w:sz w:val="24"/>
          <w:lang w:val="pt-BR"/>
        </w:rPr>
        <w:lastRenderedPageBreak/>
        <w:t>Atentamente,</w:t>
      </w:r>
    </w:p>
    <w:p w:rsidRPr="00320DEC" w:rsidR="00320DEC" w:rsidP="00320DEC" w:rsidRDefault="00320DEC" w14:paraId="0A30040F" w14:textId="5C63AF7A">
      <w:pPr>
        <w:ind w:left="360"/>
        <w:rPr>
          <w:rFonts w:ascii="Arial" w:hAnsi="Arial" w:cs="Arial"/>
          <w:sz w:val="24"/>
          <w:lang w:val="pt-BR"/>
        </w:rPr>
      </w:pPr>
      <w:r w:rsidRPr="00320DEC">
        <w:rPr>
          <w:rFonts w:ascii="Arial" w:hAnsi="Arial" w:cs="Arial"/>
          <w:noProof/>
          <w:sz w:val="24"/>
          <w:lang w:val="es-CR" w:eastAsia="es-CR"/>
        </w:rPr>
        <w:drawing>
          <wp:anchor distT="0" distB="0" distL="114300" distR="114300" simplePos="0" relativeHeight="251659264" behindDoc="1" locked="0" layoutInCell="1" allowOverlap="1" wp14:editId="6D8D4F63" wp14:anchorId="4B21B55E">
            <wp:simplePos x="0" y="0"/>
            <wp:positionH relativeFrom="column">
              <wp:posOffset>-137160</wp:posOffset>
            </wp:positionH>
            <wp:positionV relativeFrom="paragraph">
              <wp:posOffset>89535</wp:posOffset>
            </wp:positionV>
            <wp:extent cx="2506980" cy="388620"/>
            <wp:effectExtent l="0" t="0" r="0" b="0"/>
            <wp:wrapNone/>
            <wp:docPr id="1377291307" name="Imagen 1377291307"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320DEC" w:rsidR="00320DEC" w:rsidP="00320DEC" w:rsidRDefault="00320DEC" w14:paraId="6F186174" w14:textId="40501C8A">
      <w:pPr>
        <w:ind w:left="360"/>
        <w:rPr>
          <w:rFonts w:ascii="Arial" w:hAnsi="Arial" w:cs="Arial"/>
          <w:sz w:val="24"/>
          <w:lang w:val="pt-BR"/>
        </w:rPr>
      </w:pPr>
    </w:p>
    <w:p w:rsidRPr="00320DEC" w:rsidR="00320DEC" w:rsidP="00320DEC" w:rsidRDefault="00320DEC" w14:paraId="155F8D37" w14:textId="77777777">
      <w:pPr>
        <w:rPr>
          <w:rFonts w:ascii="Arial" w:hAnsi="Arial" w:cs="Arial"/>
          <w:sz w:val="24"/>
          <w:lang w:val="pt-BR"/>
        </w:rPr>
      </w:pPr>
    </w:p>
    <w:p w:rsidRPr="00320DEC" w:rsidR="00320DEC" w:rsidP="00320DEC" w:rsidRDefault="00320DEC" w14:paraId="12A7674D" w14:textId="77777777">
      <w:pPr>
        <w:rPr>
          <w:rFonts w:ascii="Arial" w:hAnsi="Arial" w:cs="Arial"/>
          <w:sz w:val="24"/>
          <w:lang w:val="pt-BR"/>
        </w:rPr>
      </w:pPr>
      <w:r w:rsidRPr="00320DEC">
        <w:rPr>
          <w:rFonts w:ascii="Arial" w:hAnsi="Arial" w:cs="Arial"/>
          <w:sz w:val="24"/>
          <w:lang w:val="pt-BR"/>
        </w:rPr>
        <w:t>Joaquín Vargas Guerrero</w:t>
      </w:r>
    </w:p>
    <w:p w:rsidRPr="00320DEC" w:rsidR="00320DEC" w:rsidP="00320DEC" w:rsidRDefault="00320DEC" w14:paraId="3B32B124" w14:textId="77777777">
      <w:pPr>
        <w:rPr>
          <w:rFonts w:ascii="Arial" w:hAnsi="Arial" w:cs="Arial"/>
          <w:b/>
          <w:sz w:val="24"/>
          <w:lang w:val="pt-BR"/>
        </w:rPr>
      </w:pPr>
      <w:r w:rsidRPr="00320DEC">
        <w:rPr>
          <w:rFonts w:ascii="Arial" w:hAnsi="Arial" w:cs="Arial"/>
          <w:b/>
          <w:sz w:val="24"/>
          <w:lang w:val="pt-BR"/>
        </w:rPr>
        <w:t>Auditor Interno</w:t>
      </w:r>
    </w:p>
    <w:p w:rsidRPr="00320DEC" w:rsidR="00320DEC" w:rsidP="00320DEC" w:rsidRDefault="00320DEC" w14:paraId="22C28673" w14:textId="77777777">
      <w:pPr>
        <w:rPr>
          <w:rFonts w:ascii="Arial" w:hAnsi="Arial" w:cs="Arial"/>
          <w:b/>
          <w:sz w:val="24"/>
          <w:lang w:val="pt-BR"/>
        </w:rPr>
      </w:pPr>
    </w:p>
    <w:p w:rsidRPr="00320DEC" w:rsidR="00320DEC" w:rsidP="00320DEC" w:rsidRDefault="00320DEC" w14:paraId="1BACB17C" w14:textId="10BE301D">
      <w:pPr>
        <w:pStyle w:val="CC"/>
      </w:pPr>
      <w:r w:rsidRPr="00320DEC">
        <w:t>C</w:t>
      </w:r>
      <w:r>
        <w:t>c</w:t>
      </w:r>
      <w:r w:rsidRPr="00320DEC">
        <w:t>.</w:t>
      </w:r>
      <w:r w:rsidRPr="00320DEC">
        <w:tab/>
        <w:t>División de Servicios Tecnológicos</w:t>
      </w:r>
    </w:p>
    <w:p w:rsidR="00577A95" w:rsidP="0085692C" w:rsidRDefault="00577A95" w14:paraId="2AD03473" w14:textId="77777777">
      <w:pPr>
        <w:pStyle w:val="Negrita"/>
      </w:pPr>
    </w:p>
    <w:p w:rsidR="00A26E9E" w:rsidP="0085692C" w:rsidRDefault="00A26E9E" w14:paraId="0BE1D603" w14:textId="77777777">
      <w:pPr>
        <w:pStyle w:val="Negrita"/>
      </w:pPr>
    </w:p>
    <w:p w:rsidRPr="002307FE" w:rsidR="002307FE" w:rsidP="002307FE" w:rsidRDefault="002307FE" w14:paraId="71DBFB91" w14:textId="77777777"/>
    <w:p w:rsidRPr="002307FE" w:rsidR="002307FE" w:rsidP="002307FE" w:rsidRDefault="002307FE" w14:paraId="1F4ED8A6" w14:textId="77777777"/>
    <w:p w:rsidRPr="002307FE" w:rsidR="002307FE" w:rsidP="002307FE" w:rsidRDefault="002307FE" w14:paraId="2EDA0C3B" w14:textId="77777777"/>
    <w:p w:rsidRPr="002307FE" w:rsidR="002307FE" w:rsidP="002307FE" w:rsidRDefault="002307FE" w14:paraId="7E14088C" w14:textId="77777777"/>
    <w:p w:rsidRPr="002307FE" w:rsidR="002307FE" w:rsidP="002307FE" w:rsidRDefault="002307FE" w14:paraId="6198F03F" w14:textId="77777777"/>
    <w:p w:rsidRPr="002307FE" w:rsidR="002307FE" w:rsidP="002307FE" w:rsidRDefault="002307FE" w14:paraId="434597CC" w14:textId="77777777"/>
    <w:p w:rsidR="002307FE" w:rsidP="002307FE" w:rsidRDefault="002307FE" w14:paraId="5FDD5110" w14:textId="77777777"/>
    <w:p w:rsidRPr="002307FE" w:rsidR="002307FE" w:rsidP="002307FE" w:rsidRDefault="002307FE" w14:paraId="487BB87D" w14:textId="77777777"/>
    <w:p w:rsidR="002307FE" w:rsidP="002307FE" w:rsidRDefault="002307FE" w14:paraId="4D617FE8" w14:textId="77777777"/>
    <w:p w:rsidR="002307FE" w:rsidP="002307FE" w:rsidRDefault="002307FE" w14:paraId="3074C1B9" w14:textId="77777777"/>
    <w:p w:rsidRPr="002307FE" w:rsidR="00A26E9E" w:rsidP="002307FE" w:rsidRDefault="00A26E9E" w14:paraId="0A3892E7" w14:textId="77777777"/>
    <w:sectPr w:rsidRPr="002307FE" w:rsidR="00A26E9E" w:rsidSect="00060C03">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B6457" w14:textId="77777777" w:rsidR="00320DEC" w:rsidRDefault="00320DEC" w:rsidP="00D43D57">
      <w:r>
        <w:separator/>
      </w:r>
    </w:p>
  </w:endnote>
  <w:endnote w:type="continuationSeparator" w:id="0">
    <w:p w14:paraId="2D9018FA" w14:textId="77777777" w:rsidR="00320DEC" w:rsidRDefault="00320DEC"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320DEC" w14:paraId="496F5B04" w14:textId="19401C9F">
    <w:pPr>
      <w:pStyle w:val="Piedepgina"/>
    </w:pPr>
    <w:r>
      <w:rPr>
        <w:noProof/>
      </w:rPr>
      <mc:AlternateContent>
        <mc:Choice Requires="wps">
          <w:drawing>
            <wp:anchor distT="0" distB="0" distL="0" distR="0" simplePos="0" relativeHeight="251698176" behindDoc="0" locked="0" layoutInCell="1" allowOverlap="1" wp14:editId="21F8CC7D" wp14:anchorId="4B96C046">
              <wp:simplePos x="635" y="635"/>
              <wp:positionH relativeFrom="page">
                <wp:align>center</wp:align>
              </wp:positionH>
              <wp:positionV relativeFrom="page">
                <wp:align>bottom</wp:align>
              </wp:positionV>
              <wp:extent cx="609600" cy="345440"/>
              <wp:effectExtent l="0" t="0" r="0" b="0"/>
              <wp:wrapNone/>
              <wp:docPr id="1940315106"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320DEC" w:rsidR="00320DEC" w:rsidP="00320DEC" w:rsidRDefault="00320DEC" w14:paraId="614BE725" w14:textId="37EF7093">
                          <w:pPr>
                            <w:rPr>
                              <w:rFonts w:ascii="Calibri" w:hAnsi="Calibri" w:eastAsia="Calibri" w:cs="Calibri"/>
                              <w:noProof/>
                              <w:color w:val="000000"/>
                              <w:sz w:val="20"/>
                              <w:szCs w:val="20"/>
                            </w:rPr>
                          </w:pPr>
                          <w:r w:rsidRPr="00320DE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B96C046">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320DEC" w:rsidR="00320DEC" w:rsidP="00320DEC" w:rsidRDefault="00320DEC" w14:paraId="614BE725" w14:textId="37EF7093">
                    <w:pPr>
                      <w:rPr>
                        <w:rFonts w:ascii="Calibri" w:hAnsi="Calibri" w:eastAsia="Calibri" w:cs="Calibri"/>
                        <w:noProof/>
                        <w:color w:val="000000"/>
                        <w:sz w:val="20"/>
                        <w:szCs w:val="20"/>
                      </w:rPr>
                    </w:pPr>
                    <w:r w:rsidRPr="00320DEC">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320DEC" w14:paraId="320C0486" w14:textId="3248F0F4">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47546E2A" wp14:anchorId="335084FA">
              <wp:simplePos x="635" y="635"/>
              <wp:positionH relativeFrom="page">
                <wp:align>center</wp:align>
              </wp:positionH>
              <wp:positionV relativeFrom="page">
                <wp:align>bottom</wp:align>
              </wp:positionV>
              <wp:extent cx="609600" cy="345440"/>
              <wp:effectExtent l="0" t="0" r="0" b="0"/>
              <wp:wrapNone/>
              <wp:docPr id="922411769"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320DEC" w:rsidR="00320DEC" w:rsidP="00320DEC" w:rsidRDefault="00320DEC" w14:paraId="34436DCF" w14:textId="19D87737">
                          <w:pPr>
                            <w:rPr>
                              <w:rFonts w:ascii="Calibri" w:hAnsi="Calibri" w:eastAsia="Calibri" w:cs="Calibri"/>
                              <w:noProof/>
                              <w:color w:val="000000"/>
                              <w:sz w:val="20"/>
                              <w:szCs w:val="20"/>
                            </w:rPr>
                          </w:pPr>
                          <w:r w:rsidRPr="00320DE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335084FA">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320DEC" w:rsidR="00320DEC" w:rsidP="00320DEC" w:rsidRDefault="00320DEC" w14:paraId="34436DCF" w14:textId="19D87737">
                    <w:pPr>
                      <w:rPr>
                        <w:rFonts w:ascii="Calibri" w:hAnsi="Calibri" w:eastAsia="Calibri" w:cs="Calibri"/>
                        <w:noProof/>
                        <w:color w:val="000000"/>
                        <w:sz w:val="20"/>
                        <w:szCs w:val="20"/>
                      </w:rPr>
                    </w:pPr>
                    <w:r w:rsidRPr="00320DEC">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AEB7B45B2BA84E02A9571A669202FA50"/>
        </w:placeholder>
        <w:text/>
      </w:sdtPr>
      <w:sdtEndPr/>
      <w:sdtContent>
        <w:r>
          <w:rPr>
            <w:color w:val="004990"/>
            <w:sz w:val="16"/>
            <w:szCs w:val="16"/>
          </w:rPr>
          <w:t>AI-0245-2025</w:t>
        </w:r>
      </w:sdtContent>
    </w:sdt>
  </w:p>
  <w:p w:rsidR="002307FE" w:rsidP="00FA54DF" w:rsidRDefault="002307FE" w14:paraId="1216490C"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7BFD05F5"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5D84C30C" wp14:anchorId="26C137C2">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22724EDF"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648847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70DF588" w14:textId="77777777">
                          <w:pPr>
                            <w:rPr>
                              <w:color w:val="003A68"/>
                              <w:sz w:val="14"/>
                              <w:szCs w:val="14"/>
                            </w:rPr>
                          </w:pPr>
                          <w:r w:rsidRPr="00FA54DF">
                            <w:rPr>
                              <w:color w:val="003A68"/>
                              <w:sz w:val="14"/>
                              <w:szCs w:val="14"/>
                            </w:rPr>
                            <w:t>Apdo. 10058-1000</w:t>
                          </w:r>
                        </w:p>
                        <w:p w:rsidR="00D2424F" w:rsidP="00FA54DF" w:rsidRDefault="00D2424F" w14:paraId="6D9166BA" w14:textId="77777777">
                          <w:pPr>
                            <w:rPr>
                              <w:color w:val="003A68"/>
                              <w:sz w:val="14"/>
                              <w:szCs w:val="14"/>
                            </w:rPr>
                          </w:pPr>
                          <w:r w:rsidRPr="00FA54DF">
                            <w:rPr>
                              <w:color w:val="003A68"/>
                              <w:sz w:val="14"/>
                              <w:szCs w:val="14"/>
                            </w:rPr>
                            <w:t>Av. 1 y Central, Calles 2 y 4</w:t>
                          </w:r>
                        </w:p>
                        <w:p w:rsidRPr="00FA54DF" w:rsidR="00D2424F" w:rsidP="00FA54DF" w:rsidRDefault="00D2424F" w14:paraId="7E1EE561"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26C137C2">
              <v:textbox>
                <w:txbxContent>
                  <w:p w:rsidRPr="00FA54DF" w:rsidR="00D2424F" w:rsidP="00FA54DF" w:rsidRDefault="00D2424F" w14:paraId="22724EDF"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16488473"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770DF588" w14:textId="77777777">
                    <w:pPr>
                      <w:rPr>
                        <w:color w:val="003A68"/>
                        <w:sz w:val="14"/>
                        <w:szCs w:val="14"/>
                      </w:rPr>
                    </w:pPr>
                    <w:r w:rsidRPr="00FA54DF">
                      <w:rPr>
                        <w:color w:val="003A68"/>
                        <w:sz w:val="14"/>
                        <w:szCs w:val="14"/>
                      </w:rPr>
                      <w:t>Apdo. 10058-1000</w:t>
                    </w:r>
                  </w:p>
                  <w:p w:rsidR="00D2424F" w:rsidP="00FA54DF" w:rsidRDefault="00D2424F" w14:paraId="6D9166BA" w14:textId="77777777">
                    <w:pPr>
                      <w:rPr>
                        <w:color w:val="003A68"/>
                        <w:sz w:val="14"/>
                        <w:szCs w:val="14"/>
                      </w:rPr>
                    </w:pPr>
                    <w:r w:rsidRPr="00FA54DF">
                      <w:rPr>
                        <w:color w:val="003A68"/>
                        <w:sz w:val="14"/>
                        <w:szCs w:val="14"/>
                      </w:rPr>
                      <w:t>Av. 1 y Central, Calles 2 y 4</w:t>
                    </w:r>
                  </w:p>
                  <w:p w:rsidRPr="00FA54DF" w:rsidR="00D2424F" w:rsidP="00FA54DF" w:rsidRDefault="00D2424F" w14:paraId="7E1EE561"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0F43C565" wp14:anchorId="493B9EB1">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320DEC" w14:paraId="0E4A63D6" w14:textId="2A5F318B">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2996E5C2" wp14:anchorId="20FC7D36">
              <wp:simplePos x="1409700" y="9283700"/>
              <wp:positionH relativeFrom="page">
                <wp:align>center</wp:align>
              </wp:positionH>
              <wp:positionV relativeFrom="page">
                <wp:align>bottom</wp:align>
              </wp:positionV>
              <wp:extent cx="609600" cy="345440"/>
              <wp:effectExtent l="0" t="0" r="0" b="0"/>
              <wp:wrapNone/>
              <wp:docPr id="820889876"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320DEC" w:rsidR="00320DEC" w:rsidP="00320DEC" w:rsidRDefault="00320DEC" w14:paraId="3DCCA959" w14:textId="6F89A222">
                          <w:pPr>
                            <w:rPr>
                              <w:rFonts w:ascii="Calibri" w:hAnsi="Calibri" w:eastAsia="Calibri" w:cs="Calibri"/>
                              <w:noProof/>
                              <w:color w:val="000000"/>
                              <w:sz w:val="20"/>
                              <w:szCs w:val="20"/>
                            </w:rPr>
                          </w:pPr>
                          <w:r w:rsidRPr="00320DEC">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0FC7D36">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320DEC" w:rsidR="00320DEC" w:rsidP="00320DEC" w:rsidRDefault="00320DEC" w14:paraId="3DCCA959" w14:textId="6F89A222">
                    <w:pPr>
                      <w:rPr>
                        <w:rFonts w:ascii="Calibri" w:hAnsi="Calibri" w:eastAsia="Calibri" w:cs="Calibri"/>
                        <w:noProof/>
                        <w:color w:val="000000"/>
                        <w:sz w:val="20"/>
                        <w:szCs w:val="20"/>
                      </w:rPr>
                    </w:pPr>
                    <w:r w:rsidRPr="00320DEC">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0C560017" wp14:anchorId="41163758">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3796F78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5A2C38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033AF1E" w14:textId="77777777">
                          <w:pPr>
                            <w:rPr>
                              <w:color w:val="003A68"/>
                              <w:sz w:val="14"/>
                              <w:szCs w:val="14"/>
                            </w:rPr>
                          </w:pPr>
                          <w:r w:rsidRPr="00FA54DF">
                            <w:rPr>
                              <w:color w:val="003A68"/>
                              <w:sz w:val="14"/>
                              <w:szCs w:val="14"/>
                            </w:rPr>
                            <w:t>Apdo. 10058-1000</w:t>
                          </w:r>
                        </w:p>
                        <w:p w:rsidR="00B65442" w:rsidP="00B65442" w:rsidRDefault="00B65442" w14:paraId="19D1D7A9" w14:textId="77777777">
                          <w:pPr>
                            <w:rPr>
                              <w:color w:val="003A68"/>
                              <w:sz w:val="14"/>
                              <w:szCs w:val="14"/>
                            </w:rPr>
                          </w:pPr>
                          <w:r w:rsidRPr="00FA54DF">
                            <w:rPr>
                              <w:color w:val="003A68"/>
                              <w:sz w:val="14"/>
                              <w:szCs w:val="14"/>
                            </w:rPr>
                            <w:t>Av. 1 y Central, Calles 2 y 4</w:t>
                          </w:r>
                        </w:p>
                        <w:p w:rsidRPr="00FA54DF" w:rsidR="00D2424F" w:rsidRDefault="00D2424F" w14:paraId="224B25FE"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41163758">
              <v:textbox>
                <w:txbxContent>
                  <w:p w:rsidRPr="00FA54DF" w:rsidR="00D2424F" w:rsidRDefault="00D2424F" w14:paraId="3796F787"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35A2C386"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4033AF1E" w14:textId="77777777">
                    <w:pPr>
                      <w:rPr>
                        <w:color w:val="003A68"/>
                        <w:sz w:val="14"/>
                        <w:szCs w:val="14"/>
                      </w:rPr>
                    </w:pPr>
                    <w:r w:rsidRPr="00FA54DF">
                      <w:rPr>
                        <w:color w:val="003A68"/>
                        <w:sz w:val="14"/>
                        <w:szCs w:val="14"/>
                      </w:rPr>
                      <w:t>Apdo. 10058-1000</w:t>
                    </w:r>
                  </w:p>
                  <w:p w:rsidR="00B65442" w:rsidP="00B65442" w:rsidRDefault="00B65442" w14:paraId="19D1D7A9" w14:textId="77777777">
                    <w:pPr>
                      <w:rPr>
                        <w:color w:val="003A68"/>
                        <w:sz w:val="14"/>
                        <w:szCs w:val="14"/>
                      </w:rPr>
                    </w:pPr>
                    <w:r w:rsidRPr="00FA54DF">
                      <w:rPr>
                        <w:color w:val="003A68"/>
                        <w:sz w:val="14"/>
                        <w:szCs w:val="14"/>
                      </w:rPr>
                      <w:t>Av. 1 y Central, Calles 2 y 4</w:t>
                    </w:r>
                  </w:p>
                  <w:p w:rsidRPr="00FA54DF" w:rsidR="00D2424F" w:rsidRDefault="00D2424F" w14:paraId="224B25FE"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0508174B" wp14:anchorId="5A4E3304">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56E4D2EC"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237C7AD5"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415A9" w14:textId="77777777" w:rsidR="00320DEC" w:rsidRDefault="00320DEC" w:rsidP="00D43D57">
      <w:r>
        <w:separator/>
      </w:r>
    </w:p>
  </w:footnote>
  <w:footnote w:type="continuationSeparator" w:id="0">
    <w:p w14:paraId="6EA56315" w14:textId="77777777" w:rsidR="00320DEC" w:rsidRDefault="00320DEC" w:rsidP="00D43D57">
      <w:r>
        <w:continuationSeparator/>
      </w:r>
    </w:p>
  </w:footnote>
  <w:footnote w:id="1">
    <w:p w14:paraId="5E76AC9D" w14:textId="77777777" w:rsidR="00320DEC" w:rsidRPr="008B0023" w:rsidRDefault="00320DEC" w:rsidP="00320DEC">
      <w:pPr>
        <w:pStyle w:val="Textonotapie"/>
        <w:rPr>
          <w:rFonts w:ascii="Arial" w:hAnsi="Arial" w:cs="Arial"/>
          <w:sz w:val="16"/>
          <w:szCs w:val="16"/>
          <w:lang w:val="es-CR"/>
        </w:rPr>
      </w:pPr>
      <w:r w:rsidRPr="008B0023">
        <w:rPr>
          <w:rStyle w:val="Refdenotaalpie"/>
          <w:rFonts w:ascii="Arial" w:hAnsi="Arial" w:cs="Arial"/>
          <w:sz w:val="16"/>
          <w:szCs w:val="16"/>
        </w:rPr>
        <w:footnoteRef/>
      </w:r>
      <w:r w:rsidRPr="008B0023">
        <w:rPr>
          <w:rFonts w:ascii="Arial" w:hAnsi="Arial" w:cs="Arial"/>
          <w:sz w:val="16"/>
          <w:szCs w:val="16"/>
        </w:rPr>
        <w:t xml:space="preserve"> Después de finalizar la etapa de examen, la auditoría tuvo conocimiento de la Directriz N.° 052-MIDEPLAN-MICITT-MTSS, publicada en La Gaceta N.° 181 del 29 de septiembre de 2025 (Alcance N.° 124), sobre medidas mínimas de ciberseguridad para habilitar el teletrabajo; sin embargo, esta normativa no fue considerada dentro de los criterios de auditoría, al haberse emitido posteriormente. En todo caso, la directriz no es de acatamiento obligatorio para el BCCR</w:t>
      </w:r>
      <w:r>
        <w:rPr>
          <w:rFonts w:ascii="Arial" w:hAnsi="Arial" w:cs="Arial"/>
          <w:sz w:val="16"/>
          <w:szCs w:val="16"/>
        </w:rPr>
        <w:t>, pues no está sujeta a las regulaciones de la Administración Central.</w:t>
      </w:r>
    </w:p>
  </w:footnote>
  <w:footnote w:id="2">
    <w:p w14:paraId="09C8FD66" w14:textId="77777777" w:rsidR="00320DEC" w:rsidRPr="00392D1F" w:rsidRDefault="00320DEC" w:rsidP="00320DEC">
      <w:pPr>
        <w:pStyle w:val="Textonotapie"/>
        <w:rPr>
          <w:rFonts w:ascii="Arial" w:hAnsi="Arial" w:cs="Arial"/>
          <w:sz w:val="16"/>
          <w:szCs w:val="16"/>
          <w:lang w:val="es-CR"/>
        </w:rPr>
      </w:pPr>
      <w:r w:rsidRPr="00392D1F">
        <w:rPr>
          <w:rStyle w:val="Refdenotaalpie"/>
          <w:rFonts w:ascii="Arial" w:hAnsi="Arial" w:cs="Arial"/>
          <w:sz w:val="16"/>
          <w:szCs w:val="16"/>
        </w:rPr>
        <w:footnoteRef/>
      </w:r>
      <w:r w:rsidRPr="00392D1F">
        <w:rPr>
          <w:rFonts w:ascii="Arial" w:hAnsi="Arial" w:cs="Arial"/>
          <w:sz w:val="16"/>
          <w:szCs w:val="16"/>
        </w:rPr>
        <w:t xml:space="preserve"> Indica que, en opinión del auditor, el objeto de estudio con seguridad razonable cumple en todos los aspectos importantes, con los criterios establecidos.</w:t>
      </w:r>
    </w:p>
  </w:footnote>
  <w:footnote w:id="3">
    <w:p w14:paraId="7EADD6EA" w14:textId="77777777" w:rsidR="00320DEC" w:rsidRPr="002D453E" w:rsidRDefault="00320DEC" w:rsidP="00320DEC">
      <w:pPr>
        <w:pStyle w:val="Textonotapie"/>
        <w:rPr>
          <w:rFonts w:ascii="Arial" w:hAnsi="Arial" w:cs="Arial"/>
          <w:sz w:val="16"/>
          <w:szCs w:val="16"/>
          <w:lang w:val="es-CR"/>
        </w:rPr>
      </w:pPr>
      <w:r w:rsidRPr="002D453E">
        <w:rPr>
          <w:rStyle w:val="Refdenotaalpie"/>
          <w:rFonts w:ascii="Arial" w:hAnsi="Arial" w:cs="Arial"/>
          <w:sz w:val="16"/>
          <w:szCs w:val="16"/>
        </w:rPr>
        <w:footnoteRef/>
      </w:r>
      <w:r w:rsidRPr="002D453E">
        <w:rPr>
          <w:rFonts w:ascii="Arial" w:hAnsi="Arial" w:cs="Arial"/>
          <w:sz w:val="16"/>
          <w:szCs w:val="16"/>
        </w:rPr>
        <w:t xml:space="preserve"> Esta fecha corresponde a la atención de la Gerencia; la D</w:t>
      </w:r>
      <w:r>
        <w:rPr>
          <w:rFonts w:ascii="Arial" w:hAnsi="Arial" w:cs="Arial"/>
          <w:sz w:val="16"/>
          <w:szCs w:val="16"/>
        </w:rPr>
        <w:t xml:space="preserve">ivisión de </w:t>
      </w:r>
      <w:r w:rsidRPr="002D453E">
        <w:rPr>
          <w:rFonts w:ascii="Arial" w:hAnsi="Arial" w:cs="Arial"/>
          <w:sz w:val="16"/>
          <w:szCs w:val="16"/>
        </w:rPr>
        <w:t>S</w:t>
      </w:r>
      <w:r>
        <w:rPr>
          <w:rFonts w:ascii="Arial" w:hAnsi="Arial" w:cs="Arial"/>
          <w:sz w:val="16"/>
          <w:szCs w:val="16"/>
        </w:rPr>
        <w:t xml:space="preserve">ervicios </w:t>
      </w:r>
      <w:r w:rsidRPr="002D453E">
        <w:rPr>
          <w:rFonts w:ascii="Arial" w:hAnsi="Arial" w:cs="Arial"/>
          <w:sz w:val="16"/>
          <w:szCs w:val="16"/>
        </w:rPr>
        <w:t>T</w:t>
      </w:r>
      <w:r>
        <w:rPr>
          <w:rFonts w:ascii="Arial" w:hAnsi="Arial" w:cs="Arial"/>
          <w:sz w:val="16"/>
          <w:szCs w:val="16"/>
        </w:rPr>
        <w:t>ecnológicos</w:t>
      </w:r>
      <w:r w:rsidRPr="002D453E">
        <w:rPr>
          <w:rFonts w:ascii="Arial" w:hAnsi="Arial" w:cs="Arial"/>
          <w:sz w:val="16"/>
          <w:szCs w:val="16"/>
        </w:rPr>
        <w:t xml:space="preserve"> no se manifestó sobre el informe</w:t>
      </w:r>
      <w:r>
        <w:rPr>
          <w:rFonts w:ascii="Arial" w:hAnsi="Arial" w:cs="Arial"/>
          <w:sz w:val="16"/>
          <w:szCs w:val="16"/>
        </w:rPr>
        <w:t>.</w:t>
      </w:r>
      <w:r w:rsidRPr="002D453E">
        <w:rPr>
          <w:rFonts w:ascii="Arial" w:hAnsi="Arial" w:cs="Arial"/>
          <w:sz w:val="16"/>
          <w:szCs w:val="16"/>
          <w:lang w:val="es-C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042DCCD0"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475C0F4E" w14:textId="77777777">
    <w:pPr>
      <w:pStyle w:val="Encabezado"/>
      <w:jc w:val="center"/>
    </w:pPr>
    <w:r>
      <w:rPr>
        <w:noProof/>
        <w:lang w:val="es-CR" w:eastAsia="es-CR"/>
      </w:rPr>
      <w:drawing>
        <wp:anchor distT="0" distB="0" distL="114300" distR="114300" simplePos="0" relativeHeight="251696128" behindDoc="1" locked="0" layoutInCell="1" allowOverlap="1" wp14:editId="2073655F" wp14:anchorId="542B694C">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7FA2E1E6" wp14:anchorId="0604C269">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3BD98B55" w14:textId="77777777">
    <w:pPr>
      <w:pStyle w:val="Encabezado"/>
      <w:jc w:val="center"/>
    </w:pPr>
    <w:r>
      <w:rPr>
        <w:noProof/>
        <w:lang w:val="es-CR" w:eastAsia="es-CR"/>
      </w:rPr>
      <w:drawing>
        <wp:anchor distT="0" distB="0" distL="114300" distR="114300" simplePos="0" relativeHeight="251694080" behindDoc="1" locked="0" layoutInCell="1" allowOverlap="1" wp14:editId="156F903C" wp14:anchorId="35F8660B">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4F992466" wp14:anchorId="73FD1846">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220A235A"/>
    <w:multiLevelType w:val="hybridMultilevel"/>
    <w:tmpl w:val="F57AD8FC"/>
    <w:lvl w:ilvl="0" w:tplc="A1445408">
      <w:start w:val="1"/>
      <w:numFmt w:val="decimal"/>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4" w15:restartNumberingAfterBreak="0">
    <w:nsid w:val="62732522"/>
    <w:multiLevelType w:val="hybridMultilevel"/>
    <w:tmpl w:val="93B64AD2"/>
    <w:lvl w:ilvl="0" w:tplc="A0C42B2C">
      <w:start w:val="1"/>
      <w:numFmt w:val="decimal"/>
      <w:lvlText w:val="%1."/>
      <w:lvlJc w:val="lef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C320023"/>
    <w:multiLevelType w:val="hybridMultilevel"/>
    <w:tmpl w:val="ECBED1E2"/>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16cid:durableId="1254438121">
    <w:abstractNumId w:val="10"/>
  </w:num>
  <w:num w:numId="2" w16cid:durableId="1721858989">
    <w:abstractNumId w:val="13"/>
  </w:num>
  <w:num w:numId="3" w16cid:durableId="792095841">
    <w:abstractNumId w:val="9"/>
  </w:num>
  <w:num w:numId="4" w16cid:durableId="2093621550">
    <w:abstractNumId w:val="7"/>
  </w:num>
  <w:num w:numId="5" w16cid:durableId="1350444856">
    <w:abstractNumId w:val="6"/>
  </w:num>
  <w:num w:numId="6" w16cid:durableId="1587765651">
    <w:abstractNumId w:val="5"/>
  </w:num>
  <w:num w:numId="7" w16cid:durableId="1665664203">
    <w:abstractNumId w:val="4"/>
  </w:num>
  <w:num w:numId="8" w16cid:durableId="1334529445">
    <w:abstractNumId w:val="8"/>
  </w:num>
  <w:num w:numId="9" w16cid:durableId="1735811868">
    <w:abstractNumId w:val="3"/>
  </w:num>
  <w:num w:numId="10" w16cid:durableId="811679201">
    <w:abstractNumId w:val="2"/>
  </w:num>
  <w:num w:numId="11" w16cid:durableId="506680362">
    <w:abstractNumId w:val="1"/>
  </w:num>
  <w:num w:numId="12" w16cid:durableId="759983194">
    <w:abstractNumId w:val="0"/>
  </w:num>
  <w:num w:numId="13" w16cid:durableId="2145535272">
    <w:abstractNumId w:val="11"/>
  </w:num>
  <w:num w:numId="14" w16cid:durableId="1931419">
    <w:abstractNumId w:val="15"/>
  </w:num>
  <w:num w:numId="15" w16cid:durableId="2041277446">
    <w:abstractNumId w:val="14"/>
  </w:num>
  <w:num w:numId="16" w16cid:durableId="15399275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DEC"/>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0DEC"/>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B5F1A"/>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ECF84"/>
  <w15:docId w15:val="{CE346441-47E7-443D-92B0-76302A18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
    <w:basedOn w:val="Normal"/>
    <w:link w:val="TextonotapieCar"/>
    <w:unhideWhenUsed/>
    <w:locked/>
    <w:rsid w:val="00320DEC"/>
    <w:rPr>
      <w:sz w:val="20"/>
      <w:szCs w:val="20"/>
    </w:rPr>
  </w:style>
  <w:style w:type="character" w:customStyle="1" w:styleId="TextonotapieCar">
    <w:name w:val="Texto nota pie Car"/>
    <w:aliases w:val=" Car Car Car,Car Car Car, Car Char Car,Car Car1,Car Char Car, Car Car1"/>
    <w:basedOn w:val="Fuentedeprrafopredeter"/>
    <w:link w:val="Textonotapie"/>
    <w:rsid w:val="00320DEC"/>
    <w:rPr>
      <w:rFonts w:eastAsia="Times New Roman"/>
      <w:lang w:val="es-ES" w:eastAsia="en-US"/>
    </w:rPr>
  </w:style>
  <w:style w:type="character" w:styleId="Refdenotaalpie">
    <w:name w:val="footnote reference"/>
    <w:basedOn w:val="Fuentedeprrafopredeter"/>
    <w:uiPriority w:val="99"/>
    <w:unhideWhenUsed/>
    <w:locked/>
    <w:rsid w:val="00320D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webSettings" Target="web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B7B45B2BA84E02A9571A669202FA50"/>
        <w:category>
          <w:name w:val="General"/>
          <w:gallery w:val="placeholder"/>
        </w:category>
        <w:types>
          <w:type w:val="bbPlcHdr"/>
        </w:types>
        <w:behaviors>
          <w:behavior w:val="content"/>
        </w:behaviors>
        <w:guid w:val="{F5E12425-9A7C-4491-8DCE-68056311AD69}"/>
      </w:docPartPr>
      <w:docPartBody>
        <w:p w:rsidR="006F192D" w:rsidRDefault="006F192D">
          <w:pPr>
            <w:pStyle w:val="AEB7B45B2BA84E02A9571A669202FA50"/>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92D"/>
    <w:rsid w:val="005B5F1A"/>
    <w:rsid w:val="006F192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AEB7B45B2BA84E02A9571A669202FA50">
    <w:name w:val="AEB7B45B2BA84E02A9571A669202FA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GiXQ7xzOKvgakZPC2BIyqyqQtsc+HhbsRWakbK52Mis=</DigestValue>
    </Reference>
    <Reference Type="http://uri.etsi.org/01903#SignedProperties" URI="#idSignedProperties">
      <Transforms>
        <Transform Algorithm="http://www.w3.org/TR/2001/REC-xml-c14n-20010315"/>
      </Transforms>
      <DigestMethod Algorithm="http://www.w3.org/2001/04/xmlenc#sha256"/>
      <DigestValue>P6VRt90wYvItpbL/d/J3JaAUtv6vND60jM6zIJ8Uuos=</DigestValue>
    </Reference>
  </SignedInfo>
  <SignatureValue>Q9TEJeHNRYwqF8ta6w5h6oSKa3p/7THxuEazU3tsWaVsSj2soh+nEHw9zaXr0mkpWafrcQo0aZLHDjwaTzsJR0dLv8P3PAA4Mb6AJPUB+ciiuOPzPNT+jWyoXQZFTyKPZdCA7aIShfd4Ye4mQTpMwL/AhlKi6iFfOIafGB6IuuZwZk078x3vBHMfkbCSgN2GfrXXra5MqLOh255QudbPGGYuK66D8lm8PjCcTmDkpPjpPrb0dM/rNyQr8kdSFEEm2waFXH1URCfLt3NKSZ0IaOTBxsJGKSMaPJz1jemOfDPROaqpE/q7J0LG92cOIW4Uq+/bwAbrcQap6MRRTr0ji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e7tbs2XHDRCvnFU4xbgZxVhrquW4URSfUcZ4X/9axWc=</DigestValue>
      </Reference>
      <Reference URI="/word/numbering.xml?ContentType=application/vnd.openxmlformats-officedocument.wordprocessingml.numbering+xml">
        <DigestMethod Algorithm="http://www.w3.org/2001/04/xmlenc#sha256"/>
        <DigestValue>lzBsP6aNHx3IUw3fw2PsORCn8bEPTVylPac4Jkt1pVE=</DigestValue>
      </Reference>
      <Reference URI="/word/endnotes.xml?ContentType=application/vnd.openxmlformats-officedocument.wordprocessingml.endnotes+xml">
        <DigestMethod Algorithm="http://www.w3.org/2001/04/xmlenc#sha256"/>
        <DigestValue>Hg9dvwfbwod+Yj0+VEbAg1vu7toheZ6J9E+jBAl2X/0=</DigestValue>
      </Reference>
      <Reference URI="/word/footer2.xml?ContentType=application/vnd.openxmlformats-officedocument.wordprocessingml.footer+xml">
        <DigestMethod Algorithm="http://www.w3.org/2001/04/xmlenc#sha256"/>
        <DigestValue>OH1wbsC9MFLVHFZXy2raq4/vMTaBNUtUqzijtbBQWro=</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ubuoGPD1PWwycTs6KyYRHZKqX1/zWmnKlEQqe51CIPY=</DigestValue>
      </Reference>
      <Reference URI="/word/footnotes.xml?ContentType=application/vnd.openxmlformats-officedocument.wordprocessingml.footnotes+xml">
        <DigestMethod Algorithm="http://www.w3.org/2001/04/xmlenc#sha256"/>
        <DigestValue>bL1BrWw73rMGe+itzWJ06D4jyT98mqmqWaQ2pmKZVjw=</DigestValue>
      </Reference>
      <Reference URI="/word/footer1.xml?ContentType=application/vnd.openxmlformats-officedocument.wordprocessingml.footer+xml">
        <DigestMethod Algorithm="http://www.w3.org/2001/04/xmlenc#sha256"/>
        <DigestValue>nhGjvq+xiG6nrl5tCtMyF8cqh3KF6YEKVzzff4/VTbI=</DigestValue>
      </Reference>
      <Reference URI="/word/header2.xml?ContentType=application/vnd.openxmlformats-officedocument.wordprocessingml.header+xml">
        <DigestMethod Algorithm="http://www.w3.org/2001/04/xmlenc#sha256"/>
        <DigestValue>mdfcKQ/mcXPre3O9zsOlt5JuIcxfB0LRCebdP+mO5Eo=</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BzIB3xRcem/hRpUohbiCI3zin5x9crecct1zwOux6KE=</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y0C4U3rxDoPbuf4ddxiMafCbfKc6bh+kqcbjiMfRvBY=</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OdBdP6p0iWsYZCoB7YwI7/am9XfFtZIW+NvsGOYZ0Xs=</DigestValue>
      </Reference>
      <Reference URI="/word/header3.xml?ContentType=application/vnd.openxmlformats-officedocument.wordprocessingml.header+xml">
        <DigestMethod Algorithm="http://www.w3.org/2001/04/xmlenc#sha256"/>
        <DigestValue>0ItmPHvmaI5JCsCw2H+7uZzZwjDmIgcmbauh6/+vET4=</DigestValue>
      </Reference>
      <Reference URI="/word/styles.xml?ContentType=application/vnd.openxmlformats-officedocument.wordprocessingml.styles+xml">
        <DigestMethod Algorithm="http://www.w3.org/2001/04/xmlenc#sha256"/>
        <DigestValue>qjd8twdrGexNjVHHgINtsUz70dsy6+/scETOThnkchw=</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Beaw26tYEDMTodOD8G6l3mNUEEwLQACV0GlJSU9VTDY=</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ubR6iOBxcNaAVuk3XyMU4seC5VNKWBhMZ71+tjccbIk=</DigestValue>
      </Reference>
      <Reference URI="/word/glossary/styles.xml?ContentType=application/vnd.openxmlformats-officedocument.wordprocessingml.styles+xml">
        <DigestMethod Algorithm="http://www.w3.org/2001/04/xmlenc#sha256"/>
        <DigestValue>+mLQXIEVWXqys2wa4Q3XmK/UcQmvO7l/37kTrthlfAQ=</DigestValue>
      </Reference>
      <Reference URI="/word/glossary/fontTable.xml?ContentType=application/vnd.openxmlformats-officedocument.wordprocessingml.fontTable+xml">
        <DigestMethod Algorithm="http://www.w3.org/2001/04/xmlenc#sha256"/>
        <DigestValue>8ybXestdDuGw5epBwwNtIWGz05o5ojnO35NoNkAXVpY=</DigestValue>
      </Reference>
    </Manifest>
    <SignatureProperties>
      <SignatureProperty Id="idSignatureTime" Target="#idPackageSignature">
        <mdssi:SignatureTime xmlns:mdssi="http://schemas.openxmlformats.org/package/2006/digital-signature">
          <mdssi:Format>YYYY-MM-DDThh:mm:ssTZD</mdssi:Format>
          <mdssi:Value>2025-10-23T18:51:34Z</mdssi:Value>
        </mdssi:SignatureTime>
      </SignatureProperty>
    </SignatureProperties>
  </Object>
  <Object>
    <xd:QualifyingProperties xmlns:xd="http://uri.etsi.org/01903/v1.3.2#" Target="#idPackageSignature">
      <xd:SignedProperties Id="idSignedProperties">
        <xd:SignedSignatureProperties>
          <xd:SigningTime>2025-10-23T18:51:34Z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Fifq9fdu2ZCVJ9ztPlssSVf/Mn++lcIG940ff3ju/cCBCeL+6sYDzIwMjUxMDIzMTg1MTQ2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</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LWU0bHcoYYIPLggUz1LqIsrDsbFT17665/hHeesbIuA=</DigestValue>
                </xd:DigestAlgAndValue>
                <xd:CRLIdentifier>
                  <xd:Issuer>SERIALNUMBER=CPJ-2-100-098311,C=CR,O=MICITT,OU=DCFD,CN=CA POLITICA PERSONA FISICA - COSTA RICA v2</xd:Issuer>
                  <xd:IssueTime>2025-09-25T14:40:26Z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xudbLiMz9dCXYYauzrVFUj1KlyM=</xd:ByKey>
                  </xd:ResponderID>
                  <xd:ProducedAt>2025-10-23T18:51:46Z</xd:ProducedAt>
                </xd:OCSPIdentifier>
                <xd:DigestAlgAndValue>
                  <DigestMethod Algorithm="http://www.w3.org/2001/04/xmlenc#sha256"/>
                  <DigestValue>U0lQbQnzxuVzsomR9pqrnaXYsDln4PapYLqYg52nC4g=</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</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</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BKBkBGIwYAIBAQYIYIE8AQEBAQUwMTANBglghkgBZQMEAgEFAAQgjv8lNwwmFeGCsBSWR9wd5Weq
IRJh9NiiS8+AElQvzc8CBCeL+60YDzIwMjUxMDIzMTg1MTQ2WjAEgAIB9AEB/6CCB8Iwgge+MIIF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CSqGSIb3DQEJAzENBgsqhkiG9w0BCRABBDAcBgkqhkiG9w0BCQUxDxcNMjUxMDIzMTg1MTQ2WjAv
BgkqhkiG9w0BCQQxIgQgvbBXOcWY4/3ivQM2So77IWs/imZZLzh4YMGD7CcK/dowNwYLKoZIhvcN
AQkQAi8xKDAmMCQwIgQgrKszXYj6Q2nTJpWV/NZakemXG2IrBO983WoSsYOW808wDQYJKoZIhvcN
AQEBBQAEggEAylGE7i+taxQcnda9k9EkuDvCkUXWyQNfX98sD1ZQyO3+DQDFu8eSjVesJWqHBMQF
J5IBXx9eW+xC1xRoo7Cf3GfAa22aaLjwQdDu2NOYKr0/B+VaveofiPl8yd+f3w6n5ZxT/p4+zBRL
+LE6x9SGKEIbljWLlSV+VHKKeuvZLglpjIxlKBxewlztj/DmtzsC0gleZ5OHiWfAOlrkWkujAHaH
G746XdWhoJv0c+p216NAmzDnrKNgiJLavOqzM4a1VEcHevnGqd41Mjy6QoAwAkOEZmnwaMCqo7NZ
1ZPVfUJzfuqJ3RYn4Venm2XPG4dHQAbbB9CL9k4e+5VrGNHWxQ==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2.xml><?xml version="1.0" encoding="utf-8"?>
<ds:datastoreItem xmlns:ds="http://schemas.openxmlformats.org/officeDocument/2006/customXml" ds:itemID="{AB3904C0-0663-45A8-ACEB-3BDD80436D30}"/>
</file>

<file path=customXml/itemProps3.xml><?xml version="1.0" encoding="utf-8"?>
<ds:datastoreItem xmlns:ds="http://schemas.openxmlformats.org/officeDocument/2006/customXml" ds:itemID="{3C7A7F03-4BBD-40B3-B7E4-2F9FF2506375}"/>
</file>

<file path=customXml/itemProps4.xml><?xml version="1.0" encoding="utf-8"?>
<ds:datastoreItem xmlns:ds="http://schemas.openxmlformats.org/officeDocument/2006/customXml" ds:itemID="{283BF82E-1A70-4392-8CF2-7DEAFF1953AE}">
  <ds:schemaRefs>
    <ds:schemaRef ds:uri="http://purl.org/dc/elements/1.1/"/>
    <ds:schemaRef ds:uri="http://schemas.microsoft.com/office/2006/documentManagement/types"/>
    <ds:schemaRef ds:uri="http://schemas.microsoft.com/sharepoint/v3"/>
    <ds:schemaRef ds:uri="http://schemas.microsoft.com/office/infopath/2007/PartnerControls"/>
    <ds:schemaRef ds:uri="b875e23b-67d9-4b2e-bdec-edacbf90b326"/>
    <ds:schemaRef ds:uri="http://www.w3.org/XML/1998/namespace"/>
    <ds:schemaRef ds:uri="http://schemas.openxmlformats.org/package/2006/metadata/core-properties"/>
    <ds:schemaRef ds:uri="http://schemas.microsoft.com/office/2006/metadata/properties"/>
    <ds:schemaRef ds:uri="http://purl.org/dc/dcmitype/"/>
    <ds:schemaRef ds:uri="62db5286-48a0-4e17-a672-7c89f7b8ca75"/>
    <ds:schemaRef ds:uri="http://purl.org/dc/terms/"/>
  </ds:schemaRefs>
</ds:datastoreItem>
</file>

<file path=customXml/itemProps5.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6.xml><?xml version="1.0" encoding="utf-8"?>
<ds:datastoreItem xmlns:ds="http://schemas.openxmlformats.org/officeDocument/2006/customXml" ds:itemID="{9478818B-283A-44F9-BA74-71AB9CED8243}"/>
</file>

<file path=customXml/itemProps7.xml><?xml version="1.0" encoding="utf-8"?>
<ds:datastoreItem xmlns:ds="http://schemas.openxmlformats.org/officeDocument/2006/customXml" ds:itemID="{723358EB-1ACE-4C23-A7F9-6751172A0D79}"/>
</file>

<file path=docProps/app.xml><?xml version="1.0" encoding="utf-8"?>
<Properties xmlns="http://schemas.openxmlformats.org/officeDocument/2006/extended-properties" xmlns:vt="http://schemas.openxmlformats.org/officeDocument/2006/docPropsVTypes">
  <Template>plantilla-DAI</Template>
  <TotalTime>4</TotalTime>
  <Pages>5</Pages>
  <Words>1366</Words>
  <Characters>6943</Characters>
  <Application>Microsoft Office Word</Application>
  <DocSecurity>0</DocSecurity>
  <Lines>495</Lines>
  <Paragraphs>197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AI-0245-2025</dc:title>
  <dc:subject/>
  <dc:creator>BERROCAL MEZA MELISSA</dc:creator>
  <cp:keywords/>
  <dc:description/>
  <cp:lastModifiedBy>BERROCAL MEZA MELISSA</cp:lastModifiedBy>
  <cp:revision>1</cp:revision>
  <cp:lastPrinted>2011-05-05T20:16:00Z</cp:lastPrinted>
  <dcterms:created xsi:type="dcterms:W3CDTF">2025-10-23T18:26:00Z</dcterms:created>
  <dcterms:modified xsi:type="dcterms:W3CDTF">2025-10-23T18:30:00Z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Gerencia|7f4773cf-2cb9-48b6-88d2-9e4750a72616;#74;#DST - División de Servicios Tecnológicos|adffd8fa-f5e1-40d6-917f-7a20c51b5b7e</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30edc914,73a6dbe2,36fae2f9</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2025-10-23T18:30:29Z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7e0d7e8b-e7f1-431c-9144-f48d40b2894c</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497c80e1-2bf0-4f31-b808-2f5ecd751ffd,9;1afe6994-8faf-447a-9c55-27a860d20fdf,12;cf7072bc-9575-4d0b-b529-251f6b43b02b,13;cf7072bc-9575-4d0b-b529-251f6b43b02b,13;</vt:lpwstr>
  </property>
  <property fmtid="{D5CDD505-2E9C-101B-9397-08002B2CF9AE}" pid="32" name="Order">
    <vt:r8>205800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11/09/2025 00:01:00</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Gerencia|7f4773cf-2cb9-48b6-88d2-9e4750a72616;#74;#DST - División de Servicios Tecnológicos|adffd8fa-f5e1-40d6-917f-7a20c51b5b7e</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