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7518" w:rsidR="003554C5" w:rsidP="00FD7518" w:rsidRDefault="00FD7518" w14:paraId="0279CE35" w14:textId="34722FF4">
      <w:pPr>
        <w:rPr>
          <w:rFonts w:ascii="Arial" w:hAnsi="Arial" w:cs="Arial"/>
          <w:sz w:val="24"/>
          <w:lang w:val="es-CR"/>
        </w:rPr>
      </w:pPr>
      <w:r w:rsidRPr="00FD7518">
        <w:rPr>
          <w:rFonts w:ascii="Arial" w:hAnsi="Arial" w:cs="Arial"/>
          <w:sz w:val="24"/>
          <w:lang w:val="es-CR"/>
        </w:rPr>
        <w:t>11 de agosto del 2025</w:t>
      </w:r>
    </w:p>
    <w:sdt>
      <w:sdtPr>
        <w:alias w:val="Consecutivo"/>
        <w:tag w:val="Consecutivo"/>
        <w:id w:val="867724263"/>
        <w:placeholder>
          <w:docPart w:val="1480294D3EB641758AFB66ED0EB82BC9"/>
        </w:placeholder>
        <w:text/>
      </w:sdtPr>
      <w:sdtEndPr/>
      <w:sdtContent>
        <w:p w:rsidR="003554C5" w:rsidP="0085692C" w:rsidRDefault="00BF4EBD" w14:paraId="15E881ED" w14:textId="77777777">
          <w:r>
            <w:rPr>
              <w:rStyle w:val="Textodelmarcadordeposicin"/>
              <w:rFonts w:eastAsia="Calibri"/>
            </w:rPr>
            <w:t>AI-0181-2025</w:t>
          </w:r>
        </w:p>
      </w:sdtContent>
    </w:sdt>
    <w:p w:rsidRPr="00F835F3" w:rsidR="00BF4EBD" w:rsidP="0085692C" w:rsidRDefault="00BF4EBD" w14:paraId="13CD1D32" w14:textId="77777777"/>
    <w:p w:rsidRPr="00FD7518" w:rsidR="00FD7518" w:rsidP="00FD7518" w:rsidRDefault="00FD7518" w14:paraId="28A659DA" w14:textId="77777777">
      <w:pPr>
        <w:rPr>
          <w:rFonts w:ascii="Arial" w:hAnsi="Arial" w:cs="Arial"/>
          <w:sz w:val="24"/>
          <w:lang w:val="es-CR"/>
        </w:rPr>
      </w:pPr>
      <w:r w:rsidRPr="00FD7518">
        <w:rPr>
          <w:rFonts w:ascii="Arial" w:hAnsi="Arial" w:cs="Arial"/>
          <w:sz w:val="24"/>
          <w:lang w:val="es-CR"/>
        </w:rPr>
        <w:t>Señor</w:t>
      </w:r>
    </w:p>
    <w:p w:rsidRPr="00FD7518" w:rsidR="00FD7518" w:rsidP="00FD7518" w:rsidRDefault="00FD7518" w14:paraId="10D1BA31" w14:textId="77777777">
      <w:pPr>
        <w:rPr>
          <w:rFonts w:ascii="Arial" w:hAnsi="Arial" w:cs="Arial"/>
          <w:sz w:val="24"/>
          <w:lang w:val="es-CR"/>
        </w:rPr>
      </w:pPr>
      <w:r w:rsidRPr="00FD7518">
        <w:rPr>
          <w:rFonts w:ascii="Arial" w:hAnsi="Arial" w:cs="Arial"/>
          <w:sz w:val="24"/>
          <w:lang w:val="es-CR"/>
        </w:rPr>
        <w:t>Pablo Villalobos G., Gerente</w:t>
      </w:r>
    </w:p>
    <w:p w:rsidRPr="00FD7518" w:rsidR="00FD7518" w:rsidP="00FD7518" w:rsidRDefault="00FD7518" w14:paraId="58E0B3E7" w14:textId="77777777">
      <w:pPr>
        <w:tabs>
          <w:tab w:val="center" w:pos="4419"/>
          <w:tab w:val="right" w:pos="8838"/>
        </w:tabs>
        <w:rPr>
          <w:rFonts w:ascii="Arial" w:hAnsi="Arial" w:eastAsia="Calibri" w:cs="Arial"/>
          <w:b/>
          <w:color w:val="1C4063" w:themeColor="accent1" w:themeShade="80"/>
          <w:sz w:val="24"/>
          <w:lang w:val="es-CR"/>
        </w:rPr>
      </w:pPr>
      <w:r w:rsidRPr="00FD7518">
        <w:rPr>
          <w:rFonts w:ascii="Arial" w:hAnsi="Arial" w:eastAsia="Calibri" w:cs="Arial"/>
          <w:b/>
          <w:color w:val="1C4063" w:themeColor="accent1" w:themeShade="80"/>
          <w:sz w:val="24"/>
          <w:lang w:val="es-CR"/>
        </w:rPr>
        <w:t>BANCO CENTRAL DE COSTA RICA</w:t>
      </w:r>
    </w:p>
    <w:p w:rsidRPr="00FD7518" w:rsidR="00FD7518" w:rsidP="00FD7518" w:rsidRDefault="00FD7518" w14:paraId="3F629769" w14:textId="77777777">
      <w:pPr>
        <w:rPr>
          <w:rFonts w:ascii="Arial" w:hAnsi="Arial" w:cs="Arial"/>
          <w:lang w:val="es-CR"/>
        </w:rPr>
      </w:pPr>
    </w:p>
    <w:p w:rsidRPr="00FD7518" w:rsidR="00FD7518" w:rsidP="00FD7518" w:rsidRDefault="00FD7518" w14:paraId="66FB6338" w14:textId="53A6A436">
      <w:pPr>
        <w:rPr>
          <w:rFonts w:ascii="Arial" w:hAnsi="Arial" w:cs="Arial"/>
          <w:b/>
          <w:bCs/>
          <w:lang w:val="es-CR"/>
        </w:rPr>
      </w:pPr>
      <w:r w:rsidRPr="00FD7518">
        <w:rPr>
          <w:rFonts w:ascii="Arial" w:hAnsi="Arial" w:cs="Arial"/>
          <w:b/>
          <w:lang w:val="es-CR"/>
        </w:rPr>
        <w:t xml:space="preserve">Ref. Comunicación del informe </w:t>
      </w:r>
      <w:r w:rsidRPr="00FD7518">
        <w:rPr>
          <w:rFonts w:ascii="Arial" w:hAnsi="Arial" w:cs="Arial"/>
          <w:b/>
          <w:bCs/>
          <w:lang w:val="es-CR"/>
        </w:rPr>
        <w:t xml:space="preserve">de la auditoría </w:t>
      </w:r>
      <w:bookmarkStart w:name="_Hlk198734038" w:id="0"/>
      <w:r w:rsidRPr="00FD7518">
        <w:rPr>
          <w:rFonts w:ascii="Arial" w:hAnsi="Arial" w:cs="Arial"/>
          <w:b/>
          <w:bCs/>
          <w:lang w:val="es-CR"/>
        </w:rPr>
        <w:t>especial sobre la recuperación del financiamiento a las Superintendencias</w:t>
      </w:r>
      <w:bookmarkEnd w:id="0"/>
    </w:p>
    <w:p w:rsidRPr="00FD7518" w:rsidR="00FD7518" w:rsidP="00FD7518" w:rsidRDefault="00FD7518" w14:paraId="551A5819" w14:textId="77777777">
      <w:pPr>
        <w:rPr>
          <w:rFonts w:ascii="Arial" w:hAnsi="Arial" w:cs="Arial"/>
          <w:lang w:val="es-CR"/>
        </w:rPr>
      </w:pPr>
    </w:p>
    <w:p w:rsidRPr="00FD7518" w:rsidR="00FD7518" w:rsidP="00FD7518" w:rsidRDefault="00FD7518" w14:paraId="6EB2A17A" w14:textId="77777777">
      <w:pPr>
        <w:rPr>
          <w:rFonts w:ascii="Arial" w:hAnsi="Arial" w:cs="Arial"/>
          <w:sz w:val="24"/>
          <w:lang w:val="es-CR"/>
        </w:rPr>
      </w:pPr>
      <w:r w:rsidRPr="00FD7518">
        <w:rPr>
          <w:rFonts w:ascii="Arial" w:hAnsi="Arial" w:cs="Arial"/>
          <w:sz w:val="24"/>
          <w:lang w:val="es-CR"/>
        </w:rPr>
        <w:t>Estimado señor:</w:t>
      </w:r>
    </w:p>
    <w:p w:rsidRPr="00FD7518" w:rsidR="00FD7518" w:rsidP="00FD7518" w:rsidRDefault="00FD7518" w14:paraId="55E9C2D3" w14:textId="77777777">
      <w:pPr>
        <w:rPr>
          <w:rFonts w:ascii="Arial" w:hAnsi="Arial" w:cs="Arial"/>
          <w:sz w:val="24"/>
          <w:lang w:val="es-CR"/>
        </w:rPr>
      </w:pPr>
    </w:p>
    <w:p w:rsidRPr="00FD7518" w:rsidR="00FD7518" w:rsidP="00FD7518" w:rsidRDefault="00FD7518" w14:paraId="03E3FC16" w14:textId="77777777">
      <w:pPr>
        <w:tabs>
          <w:tab w:val="left" w:pos="5505"/>
        </w:tabs>
        <w:rPr>
          <w:rFonts w:ascii="Arial" w:hAnsi="Arial" w:cs="Arial"/>
          <w:sz w:val="24"/>
          <w:lang w:val="es-CR"/>
        </w:rPr>
      </w:pPr>
      <w:r w:rsidRPr="00FD7518">
        <w:rPr>
          <w:rFonts w:ascii="Arial" w:hAnsi="Arial" w:cs="Arial"/>
          <w:sz w:val="24"/>
          <w:lang w:val="es-CR"/>
        </w:rPr>
        <w:t>Este informe contiene los resultados correspondientes al estudio de carácter especial</w:t>
      </w:r>
      <w:r w:rsidRPr="00FD7518">
        <w:rPr>
          <w:rFonts w:ascii="Arial" w:hAnsi="Arial" w:cs="Arial"/>
          <w:sz w:val="24"/>
          <w:vertAlign w:val="superscript"/>
          <w:lang w:val="es-CR"/>
        </w:rPr>
        <w:footnoteReference w:id="1"/>
      </w:r>
      <w:r w:rsidRPr="00FD7518">
        <w:rPr>
          <w:rFonts w:ascii="Arial" w:hAnsi="Arial" w:cs="Arial"/>
          <w:sz w:val="24"/>
          <w:lang w:val="es-CR"/>
        </w:rPr>
        <w:t>, mediante el cual esta Auditoría evaluó la recuperación del financiamiento a las superintendencias y cuyo objetivo fue comprobar la exactitud de los registros, el cumplimiento de disposiciones y controles asociados. La gestión evaluada está bajo la responsabilidad de los departamentos Presupuesto (DP) y Finanzas y Contabilidad (DFC), ambos de la División Transformación y Estrategia.</w:t>
      </w:r>
    </w:p>
    <w:p w:rsidRPr="00FD7518" w:rsidR="00FD7518" w:rsidP="00FD7518" w:rsidRDefault="00FD7518" w14:paraId="5C4A8CE4" w14:textId="77777777">
      <w:pPr>
        <w:tabs>
          <w:tab w:val="left" w:pos="5505"/>
        </w:tabs>
        <w:rPr>
          <w:rFonts w:ascii="Arial" w:hAnsi="Arial" w:cs="Arial"/>
          <w:sz w:val="24"/>
          <w:lang w:val="es-CR"/>
        </w:rPr>
      </w:pPr>
    </w:p>
    <w:p w:rsidRPr="00FD7518" w:rsidR="00FD7518" w:rsidP="00FD7518" w:rsidRDefault="00FD7518" w14:paraId="330BE9CF" w14:textId="77777777">
      <w:pPr>
        <w:rPr>
          <w:rFonts w:ascii="Arial" w:hAnsi="Arial" w:cs="Arial"/>
          <w:sz w:val="24"/>
          <w:lang w:val="es-CR"/>
        </w:rPr>
      </w:pPr>
      <w:r w:rsidRPr="00FD7518">
        <w:rPr>
          <w:rFonts w:ascii="Arial" w:hAnsi="Arial" w:cs="Arial"/>
          <w:sz w:val="24"/>
          <w:lang w:val="es-CR"/>
        </w:rPr>
        <w:t>El alcance del estudio comprendió las disposiciones normativas aplicables y los registros financieros y contables de la recuperación (mensual y la liquidación anual), del presupuesto financiado por el Banco Central a las superintendencias durante el año 202</w:t>
      </w:r>
      <w:r w:rsidRPr="00FD7518">
        <w:rPr>
          <w:rFonts w:ascii="Arial" w:hAnsi="Arial" w:cs="Arial"/>
          <w:color w:val="000000" w:themeColor="background1"/>
          <w:sz w:val="24"/>
          <w:lang w:val="es-CR"/>
        </w:rPr>
        <w:t xml:space="preserve">4. </w:t>
      </w:r>
      <w:r w:rsidRPr="00FD7518">
        <w:rPr>
          <w:rFonts w:ascii="Arial" w:hAnsi="Arial" w:cs="Arial"/>
          <w:sz w:val="24"/>
          <w:lang w:val="es-CR" w:eastAsia="uk-UA"/>
        </w:rPr>
        <w:t xml:space="preserve">Para la ejecución de este estudio se aplicaron los criterios de auditoría que se consideraron pertinentes según el objetivo planteado, los cuales fueron comunicados mediante oficio AI-0118-2025 del 09 de junio del 2025. </w:t>
      </w:r>
    </w:p>
    <w:p w:rsidRPr="00FD7518" w:rsidR="00FD7518" w:rsidP="00FD7518" w:rsidRDefault="00FD7518" w14:paraId="6B158203" w14:textId="77777777">
      <w:pPr>
        <w:contextualSpacing/>
        <w:rPr>
          <w:rFonts w:ascii="Arial" w:hAnsi="Arial" w:cs="Arial"/>
          <w:sz w:val="24"/>
          <w:lang w:val="es-CR"/>
        </w:rPr>
      </w:pPr>
    </w:p>
    <w:p w:rsidRPr="00FD7518" w:rsidR="00FD7518" w:rsidP="00FD7518" w:rsidRDefault="00FD7518" w14:paraId="3329A8CC" w14:textId="77777777">
      <w:pPr>
        <w:rPr>
          <w:rFonts w:ascii="Arial" w:hAnsi="Arial" w:cs="Arial"/>
          <w:sz w:val="24"/>
          <w:lang w:val="es-CR"/>
        </w:rPr>
      </w:pPr>
      <w:r w:rsidRPr="00FD7518">
        <w:rPr>
          <w:rFonts w:ascii="Arial" w:hAnsi="Arial" w:cs="Arial"/>
          <w:sz w:val="24"/>
          <w:lang w:val="es-CR"/>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FD7518" w:rsidR="00FD7518" w:rsidP="00FD7518" w:rsidRDefault="00FD7518" w14:paraId="603D6FC0" w14:textId="77777777">
      <w:pPr>
        <w:contextualSpacing/>
        <w:rPr>
          <w:rFonts w:ascii="Arial" w:hAnsi="Arial" w:cs="Arial"/>
          <w:sz w:val="24"/>
          <w:lang w:val="es-CR"/>
        </w:rPr>
      </w:pPr>
    </w:p>
    <w:p w:rsidRPr="00FD7518" w:rsidR="00FD7518" w:rsidP="00FD7518" w:rsidRDefault="00FD7518" w14:paraId="2FF50A31"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FD7518">
        <w:rPr>
          <w:rFonts w:ascii="Arial" w:hAnsi="Arial" w:cs="Arial"/>
          <w:b/>
          <w:color w:val="1C4063" w:themeColor="accent1" w:themeShade="80"/>
          <w:sz w:val="28"/>
          <w:szCs w:val="28"/>
          <w:lang w:val="es-CR" w:eastAsia="es-CR"/>
        </w:rPr>
        <w:t>GENERALIDADES</w:t>
      </w:r>
    </w:p>
    <w:p w:rsidRPr="00FD7518" w:rsidR="00FD7518" w:rsidP="00FD7518" w:rsidRDefault="00FD7518" w14:paraId="6694D3CA" w14:textId="77777777">
      <w:pPr>
        <w:tabs>
          <w:tab w:val="center" w:pos="4680"/>
          <w:tab w:val="right" w:pos="9360"/>
        </w:tabs>
        <w:rPr>
          <w:rFonts w:ascii="Arial" w:hAnsi="Arial" w:cs="Arial"/>
          <w:sz w:val="24"/>
          <w:lang w:val="es-CR"/>
        </w:rPr>
      </w:pPr>
    </w:p>
    <w:p w:rsidRPr="00FD7518" w:rsidR="00FD7518" w:rsidP="00FD7518" w:rsidRDefault="00FD7518" w14:paraId="768DCBFD" w14:textId="77777777">
      <w:pPr>
        <w:rPr>
          <w:rFonts w:ascii="Arial" w:hAnsi="Arial" w:cs="Arial"/>
          <w:sz w:val="24"/>
          <w:lang w:val="es-CR"/>
        </w:rPr>
      </w:pPr>
      <w:r w:rsidRPr="00FD7518">
        <w:rPr>
          <w:rFonts w:ascii="Arial" w:hAnsi="Arial" w:cs="Arial"/>
          <w:sz w:val="24"/>
          <w:lang w:val="es-CR"/>
        </w:rPr>
        <w:t>La Ley Reguladora del Mercado de Valores establece que el presupuesto de las superintendencias será financiado en un 50% con recursos provenientes del Banco Central de Costa Rica y en un 50% mediante contribuciones obligatorias de los sujetos fiscalizados. Además, que el presupuesto de cada superintendencia incluirá el gasto del Consejo Nacional de Supervisión del Sistema Financiero (Conassif), el cual se asignará anualmente, de manera proporcional, al monto de sus respectivos presupuestos</w:t>
      </w:r>
      <w:r w:rsidRPr="00FD7518">
        <w:rPr>
          <w:rFonts w:ascii="Arial" w:hAnsi="Arial" w:cs="Arial"/>
          <w:sz w:val="24"/>
          <w:vertAlign w:val="superscript"/>
          <w:lang w:val="es-CR"/>
        </w:rPr>
        <w:footnoteReference w:id="2"/>
      </w:r>
      <w:r w:rsidRPr="00FD7518">
        <w:rPr>
          <w:rFonts w:ascii="Arial" w:hAnsi="Arial" w:cs="Arial"/>
          <w:sz w:val="24"/>
          <w:lang w:val="es-CR"/>
        </w:rPr>
        <w:t>.</w:t>
      </w:r>
    </w:p>
    <w:p w:rsidRPr="00FD7518" w:rsidR="00FD7518" w:rsidP="00FD7518" w:rsidRDefault="00FD7518" w14:paraId="38D7A06C" w14:textId="77777777">
      <w:pPr>
        <w:tabs>
          <w:tab w:val="center" w:pos="4680"/>
          <w:tab w:val="right" w:pos="9360"/>
        </w:tabs>
        <w:rPr>
          <w:rFonts w:ascii="Arial" w:hAnsi="Arial" w:cs="Arial"/>
          <w:sz w:val="24"/>
          <w:lang w:val="es-CR"/>
        </w:rPr>
      </w:pPr>
    </w:p>
    <w:p w:rsidRPr="00FD7518" w:rsidR="00FD7518" w:rsidP="00FD7518" w:rsidRDefault="00FD7518" w14:paraId="43321E49" w14:textId="77777777">
      <w:pPr>
        <w:tabs>
          <w:tab w:val="center" w:pos="4680"/>
          <w:tab w:val="right" w:pos="9360"/>
        </w:tabs>
        <w:rPr>
          <w:rFonts w:ascii="Arial" w:hAnsi="Arial" w:cs="Arial"/>
          <w:sz w:val="24"/>
          <w:lang w:val="es-CR"/>
        </w:rPr>
      </w:pPr>
      <w:r w:rsidRPr="00FD7518">
        <w:rPr>
          <w:rFonts w:ascii="Arial" w:hAnsi="Arial" w:cs="Arial"/>
          <w:sz w:val="24"/>
          <w:lang w:val="es-CR"/>
        </w:rPr>
        <w:t>El transitorio II y III de la ley N° 9746 que reforma la Ley Reguladora del Mercado de Valores, establece el plazo para alcanzar el incremento en el porcentaje de contribución de las entidades supervisadas por la Supén, la Sugef, la Sugese y la Sugeval, conforme a lo dispuesto en los artículos 174 y 175 de la ley N.º</w:t>
      </w:r>
      <w:r w:rsidRPr="00FD7518">
        <w:rPr>
          <w:rFonts w:ascii="Arial" w:hAnsi="Arial" w:cs="Arial"/>
          <w:b/>
          <w:bCs/>
          <w:sz w:val="24"/>
          <w:lang w:val="es-CR"/>
        </w:rPr>
        <w:t> </w:t>
      </w:r>
      <w:r w:rsidRPr="00FD7518">
        <w:rPr>
          <w:rFonts w:ascii="Arial" w:hAnsi="Arial" w:cs="Arial"/>
          <w:sz w:val="24"/>
          <w:lang w:val="es-CR"/>
        </w:rPr>
        <w:t>7732, Ley Reguladora del Mercado de Valores (cincuenta por ciento (50%) por el Banco Central de Costa Rica y en un cincuenta por ciento (50%) mediante contribuciones obligatorias de los sujetos fiscalizados</w:t>
      </w:r>
      <w:r w:rsidRPr="00FD7518">
        <w:rPr>
          <w:rFonts w:ascii="Arial" w:hAnsi="Arial" w:cs="Arial"/>
          <w:sz w:val="24"/>
          <w:vertAlign w:val="superscript"/>
          <w:lang w:val="es-CR"/>
        </w:rPr>
        <w:footnoteReference w:id="3"/>
      </w:r>
      <w:r w:rsidRPr="00FD7518">
        <w:rPr>
          <w:rFonts w:ascii="Arial" w:hAnsi="Arial" w:cs="Arial"/>
          <w:sz w:val="24"/>
          <w:lang w:val="es-CR"/>
        </w:rPr>
        <w:t>, el cual se alcanzará a razón de un incremento del siete coma cinco (7,5) puntos porcentuales por año, a partir del presupuesto correspondiente al quinto año inmediatamente siguiente a la entrada en vigencia de esa ley y hasta completar el cincuenta por ciento (50%) dispuesto en los citados artículos. El presupuesto del Conassif también debe ser recuperado en el mismo porcentaje antes indicado y para tal efecto se distribuye entre los órganos bajo su dirección.</w:t>
      </w:r>
    </w:p>
    <w:p w:rsidRPr="00FD7518" w:rsidR="00FD7518" w:rsidP="00FD7518" w:rsidRDefault="00FD7518" w14:paraId="74C0A232" w14:textId="77777777">
      <w:pPr>
        <w:tabs>
          <w:tab w:val="center" w:pos="4680"/>
          <w:tab w:val="right" w:pos="9360"/>
        </w:tabs>
        <w:rPr>
          <w:rFonts w:ascii="Arial" w:hAnsi="Arial" w:cs="Arial"/>
          <w:sz w:val="24"/>
          <w:lang w:val="es-CR"/>
        </w:rPr>
      </w:pPr>
    </w:p>
    <w:p w:rsidRPr="00FD7518" w:rsidR="00FD7518" w:rsidP="00FD7518" w:rsidRDefault="00FD7518" w14:paraId="1D1B438A" w14:textId="77777777">
      <w:pPr>
        <w:tabs>
          <w:tab w:val="center" w:pos="4680"/>
          <w:tab w:val="right" w:pos="9360"/>
        </w:tabs>
        <w:rPr>
          <w:rFonts w:ascii="Arial" w:hAnsi="Arial" w:cs="Arial"/>
          <w:sz w:val="24"/>
          <w:lang w:val="es-CR"/>
        </w:rPr>
      </w:pPr>
      <w:r w:rsidRPr="00FD7518">
        <w:rPr>
          <w:rFonts w:ascii="Arial" w:hAnsi="Arial" w:cs="Arial"/>
          <w:sz w:val="24"/>
          <w:lang w:val="es-CR"/>
        </w:rPr>
        <w:t>La recuperación porcentual del financiamiento a las superintendencias por parte del Banco Central de Costa Rica se estableció mediante decreto ejecutivo 27830 del 15 de abril de 1999.</w:t>
      </w:r>
    </w:p>
    <w:p w:rsidRPr="00FD7518" w:rsidR="00FD7518" w:rsidP="00FD7518" w:rsidRDefault="00FD7518" w14:paraId="39FAC3D9" w14:textId="77777777">
      <w:pPr>
        <w:tabs>
          <w:tab w:val="center" w:pos="4680"/>
          <w:tab w:val="right" w:pos="9360"/>
        </w:tabs>
        <w:rPr>
          <w:rFonts w:ascii="Arial" w:hAnsi="Arial" w:cs="Arial"/>
          <w:sz w:val="24"/>
          <w:lang w:val="es-CR"/>
        </w:rPr>
      </w:pPr>
    </w:p>
    <w:p w:rsidRPr="00FD7518" w:rsidR="00FD7518" w:rsidP="00FD7518" w:rsidRDefault="00FD7518" w14:paraId="643836F1" w14:textId="77777777">
      <w:pPr>
        <w:rPr>
          <w:rFonts w:ascii="Arial" w:hAnsi="Arial" w:cs="Arial"/>
          <w:sz w:val="24"/>
          <w:lang w:val="es-CR"/>
        </w:rPr>
      </w:pPr>
      <w:r w:rsidRPr="00FD7518">
        <w:rPr>
          <w:rFonts w:ascii="Arial" w:hAnsi="Arial" w:cs="Arial"/>
          <w:sz w:val="24"/>
          <w:lang w:val="es-CR"/>
        </w:rPr>
        <w:t>El Departamento Finanzas y Contabilidad ejecuta actividades para controlar el ingreso mensual y anual correspondiente al pago que realizan los entes supervisados, según el cobro facturado por las superintendencias y, además, contabiliza los ingresos y las cuentas deudoras o acreedoras resultantes de las diferencias entre el cobro y el gasto efectivo, para lo cual utiliza la estimación mensual que efectúa el Departamento Presupuesto sobre el gasto efectivo ejecutado por las superintendencias. En el primer trimestre del período siguiente, las superintendencias realizan una liquidación final de los pagos recibidos y los gastos efectivos de cada año terminado. Dicha liquidación es enviada al Departamento Finanzas y Contabilidad, el cual realiza la conciliación con los registros contables y presupuestarios.</w:t>
      </w:r>
    </w:p>
    <w:p w:rsidRPr="00FD7518" w:rsidR="00FD7518" w:rsidP="00FD7518" w:rsidRDefault="00FD7518" w14:paraId="5BA0B6F5" w14:textId="77777777">
      <w:pPr>
        <w:ind w:left="513"/>
        <w:contextualSpacing/>
        <w:rPr>
          <w:rFonts w:ascii="Arial" w:hAnsi="Arial" w:cs="Arial"/>
          <w:szCs w:val="22"/>
          <w:lang w:val="es-CR"/>
        </w:rPr>
      </w:pPr>
    </w:p>
    <w:p w:rsidRPr="00FD7518" w:rsidR="00FD7518" w:rsidP="00FD7518" w:rsidRDefault="00FD7518" w14:paraId="3F97B510"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r w:rsidRPr="00FD7518">
        <w:rPr>
          <w:rFonts w:ascii="Arial" w:hAnsi="Arial" w:cs="Arial"/>
          <w:b/>
          <w:color w:val="1C4063" w:themeColor="accent1" w:themeShade="80"/>
          <w:sz w:val="28"/>
          <w:szCs w:val="28"/>
          <w:lang w:val="es-CR" w:eastAsia="es-CR"/>
        </w:rPr>
        <w:t>RESUMEN DE RESULTADOS</w:t>
      </w:r>
    </w:p>
    <w:p w:rsidRPr="00FD7518" w:rsidR="00FD7518" w:rsidP="00FD7518" w:rsidRDefault="00FD7518" w14:paraId="3A09FB68" w14:textId="77777777">
      <w:pPr>
        <w:rPr>
          <w:lang w:val="es-CR" w:eastAsia="es-CR"/>
        </w:rPr>
      </w:pPr>
    </w:p>
    <w:p w:rsidRPr="00FD7518" w:rsidR="00FD7518" w:rsidP="00FD7518" w:rsidRDefault="00FD7518" w14:paraId="2BFEA165" w14:textId="77777777">
      <w:pPr>
        <w:rPr>
          <w:rFonts w:ascii="Arial" w:hAnsi="Arial" w:cs="Arial"/>
          <w:sz w:val="24"/>
          <w:szCs w:val="28"/>
          <w:lang w:val="es-CR"/>
        </w:rPr>
      </w:pPr>
      <w:r w:rsidRPr="00FD7518">
        <w:rPr>
          <w:rFonts w:ascii="Arial" w:hAnsi="Arial" w:cs="Arial"/>
          <w:sz w:val="24"/>
          <w:szCs w:val="28"/>
          <w:lang w:val="es-CR"/>
        </w:rPr>
        <w:t>Los resultados de esta evaluación fueron los siguientes:</w:t>
      </w:r>
    </w:p>
    <w:p w:rsidRPr="00FD7518" w:rsidR="00FD7518" w:rsidP="00FD7518" w:rsidRDefault="00FD7518" w14:paraId="628266A6" w14:textId="77777777">
      <w:pPr>
        <w:rPr>
          <w:rFonts w:ascii="Arial" w:hAnsi="Arial" w:cs="Arial"/>
          <w:sz w:val="24"/>
          <w:szCs w:val="28"/>
          <w:lang w:val="es-CR"/>
        </w:rPr>
      </w:pPr>
    </w:p>
    <w:p w:rsidRPr="00FD7518" w:rsidR="00FD7518" w:rsidP="00FD7518" w:rsidRDefault="00FD7518" w14:paraId="3FA8C8AB" w14:textId="77777777">
      <w:pPr>
        <w:numPr>
          <w:ilvl w:val="0"/>
          <w:numId w:val="14"/>
        </w:numPr>
        <w:ind w:left="357" w:hanging="357"/>
        <w:rPr>
          <w:rFonts w:ascii="Arial" w:hAnsi="Arial" w:cs="Arial"/>
          <w:sz w:val="24"/>
          <w:lang w:val="es-CR"/>
        </w:rPr>
      </w:pPr>
      <w:r w:rsidRPr="00FD7518">
        <w:rPr>
          <w:rFonts w:ascii="Arial" w:hAnsi="Arial" w:cs="Arial"/>
          <w:sz w:val="24"/>
          <w:lang w:val="es-CR"/>
        </w:rPr>
        <w:t>Se comprobó la correcta aplicación y cumplimiento de las disposiciones establecidas en la normativa vigente</w:t>
      </w:r>
      <w:r w:rsidRPr="00FD7518">
        <w:rPr>
          <w:rFonts w:ascii="Arial" w:hAnsi="Arial" w:cs="Arial"/>
          <w:sz w:val="24"/>
          <w:vertAlign w:val="superscript"/>
          <w:lang w:val="es-CR"/>
        </w:rPr>
        <w:footnoteReference w:id="4"/>
      </w:r>
      <w:r w:rsidRPr="00FD7518">
        <w:rPr>
          <w:rFonts w:ascii="Arial" w:hAnsi="Arial" w:cs="Arial"/>
          <w:sz w:val="24"/>
          <w:lang w:val="es-CR"/>
        </w:rPr>
        <w:t xml:space="preserve">, en relación con la recuperación del </w:t>
      </w:r>
      <w:r w:rsidRPr="00FD7518">
        <w:rPr>
          <w:rFonts w:ascii="Arial" w:hAnsi="Arial" w:cs="Arial"/>
          <w:sz w:val="24"/>
          <w:lang w:val="es-CR"/>
        </w:rPr>
        <w:lastRenderedPageBreak/>
        <w:t>presupuesto de las superintendencias financiado por el Banco Central durante el periodo 2024.</w:t>
      </w:r>
    </w:p>
    <w:p w:rsidRPr="00FD7518" w:rsidR="00FD7518" w:rsidP="00FD7518" w:rsidRDefault="00FD7518" w14:paraId="49272435" w14:textId="77777777">
      <w:pPr>
        <w:ind w:left="357"/>
        <w:rPr>
          <w:rFonts w:ascii="Arial" w:hAnsi="Arial" w:cs="Arial"/>
          <w:sz w:val="24"/>
          <w:lang w:val="es-CR"/>
        </w:rPr>
      </w:pPr>
    </w:p>
    <w:p w:rsidRPr="00FD7518" w:rsidR="00FD7518" w:rsidP="00FD7518" w:rsidRDefault="00FD7518" w14:paraId="7DA4E828" w14:textId="77777777">
      <w:pPr>
        <w:numPr>
          <w:ilvl w:val="0"/>
          <w:numId w:val="14"/>
        </w:numPr>
        <w:ind w:left="357" w:hanging="357"/>
        <w:rPr>
          <w:rFonts w:ascii="Arial" w:hAnsi="Arial" w:cs="Arial"/>
          <w:sz w:val="24"/>
          <w:lang w:val="es-CR"/>
        </w:rPr>
      </w:pPr>
      <w:r w:rsidRPr="00FD7518">
        <w:rPr>
          <w:rFonts w:ascii="Arial" w:hAnsi="Arial" w:cs="Arial"/>
          <w:sz w:val="24"/>
          <w:lang w:val="es-CR"/>
        </w:rPr>
        <w:t>Se constató la integridad de los datos remitidos por las superintendencias respecto a la distribución del presupuesto anual aprobado, el cobro mensual facturado a cada entidad supervisada y los pagos recibidos, en el marco del proceso de recuperación del financiamiento realizado por el Banco Central.</w:t>
      </w:r>
    </w:p>
    <w:p w:rsidRPr="00FD7518" w:rsidR="00FD7518" w:rsidP="00FD7518" w:rsidRDefault="00FD7518" w14:paraId="3A6B3DBE" w14:textId="77777777">
      <w:pPr>
        <w:ind w:left="720"/>
        <w:contextualSpacing/>
        <w:rPr>
          <w:rFonts w:ascii="Arial" w:hAnsi="Arial" w:cs="Arial"/>
          <w:sz w:val="24"/>
          <w:lang w:val="es-CR"/>
        </w:rPr>
      </w:pPr>
    </w:p>
    <w:p w:rsidRPr="00FD7518" w:rsidR="00FD7518" w:rsidP="00FD7518" w:rsidRDefault="00FD7518" w14:paraId="3F2C7B90" w14:textId="77777777">
      <w:pPr>
        <w:numPr>
          <w:ilvl w:val="0"/>
          <w:numId w:val="14"/>
        </w:numPr>
        <w:ind w:left="357" w:hanging="357"/>
        <w:rPr>
          <w:rFonts w:ascii="Arial" w:hAnsi="Arial" w:cs="Arial"/>
          <w:sz w:val="24"/>
          <w:lang w:val="es-CR"/>
        </w:rPr>
      </w:pPr>
      <w:r w:rsidRPr="00FD7518">
        <w:rPr>
          <w:rFonts w:ascii="Arial" w:hAnsi="Arial" w:cs="Arial"/>
          <w:sz w:val="24"/>
          <w:lang w:val="es-CR"/>
        </w:rPr>
        <w:t>Se verificó la razonabilidad del monto recuperado correspondiente al presupuesto financiado por el Banco Central a las superintendencias.</w:t>
      </w:r>
    </w:p>
    <w:p w:rsidRPr="00FD7518" w:rsidR="00FD7518" w:rsidP="00FD7518" w:rsidRDefault="00FD7518" w14:paraId="288D1F7A" w14:textId="77777777">
      <w:pPr>
        <w:rPr>
          <w:rFonts w:ascii="Arial" w:hAnsi="Arial" w:cs="Arial"/>
          <w:sz w:val="24"/>
          <w:lang w:val="es-CR"/>
        </w:rPr>
      </w:pPr>
    </w:p>
    <w:p w:rsidRPr="00FD7518" w:rsidR="00FD7518" w:rsidP="00FD7518" w:rsidRDefault="00FD7518" w14:paraId="48FD4ED5" w14:textId="77777777">
      <w:pPr>
        <w:numPr>
          <w:ilvl w:val="0"/>
          <w:numId w:val="14"/>
        </w:numPr>
        <w:ind w:left="357" w:hanging="357"/>
        <w:rPr>
          <w:rFonts w:ascii="Arial" w:hAnsi="Arial" w:cs="Arial"/>
          <w:sz w:val="24"/>
          <w:lang w:val="es-CR"/>
        </w:rPr>
      </w:pPr>
      <w:r w:rsidRPr="00FD7518">
        <w:rPr>
          <w:rFonts w:ascii="Arial" w:hAnsi="Arial" w:cs="Arial"/>
          <w:sz w:val="24"/>
          <w:lang w:val="es-CR"/>
        </w:rPr>
        <w:t>Se evaluó la exactitud e integridad del registro contable mensual correspondiente a la recuperación del financiamiento a las superintendencias</w:t>
      </w:r>
      <w:r w:rsidRPr="00FD7518">
        <w:rPr>
          <w:rFonts w:ascii="Arial" w:hAnsi="Arial" w:eastAsia="Arial" w:cs="Arial"/>
          <w:color w:val="000000" w:themeColor="text1"/>
          <w:lang w:val="es-CR" w:eastAsia="uk-UA"/>
        </w:rPr>
        <w:t>.</w:t>
      </w:r>
    </w:p>
    <w:p w:rsidRPr="00FD7518" w:rsidR="00FD7518" w:rsidP="00FD7518" w:rsidRDefault="00FD7518" w14:paraId="38C60E1B" w14:textId="77777777">
      <w:pPr>
        <w:rPr>
          <w:rFonts w:ascii="Arial" w:hAnsi="Arial" w:cs="Arial"/>
          <w:sz w:val="24"/>
          <w:lang w:val="es-CR"/>
        </w:rPr>
      </w:pPr>
    </w:p>
    <w:p w:rsidRPr="00FD7518" w:rsidR="00FD7518" w:rsidP="00FD7518" w:rsidRDefault="00FD7518" w14:paraId="2117FBA6" w14:textId="77777777">
      <w:pPr>
        <w:numPr>
          <w:ilvl w:val="0"/>
          <w:numId w:val="14"/>
        </w:numPr>
        <w:ind w:left="357" w:hanging="357"/>
        <w:rPr>
          <w:rFonts w:ascii="Arial" w:hAnsi="Arial" w:cs="Arial"/>
          <w:sz w:val="24"/>
          <w:lang w:val="es-CR"/>
        </w:rPr>
      </w:pPr>
      <w:r w:rsidRPr="00FD7518">
        <w:rPr>
          <w:rFonts w:ascii="Arial" w:hAnsi="Arial" w:cs="Arial"/>
          <w:sz w:val="24"/>
          <w:lang w:val="es-CR"/>
        </w:rPr>
        <w:t xml:space="preserve">Se revisó la liquidación anual del cobro a las superintendencias con base en el gasto efectivo del presupuesto al 31 de diciembre 2024, así como el saldo disponible en obligaciones por pagar, derivado de las aportaciones recibidas en exceso durante el citado periodo. </w:t>
      </w:r>
    </w:p>
    <w:p w:rsidRPr="00FD7518" w:rsidR="00FD7518" w:rsidP="00FD7518" w:rsidRDefault="00FD7518" w14:paraId="301DE0FA" w14:textId="77777777">
      <w:pPr>
        <w:rPr>
          <w:rFonts w:ascii="Arial" w:hAnsi="Arial" w:cs="Arial"/>
          <w:sz w:val="24"/>
          <w:lang w:val="es-CR"/>
        </w:rPr>
      </w:pPr>
    </w:p>
    <w:p w:rsidRPr="00FD7518" w:rsidR="00FD7518" w:rsidP="00FD7518" w:rsidRDefault="00FD7518" w14:paraId="054CB037" w14:textId="77777777">
      <w:pPr>
        <w:numPr>
          <w:ilvl w:val="0"/>
          <w:numId w:val="14"/>
        </w:numPr>
        <w:ind w:left="357" w:hanging="357"/>
        <w:rPr>
          <w:rFonts w:ascii="Arial" w:hAnsi="Arial" w:cs="Arial"/>
          <w:sz w:val="24"/>
          <w:lang w:val="es-CR"/>
        </w:rPr>
      </w:pPr>
      <w:r w:rsidRPr="00FD7518">
        <w:rPr>
          <w:rFonts w:ascii="Arial" w:hAnsi="Arial" w:eastAsia="Arial" w:cs="Arial"/>
          <w:sz w:val="24"/>
          <w:lang w:val="es-CR"/>
        </w:rPr>
        <w:t>Se comprobó la depuración del saldo acumulado al inicio del ejercicio 2024 en la cuenta por pagar supervisados, correspondiente a periodos anteriores.</w:t>
      </w:r>
    </w:p>
    <w:p w:rsidRPr="00FD7518" w:rsidR="00FD7518" w:rsidP="00FD7518" w:rsidRDefault="00FD7518" w14:paraId="6A10D5D7" w14:textId="77777777">
      <w:pPr>
        <w:ind w:left="720"/>
        <w:contextualSpacing/>
        <w:rPr>
          <w:rFonts w:ascii="Arial" w:hAnsi="Arial" w:cs="Arial"/>
          <w:sz w:val="24"/>
          <w:lang w:val="es-CR"/>
        </w:rPr>
      </w:pPr>
    </w:p>
    <w:p w:rsidRPr="00FD7518" w:rsidR="00FD7518" w:rsidP="00FD7518" w:rsidRDefault="00FD7518" w14:paraId="22E88B39" w14:textId="77777777">
      <w:pPr>
        <w:numPr>
          <w:ilvl w:val="0"/>
          <w:numId w:val="15"/>
        </w:numPr>
        <w:ind w:left="284"/>
        <w:contextualSpacing/>
        <w:rPr>
          <w:rFonts w:ascii="Arial" w:hAnsi="Arial" w:cs="Arial"/>
          <w:sz w:val="24"/>
          <w:lang w:val="es-CR"/>
        </w:rPr>
      </w:pPr>
      <w:r w:rsidRPr="00FD7518">
        <w:rPr>
          <w:rFonts w:ascii="Arial" w:hAnsi="Arial" w:cs="Arial"/>
          <w:sz w:val="24"/>
          <w:lang w:val="es-CR"/>
        </w:rPr>
        <w:t>Se determinó que la Superintendencia de Pensiones y la Superintendencia General de Entidades Financieras realizaron el cálculo de la liquidación anual utilizando el porcentaje de participación presupuestado a inicios de año, en lugar del porcentaje actualizado conforme a los datos de los gastos reales anuales, en contravención de lo establecido en el artículo 8 - Pago regular individual de la liquidación (PRIL) del Reglamento para regular la participación de supervisados y emisores en el financiamiento del presupuesto de las superintendencias, decreto ejecutivo No. 44705-H.</w:t>
      </w:r>
    </w:p>
    <w:p w:rsidRPr="00FD7518" w:rsidR="00FD7518" w:rsidP="00FD7518" w:rsidRDefault="00FD7518" w14:paraId="4E31D5AF" w14:textId="77777777">
      <w:pPr>
        <w:ind w:left="-76"/>
        <w:rPr>
          <w:rFonts w:ascii="Arial" w:hAnsi="Arial" w:cs="Arial"/>
          <w:sz w:val="24"/>
          <w:lang w:val="es-CR"/>
        </w:rPr>
      </w:pPr>
    </w:p>
    <w:p w:rsidRPr="00FD7518" w:rsidR="00FD7518" w:rsidP="00FD7518" w:rsidRDefault="00FD7518" w14:paraId="68DF7B74" w14:textId="77777777">
      <w:pPr>
        <w:ind w:left="284"/>
        <w:rPr>
          <w:rFonts w:ascii="Arial" w:hAnsi="Arial" w:cs="Arial"/>
          <w:sz w:val="24"/>
          <w:lang w:val="es-CR"/>
        </w:rPr>
      </w:pPr>
      <w:r w:rsidRPr="00FD7518">
        <w:rPr>
          <w:rFonts w:ascii="Arial" w:hAnsi="Arial" w:cs="Arial"/>
          <w:sz w:val="24"/>
          <w:lang w:val="es-CR"/>
        </w:rPr>
        <w:t xml:space="preserve">Asimismo, se cuestionó la exclusión de otros gastos extraordinarios, como las intervenciones, del cálculo del gasto por supervisión antes de aplicar el porcentaje del 27,5%. Sin embargo, el artículo 8 del citado reglamento aclara que, al resultado de multiplicar el gasto total de las superintendencias por su participación en el </w:t>
      </w:r>
      <w:r w:rsidRPr="00FD7518">
        <w:rPr>
          <w:rFonts w:ascii="Arial" w:hAnsi="Arial" w:cs="Arial"/>
          <w:sz w:val="24"/>
          <w:lang w:val="es-CR"/>
        </w:rPr>
        <w:lastRenderedPageBreak/>
        <w:t>gasto del CONASSIF para el año por liquidar, deben deducirse los gastos extraordinarios (intervención y marginales).</w:t>
      </w:r>
    </w:p>
    <w:p w:rsidRPr="00FD7518" w:rsidR="00FD7518" w:rsidP="00FD7518" w:rsidRDefault="00FD7518" w14:paraId="60900C05" w14:textId="77777777">
      <w:pPr>
        <w:ind w:left="720"/>
        <w:contextualSpacing/>
        <w:rPr>
          <w:rFonts w:ascii="Arial" w:hAnsi="Arial" w:cs="Arial"/>
          <w:sz w:val="24"/>
          <w:lang w:val="es-CR"/>
        </w:rPr>
      </w:pPr>
    </w:p>
    <w:p w:rsidRPr="00FD7518" w:rsidR="00FD7518" w:rsidP="00FD7518" w:rsidRDefault="00FD7518" w14:paraId="112A17D3" w14:textId="77777777">
      <w:pPr>
        <w:numPr>
          <w:ilvl w:val="0"/>
          <w:numId w:val="15"/>
        </w:numPr>
        <w:ind w:left="284"/>
        <w:contextualSpacing/>
        <w:rPr>
          <w:rFonts w:ascii="Arial" w:hAnsi="Arial" w:cs="Arial"/>
          <w:sz w:val="24"/>
          <w:lang w:val="es-CR"/>
        </w:rPr>
      </w:pPr>
      <w:r w:rsidRPr="00FD7518">
        <w:rPr>
          <w:rFonts w:ascii="Arial" w:hAnsi="Arial" w:cs="Arial"/>
          <w:sz w:val="24"/>
          <w:lang w:val="es-CR"/>
        </w:rPr>
        <w:t>Se verificó que el Departamento Presupuesto y el Departamento Finanzas y Contabilidad realizaron el cálculo para la liquidación del 2024, conforme a lo establecido en el Reglamento para regular la participación de supervisados y emisores en el financiamiento del presupuesto de las superintendencias. En consecuencia, la recuperación del 27,5% del financiamiento a las superintendencias correspondiente a dicho periodo no se vio afectada. No obstante, podría requerirse un ajuste en la liquidación final de los cobros realizados a los supervisados, sujeto al criterio legal que emita la Asesoría Jurídica del Conassif, como resultado de consultas planteadas por las superintendencias y de la revisión en curso por parte de la Auditoría Interna del Conassif sobre el cobro por supervisión.</w:t>
      </w:r>
      <w:r w:rsidRPr="00FD7518">
        <w:rPr>
          <w:rFonts w:ascii="Arial" w:hAnsi="Arial" w:cs="Arial"/>
          <w:lang w:val="es-CR"/>
        </w:rPr>
        <w:t xml:space="preserve"> </w:t>
      </w:r>
    </w:p>
    <w:p w:rsidRPr="00FD7518" w:rsidR="00FD7518" w:rsidP="00FD7518" w:rsidRDefault="00FD7518" w14:paraId="2D512458" w14:textId="35B94CF5">
      <w:pPr>
        <w:ind w:left="357"/>
        <w:rPr>
          <w:rFonts w:ascii="Arial" w:hAnsi="Arial" w:cs="Arial"/>
          <w:sz w:val="24"/>
          <w:lang w:val="es-CR"/>
        </w:rPr>
      </w:pPr>
      <w:r w:rsidRPr="00FD7518">
        <w:rPr>
          <w:rFonts w:ascii="Arial" w:hAnsi="Arial" w:cs="Arial"/>
          <w:sz w:val="24"/>
          <w:lang w:val="es-CR"/>
        </w:rPr>
        <w:t xml:space="preserve"> </w:t>
      </w:r>
      <w:r w:rsidRPr="00FD7518">
        <w:rPr>
          <w:rFonts w:ascii="Arial" w:hAnsi="Arial" w:cs="Arial"/>
          <w:sz w:val="24"/>
          <w:lang w:val="es-CR"/>
        </w:rPr>
        <w:tab/>
      </w:r>
      <w:r w:rsidRPr="00FD7518">
        <w:rPr>
          <w:rFonts w:ascii="Arial" w:hAnsi="Arial" w:cs="Arial"/>
          <w:sz w:val="24"/>
          <w:lang w:val="es-CR"/>
        </w:rPr>
        <w:tab/>
      </w:r>
    </w:p>
    <w:p w:rsidRPr="00FD7518" w:rsidR="00FD7518" w:rsidP="00FD7518" w:rsidRDefault="00FD7518" w14:paraId="1CEC151E" w14:textId="77777777">
      <w:pPr>
        <w:keepNext/>
        <w:numPr>
          <w:ilvl w:val="0"/>
          <w:numId w:val="13"/>
        </w:numPr>
        <w:ind w:left="567" w:right="-340"/>
        <w:outlineLvl w:val="0"/>
        <w:rPr>
          <w:rFonts w:ascii="Arial" w:hAnsi="Arial" w:cs="Arial"/>
          <w:b/>
          <w:color w:val="1C4063" w:themeColor="accent1" w:themeShade="80"/>
          <w:sz w:val="28"/>
          <w:szCs w:val="28"/>
          <w:lang w:val="es-CR" w:eastAsia="es-CR"/>
        </w:rPr>
      </w:pPr>
      <w:bookmarkStart w:name="_Hlk175148887" w:id="1"/>
      <w:r w:rsidRPr="00FD7518">
        <w:rPr>
          <w:rFonts w:ascii="Arial" w:hAnsi="Arial" w:cs="Arial"/>
          <w:b/>
          <w:color w:val="1C4063" w:themeColor="accent1" w:themeShade="80"/>
          <w:sz w:val="28"/>
          <w:szCs w:val="28"/>
          <w:lang w:val="es-CR" w:eastAsia="es-CR"/>
        </w:rPr>
        <w:t>CONCLUSIÓN</w:t>
      </w:r>
    </w:p>
    <w:p w:rsidRPr="00FD7518" w:rsidR="00FD7518" w:rsidP="00FD7518" w:rsidRDefault="00FD7518" w14:paraId="27F2EEE0" w14:textId="77777777">
      <w:pPr>
        <w:rPr>
          <w:rFonts w:ascii="Arial" w:hAnsi="Arial" w:cs="Arial"/>
          <w:sz w:val="24"/>
          <w:szCs w:val="28"/>
          <w:lang w:val="es-CR"/>
        </w:rPr>
      </w:pPr>
    </w:p>
    <w:p w:rsidRPr="00FD7518" w:rsidR="00FD7518" w:rsidP="00FD7518" w:rsidRDefault="00FD7518" w14:paraId="2DC2CC16" w14:textId="77777777">
      <w:pPr>
        <w:rPr>
          <w:rFonts w:ascii="Arial" w:hAnsi="Arial" w:cs="Arial"/>
          <w:sz w:val="24"/>
          <w:lang w:val="es-CR"/>
        </w:rPr>
      </w:pPr>
      <w:r w:rsidRPr="00FD7518">
        <w:rPr>
          <w:rFonts w:ascii="Arial" w:hAnsi="Arial" w:cs="Arial"/>
          <w:sz w:val="24"/>
          <w:lang w:val="es-CR"/>
        </w:rPr>
        <w:t xml:space="preserve">Los resultados obtenidos permiten concluir que la recuperación del financiamiento otorgado por el Banco Central a las superintendencias con presupuesto del periodo 2024, </w:t>
      </w:r>
      <w:r w:rsidRPr="00FD7518">
        <w:rPr>
          <w:rFonts w:ascii="Arial" w:hAnsi="Arial" w:cs="Arial"/>
          <w:b/>
          <w:bCs/>
          <w:sz w:val="24"/>
          <w:lang w:val="es-CR"/>
        </w:rPr>
        <w:t>cumple</w:t>
      </w:r>
      <w:r w:rsidRPr="00FD7518">
        <w:rPr>
          <w:rFonts w:ascii="Arial" w:hAnsi="Arial" w:cs="Arial"/>
          <w:sz w:val="24"/>
          <w:vertAlign w:val="superscript"/>
          <w:lang w:val="es-CR"/>
        </w:rPr>
        <w:footnoteReference w:id="5"/>
      </w:r>
      <w:r w:rsidRPr="00FD7518">
        <w:rPr>
          <w:rFonts w:ascii="Arial" w:hAnsi="Arial" w:cs="Arial"/>
          <w:b/>
          <w:bCs/>
          <w:sz w:val="24"/>
          <w:lang w:val="es-CR"/>
        </w:rPr>
        <w:t xml:space="preserve"> </w:t>
      </w:r>
      <w:r w:rsidRPr="00FD7518">
        <w:rPr>
          <w:rFonts w:ascii="Arial" w:hAnsi="Arial" w:cs="Arial"/>
          <w:sz w:val="24"/>
          <w:lang w:val="es-CR"/>
        </w:rPr>
        <w:t xml:space="preserve">con los criterios evaluados, en relación con la exactitud de los registros, el cumplimiento de las disposiciones aplicables y los controles relevantes establecidos. </w:t>
      </w:r>
    </w:p>
    <w:p w:rsidRPr="00FD7518" w:rsidR="00FD7518" w:rsidP="00FD7518" w:rsidRDefault="00FD7518" w14:paraId="251C3120" w14:textId="77777777">
      <w:pPr>
        <w:rPr>
          <w:rFonts w:ascii="Arial" w:hAnsi="Arial" w:cs="Arial"/>
          <w:sz w:val="24"/>
          <w:szCs w:val="28"/>
          <w:lang w:val="es-CR"/>
        </w:rPr>
      </w:pPr>
    </w:p>
    <w:p w:rsidRPr="00FD7518" w:rsidR="00FD7518" w:rsidP="00FD7518" w:rsidRDefault="00FD7518" w14:paraId="459556E4" w14:textId="77777777">
      <w:pPr>
        <w:rPr>
          <w:rFonts w:ascii="Arial" w:hAnsi="Arial" w:cs="Arial"/>
          <w:sz w:val="24"/>
          <w:lang w:val="es-CR" w:eastAsia="es-MX"/>
        </w:rPr>
      </w:pPr>
      <w:bookmarkStart w:name="R_043962_40718750" w:id="2"/>
      <w:bookmarkEnd w:id="2"/>
      <w:bookmarkEnd w:id="1"/>
      <w:r w:rsidRPr="00FD7518">
        <w:rPr>
          <w:rFonts w:ascii="Arial" w:hAnsi="Arial" w:cs="Arial"/>
          <w:sz w:val="24"/>
          <w:lang w:val="es-CR" w:eastAsia="es-MX"/>
        </w:rPr>
        <w:t>La Auditoría Interna realizó la conferencia final de este informe con la División Transformación y Estrategia y con la Gerencia, en fecha 11 de agosto, como parte de la comunicación preliminar de los resultados.</w:t>
      </w:r>
    </w:p>
    <w:p w:rsidRPr="00FD7518" w:rsidR="00FD7518" w:rsidP="00FD7518" w:rsidRDefault="00FD7518" w14:paraId="0D33407F" w14:textId="77777777">
      <w:pPr>
        <w:rPr>
          <w:rFonts w:ascii="Arial" w:hAnsi="Arial" w:cs="Arial"/>
          <w:sz w:val="24"/>
          <w:lang w:val="es-CR"/>
        </w:rPr>
      </w:pPr>
    </w:p>
    <w:p w:rsidRPr="00FD7518" w:rsidR="00FD7518" w:rsidP="00FD7518" w:rsidRDefault="00FD7518" w14:paraId="023E0F8C" w14:textId="77777777">
      <w:pPr>
        <w:rPr>
          <w:rFonts w:ascii="Arial" w:hAnsi="Arial" w:cs="Arial"/>
          <w:sz w:val="24"/>
          <w:lang w:val="es-CR"/>
        </w:rPr>
      </w:pPr>
      <w:r w:rsidRPr="00FD7518">
        <w:rPr>
          <w:rFonts w:ascii="Arial" w:hAnsi="Arial" w:cs="Arial"/>
          <w:noProof/>
          <w:sz w:val="24"/>
          <w:lang w:val="es-CR" w:eastAsia="es-CR"/>
        </w:rPr>
        <w:drawing>
          <wp:anchor distT="0" distB="0" distL="114300" distR="114300" simplePos="0" relativeHeight="251659264" behindDoc="1" locked="0" layoutInCell="1" allowOverlap="1" wp14:editId="20B91C6C" wp14:anchorId="6A8E2E15">
            <wp:simplePos x="0" y="0"/>
            <wp:positionH relativeFrom="column">
              <wp:posOffset>-140970</wp:posOffset>
            </wp:positionH>
            <wp:positionV relativeFrom="paragraph">
              <wp:posOffset>169545</wp:posOffset>
            </wp:positionV>
            <wp:extent cx="2506980" cy="388620"/>
            <wp:effectExtent l="0" t="0" r="0" b="0"/>
            <wp:wrapNone/>
            <wp:docPr id="176769208" name="Imagen 176769208"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69208" name="Imagen 176769208" descr="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r w:rsidRPr="00FD7518">
        <w:rPr>
          <w:rFonts w:ascii="Arial" w:hAnsi="Arial" w:cs="Arial"/>
          <w:sz w:val="24"/>
          <w:lang w:val="es-CR"/>
        </w:rPr>
        <w:t>Atentamente,</w:t>
      </w:r>
    </w:p>
    <w:p w:rsidRPr="00FD7518" w:rsidR="00FD7518" w:rsidP="00FD7518" w:rsidRDefault="00FD7518" w14:paraId="21E7254F" w14:textId="77777777">
      <w:pPr>
        <w:ind w:left="360"/>
        <w:rPr>
          <w:rFonts w:ascii="Arial" w:hAnsi="Arial" w:cs="Arial"/>
          <w:sz w:val="24"/>
          <w:lang w:val="es-CR"/>
        </w:rPr>
      </w:pPr>
    </w:p>
    <w:p w:rsidRPr="00FD7518" w:rsidR="00FD7518" w:rsidP="00FD7518" w:rsidRDefault="00FD7518" w14:paraId="3B8F0B10" w14:textId="77777777">
      <w:pPr>
        <w:rPr>
          <w:rFonts w:ascii="Arial" w:hAnsi="Arial" w:cs="Arial"/>
          <w:sz w:val="24"/>
          <w:lang w:val="es-CR"/>
        </w:rPr>
      </w:pPr>
    </w:p>
    <w:p w:rsidRPr="00FD7518" w:rsidR="00FD7518" w:rsidP="00FD7518" w:rsidRDefault="00FD7518" w14:paraId="79A83A9A" w14:textId="77777777">
      <w:pPr>
        <w:rPr>
          <w:rFonts w:ascii="Arial" w:hAnsi="Arial" w:cs="Arial"/>
          <w:sz w:val="24"/>
          <w:lang w:val="es-CR"/>
        </w:rPr>
      </w:pPr>
      <w:r w:rsidRPr="00FD7518">
        <w:rPr>
          <w:rFonts w:ascii="Arial" w:hAnsi="Arial" w:cs="Arial"/>
          <w:sz w:val="24"/>
          <w:lang w:val="es-CR"/>
        </w:rPr>
        <w:t>Joaquín Vargas Guerrero</w:t>
      </w:r>
    </w:p>
    <w:p w:rsidRPr="00FD7518" w:rsidR="00FD7518" w:rsidP="00FD7518" w:rsidRDefault="00FD7518" w14:paraId="45DD2553" w14:textId="77777777">
      <w:pPr>
        <w:rPr>
          <w:rFonts w:ascii="Arial" w:hAnsi="Arial" w:cs="Arial"/>
          <w:b/>
          <w:sz w:val="24"/>
          <w:lang w:val="es-CR"/>
        </w:rPr>
      </w:pPr>
      <w:r w:rsidRPr="00FD7518">
        <w:rPr>
          <w:rFonts w:ascii="Arial" w:hAnsi="Arial" w:cs="Arial"/>
          <w:b/>
          <w:sz w:val="24"/>
          <w:lang w:val="es-CR"/>
        </w:rPr>
        <w:t>Auditor Interno</w:t>
      </w:r>
    </w:p>
    <w:p w:rsidRPr="00FD7518" w:rsidR="00FD7518" w:rsidP="00FD7518" w:rsidRDefault="00FD7518" w14:paraId="4FEDB2E6" w14:textId="77777777">
      <w:pPr>
        <w:rPr>
          <w:rFonts w:ascii="Arial" w:hAnsi="Arial" w:cs="Arial"/>
          <w:lang w:val="es-CR"/>
        </w:rPr>
      </w:pPr>
    </w:p>
    <w:p w:rsidRPr="002307FE" w:rsidR="00A26E9E" w:rsidP="00FD7518" w:rsidRDefault="00FD7518" w14:paraId="5E9A0A23" w14:textId="4F4BCEB7">
      <w:pPr>
        <w:pStyle w:val="CC"/>
      </w:pPr>
      <w:bookmarkStart w:name="_Hlk175152186" w:id="3"/>
      <w:r w:rsidRPr="00FD7518">
        <w:t>C</w:t>
      </w:r>
      <w:r>
        <w:t>c</w:t>
      </w:r>
      <w:r w:rsidRPr="00FD7518">
        <w:t>.</w:t>
      </w:r>
      <w:r w:rsidRPr="00FD7518">
        <w:tab/>
      </w:r>
      <w:bookmarkEnd w:id="3"/>
      <w:r w:rsidRPr="00FD7518">
        <w:t>División Transformación y Estrategia</w:t>
      </w:r>
    </w:p>
    <w:sectPr w:rsidRPr="002307FE" w:rsidR="00A26E9E" w:rsidSect="00D13C7E">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2269" w:right="1412" w:bottom="1701" w:left="1843"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94D5A" w14:textId="77777777" w:rsidR="00FD7518" w:rsidRDefault="00FD7518" w:rsidP="00D43D57">
      <w:r>
        <w:separator/>
      </w:r>
    </w:p>
  </w:endnote>
  <w:endnote w:type="continuationSeparator" w:id="0">
    <w:p w14:paraId="604EF7F4" w14:textId="77777777" w:rsidR="00FD7518" w:rsidRDefault="00FD7518"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FD7518" w14:paraId="4227B4D2" w14:textId="0543A168">
    <w:pPr>
      <w:pStyle w:val="Piedepgina"/>
    </w:pPr>
    <w:r>
      <w:rPr>
        <w:noProof/>
      </w:rPr>
      <mc:AlternateContent>
        <mc:Choice Requires="wps">
          <w:drawing>
            <wp:anchor distT="0" distB="0" distL="0" distR="0" simplePos="0" relativeHeight="251698176" behindDoc="0" locked="0" layoutInCell="1" allowOverlap="1" wp14:editId="1862B8BE" wp14:anchorId="0E93BA92">
              <wp:simplePos x="635" y="635"/>
              <wp:positionH relativeFrom="page">
                <wp:align>center</wp:align>
              </wp:positionH>
              <wp:positionV relativeFrom="page">
                <wp:align>bottom</wp:align>
              </wp:positionV>
              <wp:extent cx="609600" cy="345440"/>
              <wp:effectExtent l="0" t="0" r="0" b="0"/>
              <wp:wrapNone/>
              <wp:docPr id="1593748610"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FD7518" w:rsidR="00FD7518" w:rsidP="00FD7518" w:rsidRDefault="00FD7518" w14:paraId="0FD8CB43" w14:textId="0AFA7B05">
                          <w:pPr>
                            <w:rPr>
                              <w:rFonts w:ascii="Calibri" w:hAnsi="Calibri" w:eastAsia="Calibri" w:cs="Calibri"/>
                              <w:noProof/>
                              <w:color w:val="000000"/>
                              <w:sz w:val="20"/>
                              <w:szCs w:val="20"/>
                            </w:rPr>
                          </w:pPr>
                          <w:r w:rsidRPr="00FD7518">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E93BA92">
              <v:stroke joinstyle="miter"/>
              <v:path gradientshapeok="t" o:connecttype="rect"/>
            </v:shapetype>
            <v:shape id="Cuadro de texto 2" style="position:absolute;left:0;text-align:left;margin-left:0;margin-top:0;width:48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Y8ZDQ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">
              <v:fill o:detectmouseclick="t"/>
              <v:textbox style="mso-fit-shape-to-text:t" inset="0,0,0,15pt">
                <w:txbxContent>
                  <w:p w:rsidRPr="00FD7518" w:rsidR="00FD7518" w:rsidP="00FD7518" w:rsidRDefault="00FD7518" w14:paraId="0FD8CB43" w14:textId="0AFA7B05">
                    <w:pPr>
                      <w:rPr>
                        <w:rFonts w:ascii="Calibri" w:hAnsi="Calibri" w:eastAsia="Calibri" w:cs="Calibri"/>
                        <w:noProof/>
                        <w:color w:val="000000"/>
                        <w:sz w:val="20"/>
                        <w:szCs w:val="20"/>
                      </w:rPr>
                    </w:pPr>
                    <w:r w:rsidRPr="00FD7518">
                      <w:rPr>
                        <w:rFonts w:ascii="Calibri" w:hAnsi="Calibri" w:eastAsia="Calibri" w:cs="Calibri"/>
                        <w:noProof/>
                        <w:color w:val="000000"/>
                        <w:sz w:val="20"/>
                        <w:szCs w:val="20"/>
                      </w:rPr>
                      <w:t>Uso Interno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FD7518" w14:paraId="1C53970F" w14:textId="6508B365">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322861D5" wp14:anchorId="19D710B8">
              <wp:simplePos x="1168400" y="9258300"/>
              <wp:positionH relativeFrom="page">
                <wp:align>center</wp:align>
              </wp:positionH>
              <wp:positionV relativeFrom="page">
                <wp:align>bottom</wp:align>
              </wp:positionV>
              <wp:extent cx="609600" cy="345440"/>
              <wp:effectExtent l="0" t="0" r="0" b="0"/>
              <wp:wrapNone/>
              <wp:docPr id="1080818840"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FD7518" w:rsidR="00FD7518" w:rsidP="00FD7518" w:rsidRDefault="00FD7518" w14:paraId="5FB1B0F1" w14:textId="3EDDF9AC">
                          <w:pPr>
                            <w:rPr>
                              <w:rFonts w:ascii="Calibri" w:hAnsi="Calibri" w:eastAsia="Calibri" w:cs="Calibri"/>
                              <w:noProof/>
                              <w:color w:val="000000"/>
                              <w:sz w:val="20"/>
                              <w:szCs w:val="20"/>
                            </w:rPr>
                          </w:pPr>
                          <w:r w:rsidRPr="00FD7518">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9D710B8">
              <v:stroke joinstyle="miter"/>
              <v:path gradientshapeok="t" o:connecttype="rect"/>
            </v:shapetype>
            <v:shape id="Cuadro de texto 3" style="position:absolute;margin-left:0;margin-top:0;width:48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DotkqkOAgAAHAQA&#10;AA4AAAAAAAAAAAAAAAAALgIAAGRycy9lMm9Eb2MueG1sUEsBAi0AFAAGAAgAAAAhACnjp/vZAAAA&#10;AwEAAA8AAAAAAAAAAAAAAAAAaAQAAGRycy9kb3ducmV2LnhtbFBLBQYAAAAABAAEAPMAAABuBQAA&#10;AAA=&#10;">
              <v:fill o:detectmouseclick="t"/>
              <v:textbox style="mso-fit-shape-to-text:t" inset="0,0,0,15pt">
                <w:txbxContent>
                  <w:p w:rsidRPr="00FD7518" w:rsidR="00FD7518" w:rsidP="00FD7518" w:rsidRDefault="00FD7518" w14:paraId="5FB1B0F1" w14:textId="3EDDF9AC">
                    <w:pPr>
                      <w:rPr>
                        <w:rFonts w:ascii="Calibri" w:hAnsi="Calibri" w:eastAsia="Calibri" w:cs="Calibri"/>
                        <w:noProof/>
                        <w:color w:val="000000"/>
                        <w:sz w:val="20"/>
                        <w:szCs w:val="20"/>
                      </w:rPr>
                    </w:pPr>
                    <w:r w:rsidRPr="00FD7518">
                      <w:rPr>
                        <w:rFonts w:ascii="Calibri" w:hAnsi="Calibri" w:eastAsia="Calibri" w:cs="Calibri"/>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1480294D3EB641758AFB66ED0EB82BC9"/>
        </w:placeholder>
        <w:text/>
      </w:sdtPr>
      <w:sdtEndPr/>
      <w:sdtContent>
        <w:r>
          <w:rPr>
            <w:color w:val="004990"/>
            <w:sz w:val="16"/>
            <w:szCs w:val="16"/>
          </w:rPr>
          <w:t>AI-0181-2025</w:t>
        </w:r>
      </w:sdtContent>
    </w:sdt>
  </w:p>
  <w:p w:rsidR="002307FE" w:rsidP="00FA54DF" w:rsidRDefault="002307FE" w14:paraId="4DD6D4D1"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45AF42DF"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2F00E227" wp14:anchorId="0944C9DD">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002F965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CA708E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F0C7CF3" w14:textId="77777777">
                          <w:pPr>
                            <w:rPr>
                              <w:color w:val="003A68"/>
                              <w:sz w:val="14"/>
                              <w:szCs w:val="14"/>
                            </w:rPr>
                          </w:pPr>
                          <w:r w:rsidRPr="00FA54DF">
                            <w:rPr>
                              <w:color w:val="003A68"/>
                              <w:sz w:val="14"/>
                              <w:szCs w:val="14"/>
                            </w:rPr>
                            <w:t>Apdo. 10058-1000</w:t>
                          </w:r>
                        </w:p>
                        <w:p w:rsidR="00D2424F" w:rsidP="00FA54DF" w:rsidRDefault="00D2424F" w14:paraId="4D225D01" w14:textId="77777777">
                          <w:pPr>
                            <w:rPr>
                              <w:color w:val="003A68"/>
                              <w:sz w:val="14"/>
                              <w:szCs w:val="14"/>
                            </w:rPr>
                          </w:pPr>
                          <w:r w:rsidRPr="00FA54DF">
                            <w:rPr>
                              <w:color w:val="003A68"/>
                              <w:sz w:val="14"/>
                              <w:szCs w:val="14"/>
                            </w:rPr>
                            <w:t>Av. 1 y Central, Calles 2 y 4</w:t>
                          </w:r>
                        </w:p>
                        <w:p w:rsidRPr="00FA54DF" w:rsidR="00D2424F" w:rsidP="00FA54DF" w:rsidRDefault="00D2424F" w14:paraId="3A56CA67"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0944C9DD">
              <v:textbox>
                <w:txbxContent>
                  <w:p w:rsidRPr="00FA54DF" w:rsidR="00D2424F" w:rsidP="00FA54DF" w:rsidRDefault="00D2424F" w14:paraId="002F9656"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3CA708E1"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6F0C7CF3" w14:textId="77777777">
                    <w:pPr>
                      <w:rPr>
                        <w:color w:val="003A68"/>
                        <w:sz w:val="14"/>
                        <w:szCs w:val="14"/>
                      </w:rPr>
                    </w:pPr>
                    <w:r w:rsidRPr="00FA54DF">
                      <w:rPr>
                        <w:color w:val="003A68"/>
                        <w:sz w:val="14"/>
                        <w:szCs w:val="14"/>
                      </w:rPr>
                      <w:t>Apdo. 10058-1000</w:t>
                    </w:r>
                  </w:p>
                  <w:p w:rsidR="00D2424F" w:rsidP="00FA54DF" w:rsidRDefault="00D2424F" w14:paraId="4D225D01" w14:textId="77777777">
                    <w:pPr>
                      <w:rPr>
                        <w:color w:val="003A68"/>
                        <w:sz w:val="14"/>
                        <w:szCs w:val="14"/>
                      </w:rPr>
                    </w:pPr>
                    <w:r w:rsidRPr="00FA54DF">
                      <w:rPr>
                        <w:color w:val="003A68"/>
                        <w:sz w:val="14"/>
                        <w:szCs w:val="14"/>
                      </w:rPr>
                      <w:t>Av. 1 y Central, Calles 2 y 4</w:t>
                    </w:r>
                  </w:p>
                  <w:p w:rsidRPr="00FA54DF" w:rsidR="00D2424F" w:rsidP="00FA54DF" w:rsidRDefault="00D2424F" w14:paraId="3A56CA67"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6057025C" wp14:anchorId="4FF0B4DA">
          <wp:simplePos x="0" y="0"/>
          <wp:positionH relativeFrom="column">
            <wp:posOffset>4550781</wp:posOffset>
          </wp:positionH>
          <wp:positionV relativeFrom="paragraph">
            <wp:posOffset>-190500</wp:posOffset>
          </wp:positionV>
          <wp:extent cx="8890" cy="431165"/>
          <wp:effectExtent l="0" t="0" r="0" b="0"/>
          <wp:wrapNone/>
          <wp:docPr id="2040610935" name="Imagen 2040610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FD7518" w14:paraId="5548B0CE" w14:textId="6211E0EC">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285C0CE3" wp14:anchorId="62EE96AC">
              <wp:simplePos x="635" y="635"/>
              <wp:positionH relativeFrom="page">
                <wp:align>center</wp:align>
              </wp:positionH>
              <wp:positionV relativeFrom="page">
                <wp:align>bottom</wp:align>
              </wp:positionV>
              <wp:extent cx="609600" cy="345440"/>
              <wp:effectExtent l="0" t="0" r="0" b="0"/>
              <wp:wrapNone/>
              <wp:docPr id="568633520"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345440"/>
                      </a:xfrm>
                      <a:prstGeom prst="rect">
                        <a:avLst/>
                      </a:prstGeom>
                      <a:noFill/>
                      <a:ln>
                        <a:noFill/>
                      </a:ln>
                    </wps:spPr>
                    <wps:txbx>
                      <w:txbxContent>
                        <w:p w:rsidRPr="00FD7518" w:rsidR="00FD7518" w:rsidP="00FD7518" w:rsidRDefault="00FD7518" w14:paraId="55D6471D" w14:textId="1872FA3B">
                          <w:pPr>
                            <w:rPr>
                              <w:rFonts w:ascii="Calibri" w:hAnsi="Calibri" w:eastAsia="Calibri" w:cs="Calibri"/>
                              <w:noProof/>
                              <w:color w:val="000000"/>
                              <w:sz w:val="20"/>
                              <w:szCs w:val="20"/>
                            </w:rPr>
                          </w:pPr>
                          <w:r w:rsidRPr="00FD7518">
                            <w:rPr>
                              <w:rFonts w:ascii="Calibri" w:hAnsi="Calibri" w:eastAsia="Calibri" w:cs="Calibri"/>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62EE96AC">
              <v:stroke joinstyle="miter"/>
              <v:path gradientshapeok="t" o:connecttype="rect"/>
            </v:shapetype>
            <v:shape id="Cuadro de texto 1" style="position:absolute;margin-left:0;margin-top:0;width:48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">
              <v:fill o:detectmouseclick="t"/>
              <v:textbox style="mso-fit-shape-to-text:t" inset="0,0,0,15pt">
                <w:txbxContent>
                  <w:p w:rsidRPr="00FD7518" w:rsidR="00FD7518" w:rsidP="00FD7518" w:rsidRDefault="00FD7518" w14:paraId="55D6471D" w14:textId="1872FA3B">
                    <w:pPr>
                      <w:rPr>
                        <w:rFonts w:ascii="Calibri" w:hAnsi="Calibri" w:eastAsia="Calibri" w:cs="Calibri"/>
                        <w:noProof/>
                        <w:color w:val="000000"/>
                        <w:sz w:val="20"/>
                        <w:szCs w:val="20"/>
                      </w:rPr>
                    </w:pPr>
                    <w:r w:rsidRPr="00FD7518">
                      <w:rPr>
                        <w:rFonts w:ascii="Calibri" w:hAnsi="Calibri" w:eastAsia="Calibri" w:cs="Calibri"/>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70BCAE46" wp14:anchorId="2516A4CA">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3CB688F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41B0CCD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6AFF40E" w14:textId="77777777">
                          <w:pPr>
                            <w:rPr>
                              <w:color w:val="003A68"/>
                              <w:sz w:val="14"/>
                              <w:szCs w:val="14"/>
                            </w:rPr>
                          </w:pPr>
                          <w:r w:rsidRPr="00FA54DF">
                            <w:rPr>
                              <w:color w:val="003A68"/>
                              <w:sz w:val="14"/>
                              <w:szCs w:val="14"/>
                            </w:rPr>
                            <w:t>Apdo. 10058-1000</w:t>
                          </w:r>
                        </w:p>
                        <w:p w:rsidR="00B65442" w:rsidP="00B65442" w:rsidRDefault="00B65442" w14:paraId="173298A7" w14:textId="77777777">
                          <w:pPr>
                            <w:rPr>
                              <w:color w:val="003A68"/>
                              <w:sz w:val="14"/>
                              <w:szCs w:val="14"/>
                            </w:rPr>
                          </w:pPr>
                          <w:r w:rsidRPr="00FA54DF">
                            <w:rPr>
                              <w:color w:val="003A68"/>
                              <w:sz w:val="14"/>
                              <w:szCs w:val="14"/>
                            </w:rPr>
                            <w:t>Av. 1 y Central, Calles 2 y 4</w:t>
                          </w:r>
                        </w:p>
                        <w:p w:rsidRPr="00FA54DF" w:rsidR="00D2424F" w:rsidRDefault="00D2424F" w14:paraId="0B16F0CC"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2516A4CA">
              <v:textbox>
                <w:txbxContent>
                  <w:p w:rsidRPr="00FA54DF" w:rsidR="00D2424F" w:rsidRDefault="00D2424F" w14:paraId="3CB688F4"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41B0CCDC"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36AFF40E" w14:textId="77777777">
                    <w:pPr>
                      <w:rPr>
                        <w:color w:val="003A68"/>
                        <w:sz w:val="14"/>
                        <w:szCs w:val="14"/>
                      </w:rPr>
                    </w:pPr>
                    <w:r w:rsidRPr="00FA54DF">
                      <w:rPr>
                        <w:color w:val="003A68"/>
                        <w:sz w:val="14"/>
                        <w:szCs w:val="14"/>
                      </w:rPr>
                      <w:t>Apdo. 10058-1000</w:t>
                    </w:r>
                  </w:p>
                  <w:p w:rsidR="00B65442" w:rsidP="00B65442" w:rsidRDefault="00B65442" w14:paraId="173298A7" w14:textId="77777777">
                    <w:pPr>
                      <w:rPr>
                        <w:color w:val="003A68"/>
                        <w:sz w:val="14"/>
                        <w:szCs w:val="14"/>
                      </w:rPr>
                    </w:pPr>
                    <w:r w:rsidRPr="00FA54DF">
                      <w:rPr>
                        <w:color w:val="003A68"/>
                        <w:sz w:val="14"/>
                        <w:szCs w:val="14"/>
                      </w:rPr>
                      <w:t>Av. 1 y Central, Calles 2 y 4</w:t>
                    </w:r>
                  </w:p>
                  <w:p w:rsidRPr="00FA54DF" w:rsidR="00D2424F" w:rsidRDefault="00D2424F" w14:paraId="0B16F0CC"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10AE0CD9" wp14:anchorId="1176ABEB">
          <wp:simplePos x="0" y="0"/>
          <wp:positionH relativeFrom="column">
            <wp:posOffset>4553585</wp:posOffset>
          </wp:positionH>
          <wp:positionV relativeFrom="paragraph">
            <wp:posOffset>8687</wp:posOffset>
          </wp:positionV>
          <wp:extent cx="8890" cy="431165"/>
          <wp:effectExtent l="0" t="0" r="0" b="0"/>
          <wp:wrapNone/>
          <wp:docPr id="447422329" name="Imagen 44742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60B3C299"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6B3D59C5"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A49F4" w14:textId="77777777" w:rsidR="00FD7518" w:rsidRDefault="00FD7518" w:rsidP="00D43D57">
      <w:r>
        <w:separator/>
      </w:r>
    </w:p>
  </w:footnote>
  <w:footnote w:type="continuationSeparator" w:id="0">
    <w:p w14:paraId="7B460E4B" w14:textId="77777777" w:rsidR="00FD7518" w:rsidRDefault="00FD7518" w:rsidP="00D43D57">
      <w:r>
        <w:continuationSeparator/>
      </w:r>
    </w:p>
  </w:footnote>
  <w:footnote w:id="1">
    <w:p w14:paraId="4679EA92" w14:textId="77777777" w:rsidR="00FD7518" w:rsidRPr="00E17643" w:rsidRDefault="00FD7518" w:rsidP="00FD7518">
      <w:pPr>
        <w:pStyle w:val="Textonotapie"/>
        <w:ind w:left="142" w:hanging="142"/>
        <w:rPr>
          <w:rFonts w:ascii="Arial" w:hAnsi="Arial" w:cs="Arial"/>
          <w:sz w:val="16"/>
          <w:szCs w:val="16"/>
        </w:rPr>
      </w:pPr>
      <w:r w:rsidRPr="00E17643">
        <w:rPr>
          <w:rStyle w:val="Refdenotaalpie"/>
          <w:rFonts w:ascii="Arial" w:hAnsi="Arial" w:cs="Arial"/>
          <w:sz w:val="16"/>
          <w:szCs w:val="16"/>
        </w:rPr>
        <w:footnoteRef/>
      </w:r>
      <w:r w:rsidRPr="00E17643">
        <w:rPr>
          <w:rFonts w:ascii="Arial" w:hAnsi="Arial" w:cs="Arial"/>
          <w:sz w:val="16"/>
          <w:szCs w:val="16"/>
        </w:rPr>
        <w:t xml:space="preserve"> Evalúa si las actividades, operaciones financieras e información, cumplen en todos los aspectos relevantes, con las regulaciones o mandatos que rigen a la entidad.</w:t>
      </w:r>
    </w:p>
  </w:footnote>
  <w:footnote w:id="2">
    <w:p w14:paraId="4E28CA11" w14:textId="77777777" w:rsidR="00FD7518" w:rsidRPr="00E157F1" w:rsidRDefault="00FD7518" w:rsidP="00FD7518">
      <w:pPr>
        <w:pStyle w:val="Textonotapie"/>
        <w:ind w:left="142" w:hanging="142"/>
        <w:rPr>
          <w:rFonts w:ascii="Arial" w:hAnsi="Arial" w:cs="Arial"/>
          <w:sz w:val="16"/>
          <w:szCs w:val="16"/>
        </w:rPr>
      </w:pPr>
      <w:r w:rsidRPr="00E157F1">
        <w:rPr>
          <w:rFonts w:ascii="Arial" w:hAnsi="Arial" w:cs="Arial"/>
          <w:sz w:val="16"/>
          <w:szCs w:val="16"/>
          <w:vertAlign w:val="superscript"/>
        </w:rPr>
        <w:footnoteRef/>
      </w:r>
      <w:r w:rsidRPr="00E157F1">
        <w:rPr>
          <w:rFonts w:ascii="Arial" w:hAnsi="Arial" w:cs="Arial"/>
          <w:sz w:val="16"/>
          <w:szCs w:val="16"/>
          <w:vertAlign w:val="superscript"/>
        </w:rPr>
        <w:t xml:space="preserve"> </w:t>
      </w:r>
      <w:r w:rsidRPr="00E157F1">
        <w:rPr>
          <w:rFonts w:ascii="Arial" w:hAnsi="Arial" w:cs="Arial"/>
          <w:sz w:val="16"/>
          <w:szCs w:val="16"/>
        </w:rPr>
        <w:t>Artículo 174 – Financiamiento</w:t>
      </w:r>
      <w:r>
        <w:rPr>
          <w:rFonts w:ascii="Arial" w:hAnsi="Arial" w:cs="Arial"/>
          <w:sz w:val="16"/>
          <w:szCs w:val="16"/>
        </w:rPr>
        <w:t>.</w:t>
      </w:r>
      <w:r w:rsidRPr="00E157F1">
        <w:rPr>
          <w:rFonts w:ascii="Arial" w:hAnsi="Arial" w:cs="Arial"/>
          <w:sz w:val="16"/>
          <w:szCs w:val="16"/>
        </w:rPr>
        <w:t xml:space="preserve"> </w:t>
      </w:r>
    </w:p>
  </w:footnote>
  <w:footnote w:id="3">
    <w:p w14:paraId="0DDCBEA7" w14:textId="77777777" w:rsidR="00FD7518" w:rsidRPr="00777592" w:rsidRDefault="00FD7518" w:rsidP="00FD7518">
      <w:pPr>
        <w:pStyle w:val="Textonotapie"/>
        <w:ind w:left="142" w:hanging="142"/>
        <w:rPr>
          <w:rFonts w:ascii="Arial" w:hAnsi="Arial" w:cs="Arial"/>
          <w:sz w:val="16"/>
          <w:szCs w:val="16"/>
        </w:rPr>
      </w:pPr>
      <w:r w:rsidRPr="00E17643">
        <w:rPr>
          <w:rStyle w:val="Refdenotaalpie"/>
          <w:rFonts w:ascii="Arial" w:hAnsi="Arial" w:cs="Arial"/>
          <w:sz w:val="16"/>
          <w:szCs w:val="16"/>
        </w:rPr>
        <w:footnoteRef/>
      </w:r>
      <w:r w:rsidRPr="00E17643">
        <w:rPr>
          <w:rFonts w:ascii="Arial" w:hAnsi="Arial" w:cs="Arial"/>
          <w:sz w:val="16"/>
          <w:szCs w:val="16"/>
        </w:rPr>
        <w:t xml:space="preserve"> Según una reforma aprobada en el año 2019 a los artículos 174 y 175 de la Ley Reguladora del Mercado de Valores No. 7732,</w:t>
      </w:r>
      <w:r w:rsidRPr="00777592">
        <w:rPr>
          <w:rFonts w:ascii="Arial" w:hAnsi="Arial" w:cs="Arial"/>
          <w:sz w:val="16"/>
          <w:szCs w:val="16"/>
        </w:rPr>
        <w:t xml:space="preserve"> mediante la Ley No. 9746 y sus transitorios, a partir del 2022 se aplicará el cobro paulatino del aporte de las entidades supervisadas por la Superintendencia General de Seguros (</w:t>
      </w:r>
      <w:r>
        <w:rPr>
          <w:rFonts w:ascii="Arial" w:hAnsi="Arial" w:cs="Arial"/>
          <w:sz w:val="16"/>
          <w:szCs w:val="16"/>
        </w:rPr>
        <w:t>Sugese</w:t>
      </w:r>
      <w:r w:rsidRPr="00777592">
        <w:rPr>
          <w:rFonts w:ascii="Arial" w:hAnsi="Arial" w:cs="Arial"/>
          <w:sz w:val="16"/>
          <w:szCs w:val="16"/>
        </w:rPr>
        <w:t>), iniciando en un 10% hasta llegar al 50% en 2027. Los aportes de los sujetos fiscalizados por las demás Superintendencias también se irán aumentando paulatinamente hasta un 50%, de igual forma en 2027.</w:t>
      </w:r>
      <w:r>
        <w:rPr>
          <w:rFonts w:ascii="Arial" w:hAnsi="Arial" w:cs="Arial"/>
          <w:sz w:val="16"/>
          <w:szCs w:val="16"/>
        </w:rPr>
        <w:t xml:space="preserve"> En el periodo evaluado el porcentaje de recuperación fue del 27,5%.</w:t>
      </w:r>
    </w:p>
  </w:footnote>
  <w:footnote w:id="4">
    <w:p w14:paraId="688AC34A" w14:textId="77777777" w:rsidR="00FD7518" w:rsidRPr="003F072D" w:rsidRDefault="00FD7518" w:rsidP="00FD7518">
      <w:pPr>
        <w:pStyle w:val="Textonotapie"/>
        <w:ind w:left="142" w:hanging="142"/>
        <w:rPr>
          <w:rFonts w:ascii="Arial" w:hAnsi="Arial" w:cs="Arial"/>
          <w:sz w:val="16"/>
          <w:szCs w:val="16"/>
        </w:rPr>
      </w:pPr>
      <w:r w:rsidRPr="003F072D">
        <w:rPr>
          <w:rStyle w:val="Refdenotaalpie"/>
          <w:rFonts w:ascii="Arial" w:hAnsi="Arial" w:cs="Arial"/>
          <w:sz w:val="16"/>
          <w:szCs w:val="16"/>
        </w:rPr>
        <w:footnoteRef/>
      </w:r>
      <w:r w:rsidRPr="003F072D">
        <w:rPr>
          <w:sz w:val="16"/>
          <w:szCs w:val="16"/>
        </w:rPr>
        <w:t xml:space="preserve"> </w:t>
      </w:r>
      <w:r w:rsidRPr="003F072D">
        <w:rPr>
          <w:rFonts w:ascii="Arial" w:hAnsi="Arial" w:cs="Arial"/>
          <w:sz w:val="16"/>
          <w:szCs w:val="16"/>
        </w:rPr>
        <w:t>1) Ley reguladora del mercado de valores, Ley No. 7732, (Art. 174 y 175) vigente desde 27/01/1998, versión del 21/12/2022; 2) Reforma Ley Reguladora del Mercado de Valores, Ley Orgánica del Poder Judicial, Ley Orgánica del Banco Central de Costa Rica, Código Penal, Código de Comercio, Ley Reguladora del Mercado de Seguros, Régimen Privado de Pensiones Complementarias, Ley No. 9746 (Transitorios II y III), vigente desde 22/10/2019, versión del 16/10/2019; 3) Reglamento para regular la participación de supervisados y emisores en el financiamiento del presupuesto de las superintendencias, Decreto ejecutivo No. 44705-H, vigente desde 09/12/2024, última modificación parcial realizada mediante Decreto Ejecutivo No. 42816 del 6 de enero del 2021, versión del 13/06/2022; 4) Reglamento de Organización Interna entre el Banco Central de Costa Rica, sus Órganos de Desconcentración Máxima y Otros Clientes Internos, aprobado en sesión 6057-2022 del 27/04/2022 y publicado en La Gaceta No.97 del 26/05/2022.</w:t>
      </w:r>
    </w:p>
    <w:p w14:paraId="2E72D7AF" w14:textId="77777777" w:rsidR="00FD7518" w:rsidRPr="003F072D" w:rsidRDefault="00FD7518" w:rsidP="00FD7518">
      <w:pPr>
        <w:pStyle w:val="Textonotapie"/>
        <w:ind w:left="142" w:hanging="142"/>
        <w:rPr>
          <w:rFonts w:ascii="Arial" w:hAnsi="Arial" w:cs="Arial"/>
          <w:sz w:val="16"/>
          <w:szCs w:val="16"/>
        </w:rPr>
      </w:pPr>
    </w:p>
  </w:footnote>
  <w:footnote w:id="5">
    <w:p w14:paraId="06C91A56" w14:textId="77777777" w:rsidR="00FD7518" w:rsidRDefault="00FD7518" w:rsidP="00FD7518">
      <w:pPr>
        <w:ind w:left="20"/>
        <w:rPr>
          <w:rFonts w:ascii="Arial" w:hAnsi="Arial" w:cs="Arial"/>
          <w:sz w:val="16"/>
          <w:szCs w:val="16"/>
        </w:rPr>
      </w:pPr>
      <w:r w:rsidRPr="00E17643">
        <w:rPr>
          <w:rStyle w:val="Refdenotaalpie"/>
          <w:rFonts w:ascii="Arial" w:hAnsi="Arial" w:cs="Arial"/>
          <w:sz w:val="16"/>
          <w:szCs w:val="16"/>
        </w:rPr>
        <w:footnoteRef/>
      </w:r>
      <w:r w:rsidRPr="00E17643">
        <w:rPr>
          <w:sz w:val="16"/>
          <w:szCs w:val="16"/>
        </w:rPr>
        <w:t xml:space="preserve"> </w:t>
      </w:r>
      <w:r>
        <w:rPr>
          <w:sz w:val="16"/>
          <w:szCs w:val="16"/>
        </w:rPr>
        <w:t>E</w:t>
      </w:r>
      <w:r w:rsidRPr="00E17643">
        <w:rPr>
          <w:rFonts w:ascii="Arial" w:hAnsi="Arial" w:cs="Arial"/>
          <w:sz w:val="16"/>
          <w:szCs w:val="16"/>
        </w:rPr>
        <w:t>l objeto de estudio con seguridad razonable</w:t>
      </w:r>
      <w:r w:rsidRPr="00E17643">
        <w:rPr>
          <w:rStyle w:val="Refdenotaalpie"/>
          <w:rFonts w:ascii="Arial" w:hAnsi="Arial" w:cs="Arial"/>
          <w:sz w:val="16"/>
          <w:szCs w:val="16"/>
        </w:rPr>
        <w:footnoteRef/>
      </w:r>
      <w:r w:rsidRPr="00E17643">
        <w:rPr>
          <w:rFonts w:ascii="Arial" w:hAnsi="Arial" w:cs="Arial"/>
          <w:sz w:val="16"/>
          <w:szCs w:val="16"/>
        </w:rPr>
        <w:t xml:space="preserve"> cumple en todos los aspectos importantes, con los criterios establecidos.</w:t>
      </w:r>
    </w:p>
    <w:p w14:paraId="6C040CD6" w14:textId="77777777" w:rsidR="00FD7518" w:rsidRPr="00E17643" w:rsidRDefault="00FD7518" w:rsidP="00FD7518">
      <w:pPr>
        <w:ind w:left="20"/>
        <w:rPr>
          <w:rFonts w:ascii="Arial" w:hAnsi="Arial" w:cs="Arial"/>
          <w:sz w:val="16"/>
          <w:szCs w:val="16"/>
        </w:rPr>
      </w:pPr>
    </w:p>
    <w:p w14:paraId="726D6566" w14:textId="77777777" w:rsidR="00FD7518" w:rsidRDefault="00FD7518" w:rsidP="00FD7518">
      <w:pPr>
        <w:pStyle w:val="Textonotapie"/>
        <w:ind w:left="142" w:hanging="142"/>
        <w:rPr>
          <w:rFonts w:ascii="Arial" w:hAnsi="Arial" w:cs="Arial"/>
          <w:sz w:val="16"/>
          <w:szCs w:val="16"/>
        </w:rPr>
      </w:pPr>
    </w:p>
    <w:p w14:paraId="69D7FD67" w14:textId="77777777" w:rsidR="00FD7518" w:rsidRPr="007A1603" w:rsidRDefault="00FD7518" w:rsidP="00FD7518">
      <w:pPr>
        <w:pStyle w:val="Textonotapie"/>
        <w:ind w:left="142" w:hanging="142"/>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582A95C6"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1CDEEFD8" w14:textId="77777777">
    <w:pPr>
      <w:pStyle w:val="Encabezado"/>
      <w:jc w:val="center"/>
    </w:pPr>
    <w:r>
      <w:rPr>
        <w:noProof/>
        <w:lang w:val="es-CR" w:eastAsia="es-CR"/>
      </w:rPr>
      <w:drawing>
        <wp:anchor distT="0" distB="0" distL="114300" distR="114300" simplePos="0" relativeHeight="251696128" behindDoc="1" locked="0" layoutInCell="1" allowOverlap="1" wp14:editId="09CD1F8B" wp14:anchorId="1CA53ACA">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245333030" name="Imagen 24533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32E4A96F" wp14:anchorId="1D3FC7E7">
          <wp:simplePos x="0" y="0"/>
          <wp:positionH relativeFrom="column">
            <wp:posOffset>4470400</wp:posOffset>
          </wp:positionH>
          <wp:positionV relativeFrom="paragraph">
            <wp:posOffset>298450</wp:posOffset>
          </wp:positionV>
          <wp:extent cx="941070" cy="424815"/>
          <wp:effectExtent l="0" t="0" r="0" b="0"/>
          <wp:wrapNone/>
          <wp:docPr id="1692637918" name="Imagen 169263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32043BE2" w14:textId="77777777">
    <w:pPr>
      <w:pStyle w:val="Encabezado"/>
      <w:jc w:val="center"/>
    </w:pPr>
    <w:r>
      <w:rPr>
        <w:noProof/>
        <w:lang w:val="es-CR" w:eastAsia="es-CR"/>
      </w:rPr>
      <w:drawing>
        <wp:anchor distT="0" distB="0" distL="114300" distR="114300" simplePos="0" relativeHeight="251694080" behindDoc="1" locked="0" layoutInCell="1" allowOverlap="1" wp14:editId="47CBF8FC" wp14:anchorId="0502643C">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323884839" name="Imagen 323884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7D0788C3" wp14:anchorId="771BB54F">
          <wp:simplePos x="0" y="0"/>
          <wp:positionH relativeFrom="column">
            <wp:posOffset>4602480</wp:posOffset>
          </wp:positionH>
          <wp:positionV relativeFrom="paragraph">
            <wp:posOffset>187960</wp:posOffset>
          </wp:positionV>
          <wp:extent cx="857250" cy="424815"/>
          <wp:effectExtent l="0" t="0" r="6350" b="0"/>
          <wp:wrapNone/>
          <wp:docPr id="13386544" name="Imagen 1338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3" w15:restartNumberingAfterBreak="0">
    <w:nsid w:val="534242F2"/>
    <w:multiLevelType w:val="hybridMultilevel"/>
    <w:tmpl w:val="3CE6BE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5856269D"/>
    <w:multiLevelType w:val="hybridMultilevel"/>
    <w:tmpl w:val="50728012"/>
    <w:lvl w:ilvl="0" w:tplc="A6CECEE4">
      <w:start w:val="1"/>
      <w:numFmt w:val="bullet"/>
      <w:lvlText w:val=""/>
      <w:lvlJc w:val="left"/>
      <w:pPr>
        <w:ind w:left="1080" w:hanging="360"/>
      </w:pPr>
      <w:rPr>
        <w:rFonts w:ascii="Symbol" w:hAnsi="Symbol" w:hint="default"/>
        <w:color w:val="000000" w:themeColor="text1"/>
      </w:rPr>
    </w:lvl>
    <w:lvl w:ilvl="1" w:tplc="140A000D">
      <w:start w:val="1"/>
      <w:numFmt w:val="bullet"/>
      <w:lvlText w:val=""/>
      <w:lvlJc w:val="left"/>
      <w:pPr>
        <w:ind w:left="1800" w:hanging="360"/>
      </w:pPr>
      <w:rPr>
        <w:rFonts w:ascii="Wingdings" w:hAnsi="Wingdings"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num w:numId="1" w16cid:durableId="190455944">
    <w:abstractNumId w:val="10"/>
  </w:num>
  <w:num w:numId="2" w16cid:durableId="114177584">
    <w:abstractNumId w:val="12"/>
  </w:num>
  <w:num w:numId="3" w16cid:durableId="1832257005">
    <w:abstractNumId w:val="9"/>
  </w:num>
  <w:num w:numId="4" w16cid:durableId="510874249">
    <w:abstractNumId w:val="7"/>
  </w:num>
  <w:num w:numId="5" w16cid:durableId="431633256">
    <w:abstractNumId w:val="6"/>
  </w:num>
  <w:num w:numId="6" w16cid:durableId="1841236776">
    <w:abstractNumId w:val="5"/>
  </w:num>
  <w:num w:numId="7" w16cid:durableId="874543941">
    <w:abstractNumId w:val="4"/>
  </w:num>
  <w:num w:numId="8" w16cid:durableId="668406426">
    <w:abstractNumId w:val="8"/>
  </w:num>
  <w:num w:numId="9" w16cid:durableId="1865289070">
    <w:abstractNumId w:val="3"/>
  </w:num>
  <w:num w:numId="10" w16cid:durableId="939525686">
    <w:abstractNumId w:val="2"/>
  </w:num>
  <w:num w:numId="11" w16cid:durableId="22750071">
    <w:abstractNumId w:val="1"/>
  </w:num>
  <w:num w:numId="12" w16cid:durableId="141847182">
    <w:abstractNumId w:val="0"/>
  </w:num>
  <w:num w:numId="13" w16cid:durableId="2145535272">
    <w:abstractNumId w:val="11"/>
  </w:num>
  <w:num w:numId="14" w16cid:durableId="425927999">
    <w:abstractNumId w:val="14"/>
  </w:num>
  <w:num w:numId="15" w16cid:durableId="9602653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518"/>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7E"/>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90A0B"/>
    <w:rsid w:val="00FA1E58"/>
    <w:rsid w:val="00FA54DF"/>
    <w:rsid w:val="00FB79EB"/>
    <w:rsid w:val="00FD7518"/>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23B15"/>
  <w15:docId w15:val="{163537A1-2DCA-44B9-BAAC-25CD04748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Textonotapie">
    <w:name w:val="footnote text"/>
    <w:aliases w:val=" Car Car,Car Car, Car Char,Car,Car Char, Car,Car1,fn,texto de nota al pie,Texto nota pie Car Car Car Car Car Car Car Car,Texto nota pie Car Car Car,Footnote Text Char Char Char Char Char Char,Texto nota pie Car Car Car Car Car"/>
    <w:basedOn w:val="Normal"/>
    <w:link w:val="TextonotapieCar"/>
    <w:uiPriority w:val="99"/>
    <w:unhideWhenUsed/>
    <w:qFormat/>
    <w:locked/>
    <w:rsid w:val="00FD7518"/>
    <w:rPr>
      <w:sz w:val="20"/>
      <w:szCs w:val="20"/>
    </w:rPr>
  </w:style>
  <w:style w:type="character" w:customStyle="1" w:styleId="TextonotapieCar">
    <w:name w:val="Texto nota pie Car"/>
    <w:aliases w:val=" Car Car Car,Car Car Car, Car Char Car,Car Car1,Car Char Car, Car Car1,Car1 Car,fn Car,texto de nota al pie Car,Texto nota pie Car Car Car Car Car Car Car Car Car,Texto nota pie Car Car Car Car,Texto nota pie Car Car Car Car Car Car"/>
    <w:basedOn w:val="Fuentedeprrafopredeter"/>
    <w:link w:val="Textonotapie"/>
    <w:uiPriority w:val="99"/>
    <w:rsid w:val="00FD7518"/>
    <w:rPr>
      <w:rFonts w:eastAsia="Times New Roman"/>
      <w:lang w:val="es-ES" w:eastAsia="en-US"/>
    </w:rPr>
  </w:style>
  <w:style w:type="character" w:styleId="Refdenotaalpie">
    <w:name w:val="footnote reference"/>
    <w:aliases w:val="FC,ftref,referencia nota al pie,Ref,de nota al pie,16 Point,Superscript 6 Point,BVI fnr,Footnote Reference Number,Footnote Reference_LVL6,Footnote Reference_LVL61,Footnote Reference_LVL62,Footnote Reference_LVL63,fr,Char Char1,titulo"/>
    <w:basedOn w:val="Fuentedeprrafopredeter"/>
    <w:uiPriority w:val="99"/>
    <w:unhideWhenUsed/>
    <w:qFormat/>
    <w:locked/>
    <w:rsid w:val="00FD75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4.emf"/></Relationships>
</file>

<file path=word/_rels/footer3.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80294D3EB641758AFB66ED0EB82BC9"/>
        <w:category>
          <w:name w:val="General"/>
          <w:gallery w:val="placeholder"/>
        </w:category>
        <w:types>
          <w:type w:val="bbPlcHdr"/>
        </w:types>
        <w:behaviors>
          <w:behavior w:val="content"/>
        </w:behaviors>
        <w:guid w:val="{6783BC83-69CB-4AF8-8B79-90BB350711FB}"/>
      </w:docPartPr>
      <w:docPartBody>
        <w:p w:rsidR="00457D78" w:rsidRDefault="00457D78">
          <w:pPr>
            <w:pStyle w:val="1480294D3EB641758AFB66ED0EB82BC9"/>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D78"/>
    <w:rsid w:val="00457D78"/>
    <w:rsid w:val="00F90A0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1480294D3EB641758AFB66ED0EB82BC9">
    <w:name w:val="1480294D3EB641758AFB66ED0EB82B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GI0xCMdgiKeQlvs5ErXctVHpo5O/vz9eNwTweao86Us=</DigestValue>
    </Reference>
    <Reference Type="http://uri.etsi.org/01903#SignedProperties" URI="#idSignedProperties">
      <Transforms>
        <Transform Algorithm="http://www.w3.org/TR/2001/REC-xml-c14n-20010315"/>
      </Transforms>
      <DigestMethod Algorithm="http://www.w3.org/2001/04/xmlenc#sha256"/>
      <DigestValue>VyGjkPaekPPsnQD+Uo5jmIqKaMelCWCt/r3gQ4KuR3M=</DigestValue>
    </Reference>
  </SignedInfo>
  <SignatureValue>XFv/5VQok7sOJAn66/giO8x2VjW2F1Y8+2MG72VIeR6VjrDml6Xpl8QYBRbUSi8wfmZZCVgSIZ9jGsim0hLC0amu2fp7Z7ia1+6DR+bW1GxXZUYsINVGSOCGqQ9Z+CNdf9gb0cCCpq6vxaGodxppVOEIWwFZZOdTdLYMn9AV3eJNqVtjwSSfnibEWJ1uwrv9STbxexz09zYD3Ywu+CMd6ZSqoS/R/t6rJuGUKZpsq89tkxAIVxfYsRNnmGvu89GJ0GftzCMdG59dP2Jiu7rt1TP9VsVoFeEopDuWmTGv3JOKCqFw/P9lQs/Q4eQ7Rjse2phFBMX/rlZfvDAKLI3tyg==</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acL1FwhQN2ym0lZEgAI5dh8fZZ9i9stioGpf2/UYIRg=</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9+b1c9++27w9QVOT0KzIrXtTKjG+Y6GsDMLc5PTfVHs=</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0gjE1HofDTT5UC9nqZrhTn3kDQLRFxAGm7B16nVCkBU=</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document.xml?ContentType=application/vnd.openxmlformats-officedocument.wordprocessingml.document.main+xml">
        <DigestMethod Algorithm="http://www.w3.org/2001/04/xmlenc#sha256"/>
        <DigestValue>0jFc+Y+knyH8rKeuknRBWhNX2WWDwN69gAonwFaetJI=</DigestValue>
      </Reference>
      <Reference URI="/word/numbering.xml?ContentType=application/vnd.openxmlformats-officedocument.wordprocessingml.numbering+xml">
        <DigestMethod Algorithm="http://www.w3.org/2001/04/xmlenc#sha256"/>
        <DigestValue>/b1ggwiOkgrp8g66mobWE3DL1fw4rQJzW8oJDQMW/U8=</DigestValue>
      </Reference>
      <Reference URI="/word/endnotes.xml?ContentType=application/vnd.openxmlformats-officedocument.wordprocessingml.endnotes+xml">
        <DigestMethod Algorithm="http://www.w3.org/2001/04/xmlenc#sha256"/>
        <DigestValue>fF0G2o6gpsnaP6MKroN8k0o0eJPtB5jJc2vxoOJhHa8=</DigestValue>
      </Reference>
      <Reference URI="/word/footer2.xml?ContentType=application/vnd.openxmlformats-officedocument.wordprocessingml.footer+xml">
        <DigestMethod Algorithm="http://www.w3.org/2001/04/xmlenc#sha256"/>
        <DigestValue>A9SesYctfKer3n0WEjA42tT89tFsZLVAgoaOMb3i5eI=</DigestValue>
      </Reference>
      <Reference URI="/word/media/image4.emf?ContentType=image/x-emf">
        <DigestMethod Algorithm="http://www.w3.org/2001/04/xmlenc#sha256"/>
        <DigestValue>EQeoPcoPPD0NqMiDPGouQJEQEnlO/w+Td37NCcMaesM=</DigestValue>
      </Reference>
      <Reference URI="/word/fontTable.xml?ContentType=application/vnd.openxmlformats-officedocument.wordprocessingml.fontTable+xml">
        <DigestMethod Algorithm="http://www.w3.org/2001/04/xmlenc#sha256"/>
        <DigestValue>k0jy11l6jZASro1GF1Gur0G2OJVSocbLHV4+pE5ThkU=</DigestValue>
      </Reference>
      <Reference URI="/word/footnotes.xml?ContentType=application/vnd.openxmlformats-officedocument.wordprocessingml.footnotes+xml">
        <DigestMethod Algorithm="http://www.w3.org/2001/04/xmlenc#sha256"/>
        <DigestValue>ZKvyLlt75UxxCFccMbeE4ZmbLla9kao1kz3rRPO1B5M=</DigestValue>
      </Reference>
      <Reference URI="/word/footer1.xml?ContentType=application/vnd.openxmlformats-officedocument.wordprocessingml.footer+xml">
        <DigestMethod Algorithm="http://www.w3.org/2001/04/xmlenc#sha256"/>
        <DigestValue>J5TD7llFFv6zOu7h8S8S5ZwBoTUNPV8OGGq+ifA5nGc=</DigestValue>
      </Reference>
      <Reference URI="/word/header2.xml?ContentType=application/vnd.openxmlformats-officedocument.wordprocessingml.header+xml">
        <DigestMethod Algorithm="http://www.w3.org/2001/04/xmlenc#sha256"/>
        <DigestValue>dRT3TZcIfTO+LH9OgU67a8hKLE+isUbjz2BqWM1hS9Y=</DigestValue>
      </Reference>
      <Reference URI="/word/media/image3.emf?ContentType=image/x-emf">
        <DigestMethod Algorithm="http://www.w3.org/2001/04/xmlenc#sha256"/>
        <DigestValue>QOeQGPZxFnTGz/uGa1kYfccLx9fZC/Y6eQHGY7KhrmY=</DigestValue>
      </Reference>
      <Reference URI="/word/media/image2.png?ContentType=image/png">
        <DigestMethod Algorithm="http://www.w3.org/2001/04/xmlenc#sha256"/>
        <DigestValue>6s43y4tlSWcv/FtGvocO2tWWgvnh5l2dXYgn6P+u5Ws=</DigestValue>
      </Reference>
      <Reference URI="/word/footer3.xml?ContentType=application/vnd.openxmlformats-officedocument.wordprocessingml.footer+xml">
        <DigestMethod Algorithm="http://www.w3.org/2001/04/xmlenc#sha256"/>
        <DigestValue>28y/HYY8FCA8imMaiM+8abGGYFxRnYGKSvKfjmqVNE4=</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header1.xml?ContentType=application/vnd.openxmlformats-officedocument.wordprocessingml.header+xml">
        <DigestMethod Algorithm="http://www.w3.org/2001/04/xmlenc#sha256"/>
        <DigestValue>Q5i8zUMsKaOt2QCCCX263XgltjSh5Wc8eRSrrJz2Gqk=</DigestValue>
      </Reference>
      <Reference URI="/word/theme/theme1.xml?ContentType=application/vnd.openxmlformats-officedocument.theme+xml">
        <DigestMethod Algorithm="http://www.w3.org/2001/04/xmlenc#sha256"/>
        <DigestValue>9TZ4mZI8zGI3VflhVf7jIYdeWBzUvylr4fmB98sbr7g=</DigestValue>
      </Reference>
      <Reference URI="/word/settings.xml?ContentType=application/vnd.openxmlformats-officedocument.wordprocessingml.settings+xml">
        <DigestMethod Algorithm="http://www.w3.org/2001/04/xmlenc#sha256"/>
        <DigestValue>e7SCZ2YxU53/DPJRY72jW9dojANM3d8wHYrGC8lHCh0=</DigestValue>
      </Reference>
      <Reference URI="/word/header3.xml?ContentType=application/vnd.openxmlformats-officedocument.wordprocessingml.header+xml">
        <DigestMethod Algorithm="http://www.w3.org/2001/04/xmlenc#sha256"/>
        <DigestValue>t2K6SfyKd/KVG+ZTK510f2z4Ty6pToyRwbl2G90QPc0=</DigestValue>
      </Reference>
      <Reference URI="/word/styles.xml?ContentType=application/vnd.openxmlformats-officedocument.wordprocessingml.styles+xml">
        <DigestMethod Algorithm="http://www.w3.org/2001/04/xmlenc#sha256"/>
        <DigestValue>79ycAV5uUD2X2iCrToKvFG3VzcjCn7jWi290Djm6DZc=</DigestValue>
      </Reference>
      <Reference URI="/word/media/image1.jpeg?ContentType=image/jpeg">
        <DigestMethod Algorithm="http://www.w3.org/2001/04/xmlenc#sha256"/>
        <DigestValue>i5L6dPa91f4vprUe/qDpQrrKZLI1MiYL71asHHkAjWs=</DigestValue>
      </Reference>
      <Reference URI="/word/glossary/document.xml?ContentType=application/vnd.openxmlformats-officedocument.wordprocessingml.document.glossary+xml">
        <DigestMethod Algorithm="http://www.w3.org/2001/04/xmlenc#sha256"/>
        <DigestValue>2sq1rj4g2zDcC5LAs954JuFdxHfE72oZyuSWXAl//NQ=</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M7bzV/wyFQDxNEmgaDVnOZo4uEXrGtD+Xh3I2p7+Q78=</DigestValue>
      </Reference>
      <Reference URI="/word/glossary/styles.xml?ContentType=application/vnd.openxmlformats-officedocument.wordprocessingml.styles+xml">
        <DigestMethod Algorithm="http://www.w3.org/2001/04/xmlenc#sha256"/>
        <DigestValue>TUra4DH7p1mulSS8ycAFXKTARBLi2/jQA+Btjk3ZttQ=</DigestValue>
      </Reference>
      <Reference URI="/word/glossary/fontTable.xml?ContentType=application/vnd.openxmlformats-officedocument.wordprocessingml.fontTable+xml">
        <DigestMethod Algorithm="http://www.w3.org/2001/04/xmlenc#sha256"/>
        <DigestValue>TmmS9SBk3QiS7gKsecIWDUUdd5tagdWHuLwMqrIP5z4=</DigestValue>
      </Reference>
    </Manifest>
    <SignatureProperties>
      <SignatureProperty Id="idSignatureTime" Target="#idPackageSignature">
        <mdssi:SignatureTime xmlns:mdssi="http://schemas.openxmlformats.org/package/2006/digital-signature">
          <mdssi:Format>YYYY-MM-DDThh:mm:ssTZD</mdssi:Format>
          <mdssi:Value>2025-08-11T22:48:05Z</mdssi:Value>
        </mdssi:SignatureTime>
      </SignatureProperty>
    </SignatureProperties>
  </Object>
  <Object>
    <xd:QualifyingProperties xmlns:xd="http://uri.etsi.org/01903/v1.3.2#" Target="#idPackageSignature">
      <xd:SignedProperties Id="idSignedProperties">
        <xd:SignedSignatureProperties>
          <xd:SigningTime>2025-08-11T22:48:05Z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1eZPHoEtdgY9RvRHzATjx89mOi87hVrjjBrme67CHYQCBCVwl4cYDzIwMjUwODExMjI0ODE1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</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</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TbFcYB86Px1j3LxnbHwDfbiTXdcCb+ulJx0sYTN/GNs=</DigestValue>
                </xd:DigestAlgAndValue>
                <xd:CRLIdentifier>
                  <xd:Issuer>SERIALNUMBER=CPJ-2-100-098311,C=CR,O=MICITT,OU=DCFD,CN=CA POLITICA PERSONA FISICA - COSTA RICA v2</xd:Issuer>
                  <xd:IssueTime>2025-07-31T15:39:52Z</xd:IssueTime>
                  <xd:Number>65</xd:Number>
                </xd:CRLIdentifier>
              </xd:CRLRef>
              <xd:CRLRef>
                <xd:DigestAlgAndValue>
                  <DigestMethod Algorithm="http://www.w3.org/2001/04/xmlenc#sha256"/>
                  <DigestValue>xFCw3f6SYozLK7KNDfQHvqenzEgUsBOmvNZ9qs45mbM=</DigestValue>
                </xd:DigestAlgAndValue>
                <xd:CRLIdentifier>
                  <xd:Issuer>SERIALNUMBER=CPJ-2-100-098311,OU=DCFD,O=MICITT,C=CR,CN=CA RAIZ NACIONAL - COSTA RICA v2</xd:Issuer>
                  <xd:IssueTime>2025-07-31T14:32:46Z</xd:IssueTime>
                  <xd:Number>35</xd:Number>
                </xd:CRLIdentifier>
              </xd:CRLRef>
            </xd:CRLRefs>
            <xd:OCSPRefs>
              <xd:OCSPRef>
                <xd:OCSPIdentifier>
                  <xd:ResponderID>
                    <xd:ByKey>Niwnp7OfPy568Qodrst5U+4zT2U=</xd:ByKey>
                  </xd:ResponderID>
                  <xd:ProducedAt>2025-08-11T22:48:15Z</xd:ProducedAt>
                </xd:OCSPIdentifier>
                <xd:DigestAlgAndValue>
                  <DigestMethod Algorithm="http://www.w3.org/2001/04/xmlenc#sha256"/>
                  <DigestValue>v9wo26zHQXcE/ZObxprcfIA7N6mJxYRm2Zc7xCu6Htk=</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</xd:EncapsulatedCRLValue>
              <xd:EncapsulatedCRLValue>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</xd:EncapsulatedCRLValue>
            </xd:CRLValues>
            <xd:OCSPValues>
              <xd:EncapsulatedOCSPValue>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</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BKBkBGIwYAIBAQYIYIE8AQEBAQUwMTANBglghkgBZQMEAgEFAAQgpkoWMZI1d6GqMfbv4+Jie2s+
WUKGD1r8TkhpRRfcNcICBCVwl4kYDzIwMjUwODExMjI0ODE1WjAEgAIB9AEB/6CCB8Iwgge+MIIF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CSqGSIb3DQEJAzENBgsqhkiG9w0BCRABBDAcBgkqhkiG9w0BCQUxDxcNMjUwODExMjI0ODE1WjAv
BgkqhkiG9w0BCQQxIgQgb+rhzoKDiQDcUek0uzfIVqyaEGMWz51CDzb7ufFa394wNwYLKoZIhvcN
AQkQAi8xKDAmMCQwIgQgrKszXYj6Q2nTJpWV/NZakemXG2IrBO983WoSsYOW808wDQYJKoZIhvcN
AQEBBQAEggEAtKcOPcGMDupukqFlXNDCoNcs245pB9c0nIuqWKDoSXs9m5Bkmk7A2e8QmBTvGq1M
ct8VE+x1RUJwsJBgVfS69zFPZ2qcO9crpqLd4pHLt1+Z/GzdVSABAIn3BYklUrY/wZ2VAUWFtI3I
j8MkWKfIO+62G2/iwp6/DF7ZdZ1LDYQDOWYJDZTYmk9o6LcLinPJ1OudCESNP9zYOI4ryqae/oO4
uZ4BXVYjuXfZXIEP+Yu/frg08K1oO5zVjHKDnUJ+y6RpZOU2aXm5ZFpRTN//EfXoFG1q/iHBWa0B
UHnMhGfak8YdfdxfK7+docQCi8UhsukROjlP0xVNDLdzEiWVDQ==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1" PreviousValue="false"/>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BDD6B-1F50-4942-B13D-7AF2BC11CF78}"/>
</file>

<file path=customXml/itemProps2.xml><?xml version="1.0" encoding="utf-8"?>
<ds:datastoreItem xmlns:ds="http://schemas.openxmlformats.org/officeDocument/2006/customXml" ds:itemID="{283BF82E-1A70-4392-8CF2-7DEAFF1953AE}">
  <ds:schemaRefs>
    <ds:schemaRef ds:uri="b875e23b-67d9-4b2e-bdec-edacbf90b326"/>
    <ds:schemaRef ds:uri="http://schemas.microsoft.com/office/infopath/2007/PartnerControls"/>
    <ds:schemaRef ds:uri="http://schemas.microsoft.com/office/2006/metadata/properties"/>
    <ds:schemaRef ds:uri="http://schemas.microsoft.com/office/2006/documentManagement/types"/>
    <ds:schemaRef ds:uri="http://purl.org/dc/dcmitype/"/>
    <ds:schemaRef ds:uri="http://www.w3.org/XML/1998/namespace"/>
    <ds:schemaRef ds:uri="http://purl.org/dc/terms/"/>
    <ds:schemaRef ds:uri="http://schemas.openxmlformats.org/package/2006/metadata/core-properties"/>
    <ds:schemaRef ds:uri="62db5286-48a0-4e17-a672-7c89f7b8ca75"/>
    <ds:schemaRef ds:uri="http://schemas.microsoft.com/sharepoint/v3"/>
    <ds:schemaRef ds:uri="http://purl.org/dc/elements/1.1/"/>
  </ds:schemaRefs>
</ds:datastoreItem>
</file>

<file path=customXml/itemProps3.xml><?xml version="1.0" encoding="utf-8"?>
<ds:datastoreItem xmlns:ds="http://schemas.openxmlformats.org/officeDocument/2006/customXml" ds:itemID="{953BA28A-6174-4ABD-843E-90FB5BD10440}"/>
</file>

<file path=customXml/itemProps4.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5.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6.xml><?xml version="1.0" encoding="utf-8"?>
<ds:datastoreItem xmlns:ds="http://schemas.openxmlformats.org/officeDocument/2006/customXml" ds:itemID="{7C79036D-3F64-477E-93DE-183DB60C05BB}"/>
</file>

<file path=customXml/itemProps7.xml><?xml version="1.0" encoding="utf-8"?>
<ds:datastoreItem xmlns:ds="http://schemas.openxmlformats.org/officeDocument/2006/customXml" ds:itemID="{FFAAF6BD-C024-4707-AF3A-0A09AF02BB73}"/>
</file>

<file path=docProps/app.xml><?xml version="1.0" encoding="utf-8"?>
<Properties xmlns="http://schemas.openxmlformats.org/officeDocument/2006/extended-properties" xmlns:vt="http://schemas.openxmlformats.org/officeDocument/2006/docPropsVTypes">
  <Template>plantilla-DAI</Template>
  <TotalTime>3</TotalTime>
  <Pages>4</Pages>
  <Words>1205</Words>
  <Characters>6632</Characters>
  <Application>Microsoft Office Word</Application>
  <DocSecurity>0</DocSecurity>
  <Lines>55</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AI-0181-2025</dc:title>
  <dc:subject/>
  <dc:creator>BERROCAL MEZA MELISSA</dc:creator>
  <cp:keywords/>
  <dc:description/>
  <cp:lastModifiedBy>BERROCAL MEZA MELISSA</cp:lastModifiedBy>
  <cp:revision>2</cp:revision>
  <cp:lastPrinted>2011-05-05T20:16:00Z</cp:lastPrinted>
  <dcterms:created xsi:type="dcterms:W3CDTF">2025-08-11T22:02:00Z</dcterms:created>
  <dcterms:modified xsi:type="dcterms:W3CDTF">2025-08-11T22:05:00Z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21e4a8b0,5efeac82,406bfc98</vt:lpwstr>
  </property>
  <property fmtid="{D5CDD505-2E9C-101B-9397-08002B2CF9AE}" pid="17" name="ClassificationContentMarkingFooterFontProps">
    <vt:lpwstr>#000000,10,Calibri</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2025-08-11T22:04:29Z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27bd8d65-ffea-4025-a2e2-22b8d8b193a5</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497c80e1-2bf0-4f31-b808-2f5ecd751ffd,12;925b388a-7d4e-4f8d-8d94-11c9c2173d4c,15;cf7072bc-9575-4d0b-b529-251f6b43b02b,16;cf7072bc-9575-4d0b-b529-251f6b43b02b,16;</vt:lpwstr>
  </property>
  <property fmtid="{D5CDD505-2E9C-101B-9397-08002B2CF9AE}" pid="32" name="Order">
    <vt:r8>199300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08/30/2025 23:47:01</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