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7D89" w14:textId="14802B81" w:rsidR="003554C5" w:rsidRPr="00DE6F2E" w:rsidRDefault="00DE6F2E" w:rsidP="00DE6F2E">
      <w:pPr>
        <w:rPr>
          <w:rFonts w:ascii="Arial" w:hAnsi="Arial" w:cs="Arial"/>
          <w:sz w:val="24"/>
        </w:rPr>
      </w:pPr>
      <w:r w:rsidRPr="00DE6F2E">
        <w:rPr>
          <w:rFonts w:ascii="Arial" w:hAnsi="Arial" w:cs="Arial"/>
          <w:sz w:val="24"/>
        </w:rPr>
        <w:t>27 de agosto del 2024</w:t>
      </w:r>
    </w:p>
    <w:sdt>
      <w:sdtPr>
        <w:alias w:val="Consecutivo"/>
        <w:tag w:val="Consecutivo"/>
        <w:id w:val="867724263"/>
        <w:placeholder>
          <w:docPart w:val="910B805B833D4C748040AA70B38B26A4"/>
        </w:placeholder>
        <w:text/>
      </w:sdtPr>
      <w:sdtEndPr/>
      <w:sdtContent>
        <w:p w14:paraId="7199F038" w14:textId="77777777" w:rsidR="003554C5" w:rsidRDefault="00BF4EBD" w:rsidP="0085692C">
          <w:r>
            <w:t>AI-0150-2024</w:t>
          </w:r>
        </w:p>
      </w:sdtContent>
    </w:sdt>
    <w:p w14:paraId="39A1937F" w14:textId="77777777" w:rsidR="00BF4EBD" w:rsidRPr="00F835F3" w:rsidRDefault="00BF4EBD" w:rsidP="0085692C"/>
    <w:p w14:paraId="6EF66151" w14:textId="77777777" w:rsidR="00DE6F2E" w:rsidRDefault="00DE6F2E" w:rsidP="00DE6F2E">
      <w:pPr>
        <w:rPr>
          <w:rFonts w:ascii="Arial" w:hAnsi="Arial" w:cs="Arial"/>
          <w:sz w:val="24"/>
        </w:rPr>
      </w:pPr>
    </w:p>
    <w:p w14:paraId="04DD3FD1" w14:textId="08097C68" w:rsidR="00DE6F2E" w:rsidRPr="006329ED" w:rsidRDefault="00DE6F2E" w:rsidP="00DE6F2E">
      <w:pPr>
        <w:rPr>
          <w:rFonts w:ascii="Arial" w:hAnsi="Arial" w:cs="Arial"/>
          <w:sz w:val="24"/>
        </w:rPr>
      </w:pPr>
      <w:r w:rsidRPr="006329ED">
        <w:rPr>
          <w:rFonts w:ascii="Arial" w:hAnsi="Arial" w:cs="Arial"/>
          <w:sz w:val="24"/>
        </w:rPr>
        <w:t>Señor</w:t>
      </w:r>
      <w:r>
        <w:rPr>
          <w:rFonts w:ascii="Arial" w:hAnsi="Arial" w:cs="Arial"/>
          <w:sz w:val="24"/>
        </w:rPr>
        <w:t>a</w:t>
      </w:r>
    </w:p>
    <w:p w14:paraId="36E5D9B7" w14:textId="77777777" w:rsidR="00DE6F2E" w:rsidRPr="006329ED" w:rsidRDefault="00DE6F2E" w:rsidP="00DE6F2E">
      <w:pPr>
        <w:rPr>
          <w:rFonts w:ascii="Arial" w:hAnsi="Arial" w:cs="Arial"/>
          <w:sz w:val="24"/>
        </w:rPr>
      </w:pPr>
      <w:r>
        <w:rPr>
          <w:rFonts w:ascii="Arial" w:hAnsi="Arial" w:cs="Arial"/>
          <w:sz w:val="24"/>
        </w:rPr>
        <w:t>Hazel Valverde R.</w:t>
      </w:r>
      <w:r w:rsidRPr="006329ED">
        <w:rPr>
          <w:rFonts w:ascii="Arial" w:hAnsi="Arial" w:cs="Arial"/>
          <w:sz w:val="24"/>
        </w:rPr>
        <w:t>, Gerente</w:t>
      </w:r>
    </w:p>
    <w:p w14:paraId="2ADE2270" w14:textId="77777777" w:rsidR="00DE6F2E" w:rsidRPr="006329ED" w:rsidRDefault="00DE6F2E" w:rsidP="00DE6F2E">
      <w:pPr>
        <w:rPr>
          <w:rFonts w:ascii="Arial" w:hAnsi="Arial" w:cs="Arial"/>
          <w:b/>
          <w:color w:val="1C4063" w:themeColor="accent1" w:themeShade="80"/>
          <w:sz w:val="24"/>
        </w:rPr>
      </w:pPr>
      <w:r w:rsidRPr="006329ED">
        <w:rPr>
          <w:rFonts w:ascii="Arial" w:hAnsi="Arial" w:cs="Arial"/>
          <w:b/>
          <w:color w:val="1C4063" w:themeColor="accent1" w:themeShade="80"/>
          <w:sz w:val="24"/>
        </w:rPr>
        <w:t>BANCO CENTRAL DE COSTA RICA</w:t>
      </w:r>
    </w:p>
    <w:p w14:paraId="60B2D5DE" w14:textId="77777777" w:rsidR="00DE6F2E" w:rsidRDefault="00DE6F2E" w:rsidP="00DE6F2E">
      <w:pPr>
        <w:rPr>
          <w:rFonts w:ascii="Arial" w:hAnsi="Arial" w:cs="Arial"/>
          <w:sz w:val="24"/>
        </w:rPr>
      </w:pPr>
    </w:p>
    <w:p w14:paraId="47C39777" w14:textId="77777777" w:rsidR="00DE6F2E" w:rsidRPr="006329ED" w:rsidRDefault="00DE6F2E" w:rsidP="00DE6F2E">
      <w:pPr>
        <w:rPr>
          <w:rFonts w:ascii="Arial" w:hAnsi="Arial" w:cs="Arial"/>
          <w:sz w:val="24"/>
        </w:rPr>
      </w:pPr>
      <w:r w:rsidRPr="006329ED">
        <w:rPr>
          <w:rFonts w:ascii="Arial" w:hAnsi="Arial" w:cs="Arial"/>
          <w:sz w:val="24"/>
        </w:rPr>
        <w:t>Estimad</w:t>
      </w:r>
      <w:r>
        <w:rPr>
          <w:rFonts w:ascii="Arial" w:hAnsi="Arial" w:cs="Arial"/>
          <w:sz w:val="24"/>
        </w:rPr>
        <w:t>a</w:t>
      </w:r>
      <w:r w:rsidRPr="006329ED">
        <w:rPr>
          <w:rFonts w:ascii="Arial" w:hAnsi="Arial" w:cs="Arial"/>
          <w:sz w:val="24"/>
        </w:rPr>
        <w:t xml:space="preserve"> señor</w:t>
      </w:r>
      <w:r>
        <w:rPr>
          <w:rFonts w:ascii="Arial" w:hAnsi="Arial" w:cs="Arial"/>
          <w:sz w:val="24"/>
        </w:rPr>
        <w:t>a</w:t>
      </w:r>
      <w:r w:rsidRPr="006329ED">
        <w:rPr>
          <w:rFonts w:ascii="Arial" w:hAnsi="Arial" w:cs="Arial"/>
          <w:sz w:val="24"/>
        </w:rPr>
        <w:t>:</w:t>
      </w:r>
    </w:p>
    <w:p w14:paraId="359686B3" w14:textId="77777777" w:rsidR="00DE6F2E" w:rsidRPr="006329ED" w:rsidRDefault="00DE6F2E" w:rsidP="00DE6F2E">
      <w:pPr>
        <w:rPr>
          <w:rFonts w:ascii="Arial" w:hAnsi="Arial" w:cs="Arial"/>
          <w:sz w:val="24"/>
        </w:rPr>
      </w:pPr>
    </w:p>
    <w:p w14:paraId="6ABA4C07" w14:textId="54F5F53D" w:rsidR="00DE6F2E" w:rsidRPr="006329ED" w:rsidRDefault="00DE6F2E" w:rsidP="00DE6F2E">
      <w:pPr>
        <w:rPr>
          <w:rFonts w:ascii="Arial" w:hAnsi="Arial" w:cs="Arial"/>
          <w:sz w:val="24"/>
        </w:rPr>
      </w:pPr>
      <w:r>
        <w:rPr>
          <w:rFonts w:ascii="Arial" w:hAnsi="Arial" w:cs="Arial"/>
          <w:sz w:val="24"/>
        </w:rPr>
        <w:t xml:space="preserve">Este </w:t>
      </w:r>
      <w:r w:rsidRPr="006329ED">
        <w:rPr>
          <w:rFonts w:ascii="Arial" w:hAnsi="Arial" w:cs="Arial"/>
          <w:sz w:val="24"/>
        </w:rPr>
        <w:t>informe contiene los resultados correspondientes al estudio</w:t>
      </w:r>
      <w:r>
        <w:rPr>
          <w:rFonts w:ascii="Arial" w:hAnsi="Arial" w:cs="Arial"/>
          <w:sz w:val="24"/>
        </w:rPr>
        <w:t xml:space="preserve"> </w:t>
      </w:r>
      <w:r w:rsidRPr="00A56E1D">
        <w:rPr>
          <w:rFonts w:ascii="Arial" w:hAnsi="Arial" w:cs="Arial"/>
          <w:sz w:val="24"/>
        </w:rPr>
        <w:t>de carácter especial</w:t>
      </w:r>
      <w:r w:rsidRPr="00A56E1D">
        <w:rPr>
          <w:rFonts w:ascii="Arial" w:hAnsi="Arial" w:cs="Arial"/>
        </w:rPr>
        <w:t xml:space="preserve"> </w:t>
      </w:r>
      <w:r w:rsidRPr="00A56E1D">
        <w:rPr>
          <w:rFonts w:ascii="Arial" w:hAnsi="Arial" w:cs="Arial"/>
          <w:sz w:val="24"/>
        </w:rPr>
        <w:t xml:space="preserve">mediante el cual esta Auditoría </w:t>
      </w:r>
      <w:r w:rsidRPr="006329ED">
        <w:rPr>
          <w:rFonts w:ascii="Arial" w:hAnsi="Arial" w:cs="Arial"/>
          <w:sz w:val="24"/>
        </w:rPr>
        <w:t>evaluó</w:t>
      </w:r>
      <w:r>
        <w:rPr>
          <w:rFonts w:ascii="Arial" w:hAnsi="Arial" w:cs="Arial"/>
          <w:sz w:val="24"/>
        </w:rPr>
        <w:t xml:space="preserve"> </w:t>
      </w:r>
      <w:r w:rsidRPr="00A56E1D">
        <w:rPr>
          <w:rFonts w:ascii="Arial" w:hAnsi="Arial" w:cs="Arial"/>
          <w:sz w:val="24"/>
        </w:rPr>
        <w:t xml:space="preserve">la recuperación del financiamiento a las </w:t>
      </w:r>
      <w:r>
        <w:rPr>
          <w:rFonts w:ascii="Arial" w:hAnsi="Arial" w:cs="Arial"/>
          <w:sz w:val="24"/>
        </w:rPr>
        <w:t>s</w:t>
      </w:r>
      <w:r w:rsidRPr="00A56E1D">
        <w:rPr>
          <w:rFonts w:ascii="Arial" w:hAnsi="Arial" w:cs="Arial"/>
          <w:sz w:val="24"/>
        </w:rPr>
        <w:t>uperintendencias</w:t>
      </w:r>
      <w:r>
        <w:rPr>
          <w:rFonts w:ascii="Arial" w:hAnsi="Arial" w:cs="Arial"/>
          <w:sz w:val="24"/>
        </w:rPr>
        <w:t>; el objetivo del trabajo fue comprobar</w:t>
      </w:r>
      <w:r w:rsidRPr="001903C4">
        <w:rPr>
          <w:rFonts w:ascii="Arial" w:hAnsi="Arial" w:cs="Arial"/>
          <w:sz w:val="24"/>
        </w:rPr>
        <w:t xml:space="preserve"> la exactitud de los registros, el cumplimiento de disposiciones y controles asociados</w:t>
      </w:r>
      <w:r>
        <w:rPr>
          <w:rFonts w:ascii="Arial" w:hAnsi="Arial" w:cs="Arial"/>
          <w:sz w:val="24"/>
        </w:rPr>
        <w:t>. La gestión</w:t>
      </w:r>
      <w:r w:rsidRPr="006329ED">
        <w:rPr>
          <w:rFonts w:ascii="Arial" w:hAnsi="Arial" w:cs="Arial"/>
          <w:sz w:val="24"/>
        </w:rPr>
        <w:t xml:space="preserve"> </w:t>
      </w:r>
      <w:r>
        <w:rPr>
          <w:rFonts w:ascii="Arial" w:hAnsi="Arial" w:cs="Arial"/>
          <w:sz w:val="24"/>
        </w:rPr>
        <w:t xml:space="preserve">evaluada </w:t>
      </w:r>
      <w:r w:rsidRPr="006329ED">
        <w:rPr>
          <w:rFonts w:ascii="Arial" w:hAnsi="Arial" w:cs="Arial"/>
          <w:sz w:val="24"/>
        </w:rPr>
        <w:t>está bajo la responsabilidad de</w:t>
      </w:r>
      <w:r>
        <w:rPr>
          <w:rFonts w:ascii="Arial" w:hAnsi="Arial" w:cs="Arial"/>
          <w:sz w:val="24"/>
        </w:rPr>
        <w:t xml:space="preserve"> los d</w:t>
      </w:r>
      <w:r w:rsidRPr="006329ED">
        <w:rPr>
          <w:rFonts w:ascii="Arial" w:hAnsi="Arial" w:cs="Arial"/>
          <w:sz w:val="24"/>
        </w:rPr>
        <w:t>epartamento</w:t>
      </w:r>
      <w:r>
        <w:rPr>
          <w:rFonts w:ascii="Arial" w:hAnsi="Arial" w:cs="Arial"/>
          <w:sz w:val="24"/>
        </w:rPr>
        <w:t>s</w:t>
      </w:r>
      <w:r w:rsidRPr="006329ED">
        <w:rPr>
          <w:rFonts w:ascii="Arial" w:hAnsi="Arial" w:cs="Arial"/>
          <w:sz w:val="24"/>
        </w:rPr>
        <w:t xml:space="preserve"> </w:t>
      </w:r>
      <w:r w:rsidRPr="00A84A9D">
        <w:rPr>
          <w:rFonts w:ascii="Arial" w:hAnsi="Arial" w:cs="Arial"/>
          <w:sz w:val="24"/>
        </w:rPr>
        <w:t>Presupuesto</w:t>
      </w:r>
      <w:r>
        <w:rPr>
          <w:rFonts w:ascii="Arial" w:hAnsi="Arial" w:cs="Arial"/>
          <w:sz w:val="24"/>
        </w:rPr>
        <w:t xml:space="preserve"> (DP) y </w:t>
      </w:r>
      <w:r w:rsidRPr="00A84A9D">
        <w:rPr>
          <w:rFonts w:ascii="Arial" w:hAnsi="Arial" w:cs="Arial"/>
          <w:sz w:val="24"/>
        </w:rPr>
        <w:t>Finanzas y Contabilidad</w:t>
      </w:r>
      <w:r>
        <w:rPr>
          <w:rFonts w:ascii="Arial" w:hAnsi="Arial" w:cs="Arial"/>
          <w:sz w:val="24"/>
        </w:rPr>
        <w:t xml:space="preserve"> (DFC),</w:t>
      </w:r>
      <w:r w:rsidRPr="006329ED">
        <w:rPr>
          <w:rFonts w:ascii="Arial" w:hAnsi="Arial" w:cs="Arial"/>
          <w:sz w:val="24"/>
        </w:rPr>
        <w:t xml:space="preserve"> </w:t>
      </w:r>
      <w:r>
        <w:rPr>
          <w:rFonts w:ascii="Arial" w:hAnsi="Arial" w:cs="Arial"/>
          <w:sz w:val="24"/>
        </w:rPr>
        <w:t xml:space="preserve">ambos </w:t>
      </w:r>
      <w:r w:rsidRPr="006329ED">
        <w:rPr>
          <w:rFonts w:ascii="Arial" w:hAnsi="Arial" w:cs="Arial"/>
          <w:sz w:val="24"/>
        </w:rPr>
        <w:t xml:space="preserve">de la División </w:t>
      </w:r>
      <w:r w:rsidRPr="001903C4">
        <w:rPr>
          <w:rFonts w:ascii="Arial" w:hAnsi="Arial" w:cs="Arial"/>
          <w:sz w:val="24"/>
        </w:rPr>
        <w:t>Transformación y Estrategia</w:t>
      </w:r>
      <w:r w:rsidRPr="006329ED">
        <w:rPr>
          <w:rFonts w:ascii="Arial" w:hAnsi="Arial" w:cs="Arial"/>
          <w:sz w:val="24"/>
        </w:rPr>
        <w:t>.</w:t>
      </w:r>
    </w:p>
    <w:p w14:paraId="0803A1EE" w14:textId="77777777" w:rsidR="00DE6F2E" w:rsidRDefault="00DE6F2E" w:rsidP="00DE6F2E">
      <w:pPr>
        <w:tabs>
          <w:tab w:val="left" w:pos="5505"/>
        </w:tabs>
        <w:rPr>
          <w:rFonts w:ascii="Arial" w:hAnsi="Arial" w:cs="Arial"/>
          <w:sz w:val="24"/>
        </w:rPr>
      </w:pPr>
    </w:p>
    <w:p w14:paraId="0E67E4D5" w14:textId="77777777" w:rsidR="00DE6F2E" w:rsidRPr="006329ED" w:rsidRDefault="00DE6F2E" w:rsidP="00DE6F2E">
      <w:pPr>
        <w:rPr>
          <w:rFonts w:ascii="Arial" w:hAnsi="Arial" w:cs="Arial"/>
          <w:sz w:val="24"/>
        </w:rPr>
      </w:pPr>
      <w:r w:rsidRPr="006329ED">
        <w:rPr>
          <w:rFonts w:ascii="Arial" w:hAnsi="Arial" w:cs="Arial"/>
          <w:sz w:val="24"/>
        </w:rPr>
        <w:t xml:space="preserve">El alcance del estudio comprendió </w:t>
      </w:r>
      <w:r w:rsidRPr="00432E10">
        <w:rPr>
          <w:rFonts w:ascii="Arial" w:hAnsi="Arial" w:cs="Arial"/>
          <w:sz w:val="24"/>
        </w:rPr>
        <w:t xml:space="preserve">las disposiciones normativas aplicables y los registros financieros y contables de la recuperación </w:t>
      </w:r>
      <w:r>
        <w:rPr>
          <w:rFonts w:ascii="Arial" w:hAnsi="Arial" w:cs="Arial"/>
          <w:sz w:val="24"/>
        </w:rPr>
        <w:t>(</w:t>
      </w:r>
      <w:r w:rsidRPr="00432E10">
        <w:rPr>
          <w:rFonts w:ascii="Arial" w:hAnsi="Arial" w:cs="Arial"/>
          <w:sz w:val="24"/>
        </w:rPr>
        <w:t>mensual y la liquidación anual</w:t>
      </w:r>
      <w:r>
        <w:rPr>
          <w:rFonts w:ascii="Arial" w:hAnsi="Arial" w:cs="Arial"/>
          <w:sz w:val="24"/>
        </w:rPr>
        <w:t>),</w:t>
      </w:r>
      <w:r w:rsidRPr="00432E10">
        <w:rPr>
          <w:rFonts w:ascii="Arial" w:hAnsi="Arial" w:cs="Arial"/>
          <w:sz w:val="24"/>
        </w:rPr>
        <w:t xml:space="preserve"> del presupuesto financiado por el Banco Central a las superintendencias durante el año </w:t>
      </w:r>
      <w:r w:rsidRPr="004D033B">
        <w:rPr>
          <w:rFonts w:ascii="Arial" w:hAnsi="Arial" w:cs="Arial"/>
          <w:sz w:val="24"/>
        </w:rPr>
        <w:t>2023</w:t>
      </w:r>
      <w:r>
        <w:rPr>
          <w:rFonts w:ascii="Arial" w:hAnsi="Arial" w:cs="Arial"/>
          <w:color w:val="FF0000"/>
          <w:sz w:val="24"/>
        </w:rPr>
        <w:t xml:space="preserve">. </w:t>
      </w:r>
      <w:r w:rsidRPr="006329ED">
        <w:rPr>
          <w:rFonts w:ascii="Arial" w:hAnsi="Arial" w:cs="Arial"/>
          <w:sz w:val="24"/>
          <w:lang w:eastAsia="uk-UA"/>
        </w:rPr>
        <w:t xml:space="preserve">Para la ejecución de este estudio se aplicaron los criterios de auditoría que se consideraron pertinentes según el objetivo planteado, los cuales fueron comunicados mediante oficio </w:t>
      </w:r>
      <w:r w:rsidRPr="004D033B">
        <w:rPr>
          <w:rFonts w:ascii="Arial" w:hAnsi="Arial" w:cs="Arial"/>
          <w:sz w:val="24"/>
          <w:lang w:eastAsia="uk-UA"/>
        </w:rPr>
        <w:t>AI-01</w:t>
      </w:r>
      <w:r>
        <w:rPr>
          <w:rFonts w:ascii="Arial" w:hAnsi="Arial" w:cs="Arial"/>
          <w:sz w:val="24"/>
          <w:lang w:eastAsia="uk-UA"/>
        </w:rPr>
        <w:t>01</w:t>
      </w:r>
      <w:r w:rsidRPr="004D033B">
        <w:rPr>
          <w:rFonts w:ascii="Arial" w:hAnsi="Arial" w:cs="Arial"/>
          <w:sz w:val="24"/>
          <w:lang w:eastAsia="uk-UA"/>
        </w:rPr>
        <w:t>-2024 del 26 de junio del 2024.</w:t>
      </w:r>
      <w:r w:rsidRPr="006329ED">
        <w:rPr>
          <w:rFonts w:ascii="Arial" w:hAnsi="Arial" w:cs="Arial"/>
          <w:sz w:val="24"/>
          <w:lang w:eastAsia="uk-UA"/>
        </w:rPr>
        <w:t xml:space="preserve"> </w:t>
      </w:r>
    </w:p>
    <w:p w14:paraId="42C269CA" w14:textId="77777777" w:rsidR="00DE6F2E" w:rsidRDefault="00DE6F2E" w:rsidP="00DE6F2E">
      <w:pPr>
        <w:contextualSpacing/>
        <w:rPr>
          <w:rFonts w:ascii="Arial" w:hAnsi="Arial" w:cs="Arial"/>
          <w:sz w:val="24"/>
          <w:szCs w:val="28"/>
        </w:rPr>
      </w:pPr>
    </w:p>
    <w:p w14:paraId="37613CE1" w14:textId="77777777" w:rsidR="00DE6F2E" w:rsidRPr="00432E10" w:rsidRDefault="00DE6F2E" w:rsidP="00DE6F2E">
      <w:pPr>
        <w:rPr>
          <w:rFonts w:ascii="Arial" w:hAnsi="Arial" w:cs="Arial"/>
          <w:sz w:val="24"/>
        </w:rPr>
      </w:pPr>
      <w:r>
        <w:rPr>
          <w:rFonts w:ascii="Arial" w:hAnsi="Arial" w:cs="Arial"/>
          <w:sz w:val="24"/>
        </w:rPr>
        <w:t>L</w:t>
      </w:r>
      <w:r w:rsidRPr="00432E10">
        <w:rPr>
          <w:rFonts w:ascii="Arial" w:hAnsi="Arial" w:cs="Arial"/>
          <w:sz w:val="24"/>
        </w:rPr>
        <w:t>os resultados obtenidos permit</w:t>
      </w:r>
      <w:r>
        <w:rPr>
          <w:rFonts w:ascii="Arial" w:hAnsi="Arial" w:cs="Arial"/>
          <w:sz w:val="24"/>
        </w:rPr>
        <w:t>en</w:t>
      </w:r>
      <w:r w:rsidRPr="00432E10">
        <w:rPr>
          <w:rFonts w:ascii="Arial" w:hAnsi="Arial" w:cs="Arial"/>
          <w:sz w:val="24"/>
        </w:rPr>
        <w:t xml:space="preserve"> concluir que la recuperación del financiamiento otorgado por el Banco Central </w:t>
      </w:r>
      <w:r>
        <w:rPr>
          <w:rFonts w:ascii="Arial" w:hAnsi="Arial" w:cs="Arial"/>
          <w:sz w:val="24"/>
        </w:rPr>
        <w:t xml:space="preserve">a </w:t>
      </w:r>
      <w:r w:rsidRPr="00432E10">
        <w:rPr>
          <w:rFonts w:ascii="Arial" w:hAnsi="Arial" w:cs="Arial"/>
          <w:sz w:val="24"/>
        </w:rPr>
        <w:t xml:space="preserve">las </w:t>
      </w:r>
      <w:r>
        <w:rPr>
          <w:rFonts w:ascii="Arial" w:hAnsi="Arial" w:cs="Arial"/>
          <w:sz w:val="24"/>
        </w:rPr>
        <w:t>s</w:t>
      </w:r>
      <w:r w:rsidRPr="00432E10">
        <w:rPr>
          <w:rFonts w:ascii="Arial" w:hAnsi="Arial" w:cs="Arial"/>
          <w:sz w:val="24"/>
        </w:rPr>
        <w:t xml:space="preserve">uperintendencias </w:t>
      </w:r>
      <w:r>
        <w:rPr>
          <w:rFonts w:ascii="Arial" w:hAnsi="Arial" w:cs="Arial"/>
          <w:sz w:val="24"/>
        </w:rPr>
        <w:t>con</w:t>
      </w:r>
      <w:r w:rsidRPr="00432E10">
        <w:rPr>
          <w:rFonts w:ascii="Arial" w:hAnsi="Arial" w:cs="Arial"/>
          <w:sz w:val="24"/>
        </w:rPr>
        <w:t xml:space="preserve"> presupuesto </w:t>
      </w:r>
      <w:r>
        <w:rPr>
          <w:rFonts w:ascii="Arial" w:hAnsi="Arial" w:cs="Arial"/>
          <w:sz w:val="24"/>
        </w:rPr>
        <w:t xml:space="preserve">del periodo </w:t>
      </w:r>
      <w:r w:rsidRPr="00432E10">
        <w:rPr>
          <w:rFonts w:ascii="Arial" w:hAnsi="Arial" w:cs="Arial"/>
          <w:sz w:val="24"/>
        </w:rPr>
        <w:t>202</w:t>
      </w:r>
      <w:r>
        <w:rPr>
          <w:rFonts w:ascii="Arial" w:hAnsi="Arial" w:cs="Arial"/>
          <w:sz w:val="24"/>
        </w:rPr>
        <w:t>3</w:t>
      </w:r>
      <w:r w:rsidRPr="00432E10">
        <w:rPr>
          <w:rFonts w:ascii="Arial" w:hAnsi="Arial" w:cs="Arial"/>
          <w:sz w:val="24"/>
        </w:rPr>
        <w:t xml:space="preserve"> </w:t>
      </w:r>
      <w:r w:rsidRPr="00CF03A1">
        <w:rPr>
          <w:rFonts w:ascii="Arial" w:hAnsi="Arial" w:cs="Arial"/>
          <w:sz w:val="24"/>
        </w:rPr>
        <w:t>presenta una</w:t>
      </w:r>
      <w:r>
        <w:rPr>
          <w:rFonts w:ascii="Arial" w:hAnsi="Arial" w:cs="Arial"/>
          <w:b/>
          <w:bCs/>
          <w:sz w:val="24"/>
        </w:rPr>
        <w:t xml:space="preserve"> seguridad razonable</w:t>
      </w:r>
      <w:r w:rsidRPr="00F46555">
        <w:rPr>
          <w:rFonts w:ascii="Arial" w:hAnsi="Arial" w:cs="Arial"/>
          <w:sz w:val="24"/>
        </w:rPr>
        <w:t>,</w:t>
      </w:r>
      <w:r>
        <w:rPr>
          <w:rFonts w:ascii="Arial" w:hAnsi="Arial" w:cs="Arial"/>
          <w:b/>
          <w:bCs/>
          <w:sz w:val="24"/>
        </w:rPr>
        <w:t xml:space="preserve"> </w:t>
      </w:r>
      <w:r>
        <w:rPr>
          <w:rFonts w:ascii="Arial" w:hAnsi="Arial" w:cs="Arial"/>
          <w:sz w:val="24"/>
        </w:rPr>
        <w:t>según</w:t>
      </w:r>
      <w:r w:rsidRPr="00432E10">
        <w:rPr>
          <w:rFonts w:ascii="Arial" w:hAnsi="Arial" w:cs="Arial"/>
          <w:sz w:val="24"/>
        </w:rPr>
        <w:t xml:space="preserve"> los criterios evaluados</w:t>
      </w:r>
      <w:r>
        <w:rPr>
          <w:rFonts w:ascii="Arial" w:hAnsi="Arial" w:cs="Arial"/>
          <w:sz w:val="24"/>
        </w:rPr>
        <w:t>,</w:t>
      </w:r>
      <w:r w:rsidRPr="00432E10">
        <w:rPr>
          <w:rFonts w:ascii="Arial" w:hAnsi="Arial" w:cs="Arial"/>
          <w:sz w:val="24"/>
        </w:rPr>
        <w:t xml:space="preserve"> </w:t>
      </w:r>
      <w:r>
        <w:rPr>
          <w:rFonts w:ascii="Arial" w:hAnsi="Arial" w:cs="Arial"/>
          <w:sz w:val="24"/>
        </w:rPr>
        <w:t xml:space="preserve">en relación con </w:t>
      </w:r>
      <w:r w:rsidRPr="00432E10">
        <w:rPr>
          <w:rFonts w:ascii="Arial" w:hAnsi="Arial" w:cs="Arial"/>
          <w:sz w:val="24"/>
        </w:rPr>
        <w:t xml:space="preserve">la exactitud de los registros, el cumplimiento de las disposiciones aplicables y los controles relevantes establecidos. </w:t>
      </w:r>
    </w:p>
    <w:p w14:paraId="28695D0E" w14:textId="77777777" w:rsidR="00DE6F2E" w:rsidRDefault="00DE6F2E" w:rsidP="00DE6F2E">
      <w:pPr>
        <w:pStyle w:val="Negrita"/>
        <w:rPr>
          <w:rFonts w:ascii="Arial" w:hAnsi="Arial" w:cs="Arial"/>
          <w:sz w:val="24"/>
        </w:rPr>
      </w:pPr>
    </w:p>
    <w:p w14:paraId="6D23A957" w14:textId="77777777" w:rsidR="00DE6F2E" w:rsidRPr="00E80175" w:rsidRDefault="00DE6F2E" w:rsidP="00DE6F2E">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14:paraId="0C2464D9" w14:textId="77777777" w:rsidR="00DE6F2E" w:rsidRDefault="00DE6F2E" w:rsidP="00DE6F2E">
      <w:pPr>
        <w:contextualSpacing/>
        <w:rPr>
          <w:rFonts w:ascii="Arial" w:hAnsi="Arial" w:cs="Arial"/>
          <w:sz w:val="24"/>
          <w:szCs w:val="28"/>
        </w:rPr>
      </w:pPr>
    </w:p>
    <w:p w14:paraId="6B3D7E38" w14:textId="77777777" w:rsidR="00DE6F2E" w:rsidRPr="006329ED" w:rsidRDefault="00DE6F2E" w:rsidP="00DE6F2E">
      <w:pPr>
        <w:pStyle w:val="Ttulo1"/>
        <w:numPr>
          <w:ilvl w:val="0"/>
          <w:numId w:val="13"/>
        </w:numPr>
        <w:spacing w:before="0" w:after="0"/>
        <w:ind w:left="426" w:right="-340" w:hanging="142"/>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GENERALIDADES</w:t>
      </w:r>
    </w:p>
    <w:p w14:paraId="31201CB0" w14:textId="77777777" w:rsidR="00DE6F2E" w:rsidRPr="006329ED" w:rsidRDefault="00DE6F2E" w:rsidP="00DE6F2E">
      <w:pPr>
        <w:ind w:left="513"/>
        <w:contextualSpacing/>
        <w:rPr>
          <w:rFonts w:ascii="Arial" w:hAnsi="Arial" w:cs="Arial"/>
          <w:szCs w:val="22"/>
          <w:highlight w:val="yellow"/>
        </w:rPr>
      </w:pPr>
    </w:p>
    <w:p w14:paraId="37F9469B" w14:textId="12B5D02B" w:rsidR="00DE6F2E" w:rsidRPr="00A47531" w:rsidRDefault="00DE6F2E" w:rsidP="00DE6F2E">
      <w:pPr>
        <w:pStyle w:val="Encabezado"/>
        <w:rPr>
          <w:rFonts w:ascii="Arial" w:hAnsi="Arial" w:cs="Arial"/>
          <w:sz w:val="24"/>
          <w:lang w:val="es-CR"/>
        </w:rPr>
      </w:pPr>
      <w:r w:rsidRPr="00A47531">
        <w:rPr>
          <w:rFonts w:ascii="Arial" w:hAnsi="Arial" w:cs="Arial"/>
          <w:sz w:val="24"/>
        </w:rPr>
        <w:t xml:space="preserve">Conforme a lo establecido en los artículos 174 y 175 de la Ley Reguladora del Mercado de Valores, No. 7732, </w:t>
      </w:r>
      <w:r w:rsidRPr="00A47531">
        <w:rPr>
          <w:rFonts w:ascii="Arial" w:hAnsi="Arial" w:cs="Arial"/>
          <w:sz w:val="24"/>
          <w:lang w:val="es-CR"/>
        </w:rPr>
        <w:t>los presupuestos de la Superintendencia General de Entidades Financieras (Sugef), la Superintendencia General de Valores (Sugeval), la Superintendencia de Pensiones (Sup</w:t>
      </w:r>
      <w:r>
        <w:rPr>
          <w:rFonts w:ascii="Arial" w:hAnsi="Arial" w:cs="Arial"/>
          <w:sz w:val="24"/>
          <w:lang w:val="es-CR"/>
        </w:rPr>
        <w:t>e</w:t>
      </w:r>
      <w:r w:rsidRPr="00A47531">
        <w:rPr>
          <w:rFonts w:ascii="Arial" w:hAnsi="Arial" w:cs="Arial"/>
          <w:sz w:val="24"/>
          <w:lang w:val="es-CR"/>
        </w:rPr>
        <w:t xml:space="preserve">n) y la Superintendencia </w:t>
      </w:r>
      <w:r w:rsidRPr="00A47531">
        <w:rPr>
          <w:rFonts w:ascii="Arial" w:hAnsi="Arial" w:cs="Arial"/>
          <w:sz w:val="24"/>
          <w:lang w:val="es-CR"/>
        </w:rPr>
        <w:lastRenderedPageBreak/>
        <w:t>General de Seguros (Sugese), correspondientes al periodo 2023, debían ser financiados en un ochenta por ciento (80%) por el Banco Central de Costa Rica y el veinte por ciento (20%) restante mediante contribuciones obligatorias de los sujetos fiscalizados</w:t>
      </w:r>
      <w:r w:rsidRPr="00A47531">
        <w:rPr>
          <w:rStyle w:val="Refdenotaalpie"/>
          <w:rFonts w:ascii="Arial" w:hAnsi="Arial" w:cs="Arial"/>
          <w:sz w:val="24"/>
        </w:rPr>
        <w:footnoteReference w:id="1"/>
      </w:r>
      <w:r w:rsidRPr="00A47531">
        <w:rPr>
          <w:rFonts w:ascii="Arial" w:hAnsi="Arial" w:cs="Arial"/>
          <w:sz w:val="24"/>
          <w:lang w:val="es-CR"/>
        </w:rPr>
        <w:t xml:space="preserve">; tales contribuciones se cobran mensualmente con base en </w:t>
      </w:r>
      <w:r w:rsidRPr="00A47531">
        <w:rPr>
          <w:rFonts w:ascii="Arial" w:hAnsi="Arial" w:cs="Arial"/>
          <w:sz w:val="24"/>
        </w:rPr>
        <w:t>la distribución calculada al inicio del año</w:t>
      </w:r>
      <w:r w:rsidRPr="00A47531" w:rsidDel="00693A21">
        <w:rPr>
          <w:rFonts w:ascii="Arial" w:hAnsi="Arial" w:cs="Arial"/>
          <w:sz w:val="24"/>
        </w:rPr>
        <w:t xml:space="preserve"> </w:t>
      </w:r>
      <w:r w:rsidRPr="00A47531">
        <w:rPr>
          <w:rFonts w:ascii="Arial" w:hAnsi="Arial" w:cs="Arial"/>
          <w:sz w:val="24"/>
        </w:rPr>
        <w:t>por cada superintendencia. El presupuesto del Conassif también debe ser recuperado en el mismo porcentaje antes indicado y para tal efecto se distribuye entre los órganos bajo su dirección.</w:t>
      </w:r>
    </w:p>
    <w:p w14:paraId="71168AC3" w14:textId="77777777" w:rsidR="00DE6F2E" w:rsidRPr="00A47531" w:rsidRDefault="00DE6F2E" w:rsidP="00DE6F2E">
      <w:pPr>
        <w:pStyle w:val="Encabezado"/>
        <w:rPr>
          <w:rFonts w:ascii="Arial" w:hAnsi="Arial" w:cs="Arial"/>
          <w:sz w:val="24"/>
        </w:rPr>
      </w:pPr>
    </w:p>
    <w:p w14:paraId="08D64E9C" w14:textId="77777777" w:rsidR="00DE6F2E" w:rsidRPr="00CF03A1" w:rsidRDefault="00DE6F2E" w:rsidP="00DE6F2E">
      <w:pPr>
        <w:rPr>
          <w:rFonts w:ascii="Arial" w:hAnsi="Arial" w:cs="Arial"/>
          <w:sz w:val="24"/>
          <w:lang w:val="es-CR"/>
        </w:rPr>
      </w:pPr>
      <w:r w:rsidRPr="00A47531">
        <w:rPr>
          <w:rFonts w:ascii="Arial" w:hAnsi="Arial" w:cs="Arial"/>
          <w:sz w:val="24"/>
        </w:rPr>
        <w:t xml:space="preserve">El Departamento Finanzas y Contabilidad ejecuta actividades para controlar el ingreso mensual y anual correspondiente al pago que realizan los entes supervisados, según el cobro facturado por las superintendencias y, además, </w:t>
      </w:r>
      <w:r w:rsidRPr="00A47531">
        <w:rPr>
          <w:rFonts w:ascii="Arial" w:hAnsi="Arial" w:cs="Arial"/>
          <w:sz w:val="24"/>
          <w:lang w:val="es-CR"/>
        </w:rPr>
        <w:t>contabiliza los ingresos y las cuentas deudoras o acreedoras resultantes de las diferencias entre el cobro y el gasto efectivo, para lo cual utiliza la estimación mensual que efectúa el Departamento Presupuesto sobre el gasto efectivo ejecutado por las superintendencias. E</w:t>
      </w:r>
      <w:r w:rsidRPr="00A47531">
        <w:rPr>
          <w:rFonts w:ascii="Arial" w:hAnsi="Arial" w:cs="Arial"/>
          <w:sz w:val="24"/>
        </w:rPr>
        <w:t>n el primer trimestre del período siguiente las superintendencias realizan una liquidación final de los pagos recibidos y los gastos efectivos de cada año terminado. Dicha liquidación es enviada al Departamento Finanzas y Contabilidad, el cual realiza la conciliación con los registros contables y presupuestarios.</w:t>
      </w:r>
    </w:p>
    <w:p w14:paraId="20925C37" w14:textId="77777777" w:rsidR="00DE6F2E" w:rsidRPr="00CF03A1" w:rsidRDefault="00DE6F2E" w:rsidP="00DE6F2E">
      <w:pPr>
        <w:pStyle w:val="Prrafodelista"/>
        <w:ind w:left="513"/>
        <w:rPr>
          <w:rFonts w:ascii="Arial" w:hAnsi="Arial" w:cs="Arial"/>
          <w:szCs w:val="22"/>
        </w:rPr>
      </w:pPr>
    </w:p>
    <w:p w14:paraId="29E85D88" w14:textId="77777777" w:rsidR="00DE6F2E" w:rsidRPr="006329ED" w:rsidRDefault="00DE6F2E" w:rsidP="00DE6F2E">
      <w:pPr>
        <w:pStyle w:val="Ttulo1"/>
        <w:numPr>
          <w:ilvl w:val="0"/>
          <w:numId w:val="13"/>
        </w:numPr>
        <w:spacing w:before="0" w:after="0"/>
        <w:ind w:left="426" w:right="-340" w:hanging="142"/>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14:paraId="5259030C" w14:textId="77777777" w:rsidR="00DE6F2E" w:rsidRPr="006329ED" w:rsidRDefault="00DE6F2E" w:rsidP="00DE6F2E">
      <w:pPr>
        <w:pStyle w:val="Prrafodelista"/>
        <w:ind w:left="513"/>
        <w:rPr>
          <w:rFonts w:ascii="Arial" w:hAnsi="Arial" w:cs="Arial"/>
          <w:szCs w:val="22"/>
          <w:lang w:val="es-CR"/>
        </w:rPr>
      </w:pPr>
    </w:p>
    <w:p w14:paraId="3BD6B8A1" w14:textId="77777777" w:rsidR="00DE6F2E" w:rsidRPr="00120B21" w:rsidRDefault="00DE6F2E" w:rsidP="00DE6F2E">
      <w:pPr>
        <w:rPr>
          <w:rFonts w:ascii="Arial" w:hAnsi="Arial" w:cs="Arial"/>
          <w:sz w:val="24"/>
          <w:szCs w:val="28"/>
        </w:rPr>
      </w:pPr>
      <w:bookmarkStart w:id="0" w:name="_Hlk175322987"/>
      <w:r w:rsidRPr="00120B21">
        <w:rPr>
          <w:rFonts w:ascii="Arial" w:hAnsi="Arial" w:cs="Arial"/>
          <w:sz w:val="24"/>
          <w:szCs w:val="28"/>
        </w:rPr>
        <w:t>L</w:t>
      </w:r>
      <w:r>
        <w:rPr>
          <w:rFonts w:ascii="Arial" w:hAnsi="Arial" w:cs="Arial"/>
          <w:sz w:val="24"/>
          <w:szCs w:val="28"/>
        </w:rPr>
        <w:t>a evaluación efectuada generó los siguientes resultados satisfactorios</w:t>
      </w:r>
      <w:r w:rsidRPr="00120B21">
        <w:rPr>
          <w:rFonts w:ascii="Arial" w:hAnsi="Arial" w:cs="Arial"/>
          <w:sz w:val="24"/>
          <w:szCs w:val="28"/>
        </w:rPr>
        <w:t>:</w:t>
      </w:r>
      <w:r>
        <w:rPr>
          <w:rFonts w:ascii="Arial" w:hAnsi="Arial" w:cs="Arial"/>
          <w:sz w:val="24"/>
          <w:szCs w:val="28"/>
        </w:rPr>
        <w:t xml:space="preserve"> </w:t>
      </w:r>
    </w:p>
    <w:bookmarkEnd w:id="0"/>
    <w:p w14:paraId="3775C717" w14:textId="77777777" w:rsidR="00DE6F2E" w:rsidRPr="00120B21" w:rsidRDefault="00DE6F2E" w:rsidP="00DE6F2E">
      <w:pPr>
        <w:rPr>
          <w:rFonts w:ascii="Arial" w:hAnsi="Arial" w:cs="Arial"/>
          <w:sz w:val="24"/>
          <w:szCs w:val="28"/>
        </w:rPr>
      </w:pPr>
    </w:p>
    <w:p w14:paraId="3C638596" w14:textId="77777777" w:rsidR="00DE6F2E" w:rsidRPr="008C6B0A" w:rsidRDefault="00DE6F2E" w:rsidP="00DE6F2E">
      <w:pPr>
        <w:pStyle w:val="Prrafodelista"/>
        <w:numPr>
          <w:ilvl w:val="0"/>
          <w:numId w:val="14"/>
        </w:numPr>
        <w:ind w:left="357" w:hanging="357"/>
        <w:contextualSpacing w:val="0"/>
        <w:rPr>
          <w:rFonts w:ascii="Arial" w:hAnsi="Arial" w:cs="Arial"/>
          <w:sz w:val="24"/>
        </w:rPr>
      </w:pPr>
      <w:bookmarkStart w:id="1" w:name="_Hlk175148887"/>
      <w:r>
        <w:rPr>
          <w:rFonts w:ascii="Arial" w:hAnsi="Arial" w:cs="Arial"/>
          <w:sz w:val="24"/>
        </w:rPr>
        <w:t>L</w:t>
      </w:r>
      <w:r w:rsidRPr="008C6B0A">
        <w:rPr>
          <w:rFonts w:ascii="Arial" w:hAnsi="Arial" w:cs="Arial"/>
          <w:sz w:val="24"/>
        </w:rPr>
        <w:t>as disposiciones establecidas en la normativa vigente</w:t>
      </w:r>
      <w:r w:rsidRPr="008C6B0A">
        <w:rPr>
          <w:rStyle w:val="Refdenotaalpie"/>
          <w:rFonts w:ascii="Arial" w:hAnsi="Arial" w:cs="Arial"/>
          <w:sz w:val="24"/>
        </w:rPr>
        <w:footnoteReference w:id="2"/>
      </w:r>
      <w:r w:rsidRPr="008C6B0A">
        <w:rPr>
          <w:rFonts w:ascii="Arial" w:hAnsi="Arial" w:cs="Arial"/>
          <w:sz w:val="24"/>
        </w:rPr>
        <w:t xml:space="preserve">, se aplicaron en la recuperación del presupuesto de las </w:t>
      </w:r>
      <w:r>
        <w:rPr>
          <w:rFonts w:ascii="Arial" w:hAnsi="Arial" w:cs="Arial"/>
          <w:sz w:val="24"/>
        </w:rPr>
        <w:t>s</w:t>
      </w:r>
      <w:r w:rsidRPr="008C6B0A">
        <w:rPr>
          <w:rFonts w:ascii="Arial" w:hAnsi="Arial" w:cs="Arial"/>
          <w:sz w:val="24"/>
        </w:rPr>
        <w:t>uperintendencias</w:t>
      </w:r>
      <w:r>
        <w:rPr>
          <w:rFonts w:ascii="Arial" w:hAnsi="Arial" w:cs="Arial"/>
          <w:sz w:val="24"/>
        </w:rPr>
        <w:t>,</w:t>
      </w:r>
      <w:r w:rsidRPr="008C6B0A">
        <w:rPr>
          <w:rFonts w:ascii="Arial" w:hAnsi="Arial" w:cs="Arial"/>
          <w:sz w:val="24"/>
        </w:rPr>
        <w:t xml:space="preserve"> financiado por el Banco Central para el periodo 202</w:t>
      </w:r>
      <w:r>
        <w:rPr>
          <w:rFonts w:ascii="Arial" w:hAnsi="Arial" w:cs="Arial"/>
          <w:sz w:val="24"/>
        </w:rPr>
        <w:t>3</w:t>
      </w:r>
      <w:r w:rsidRPr="008C6B0A">
        <w:rPr>
          <w:rFonts w:ascii="Arial" w:hAnsi="Arial" w:cs="Arial"/>
          <w:sz w:val="24"/>
        </w:rPr>
        <w:t>.</w:t>
      </w:r>
    </w:p>
    <w:p w14:paraId="5108A93A" w14:textId="77777777" w:rsidR="00DE6F2E" w:rsidRPr="00F73A40" w:rsidRDefault="00DE6F2E" w:rsidP="00DE6F2E">
      <w:pPr>
        <w:pStyle w:val="Prrafodelista"/>
        <w:ind w:left="357"/>
        <w:contextualSpacing w:val="0"/>
        <w:rPr>
          <w:rFonts w:ascii="Arial" w:hAnsi="Arial" w:cs="Arial"/>
          <w:sz w:val="24"/>
        </w:rPr>
      </w:pPr>
    </w:p>
    <w:p w14:paraId="5450F8D3" w14:textId="77777777" w:rsidR="00DE6F2E" w:rsidRPr="00A47531" w:rsidRDefault="00DE6F2E" w:rsidP="00DE6F2E">
      <w:pPr>
        <w:pStyle w:val="Prrafodelista"/>
        <w:numPr>
          <w:ilvl w:val="0"/>
          <w:numId w:val="14"/>
        </w:numPr>
        <w:ind w:left="357" w:hanging="357"/>
        <w:contextualSpacing w:val="0"/>
        <w:rPr>
          <w:rFonts w:ascii="Arial" w:hAnsi="Arial" w:cs="Arial"/>
          <w:sz w:val="24"/>
        </w:rPr>
      </w:pPr>
      <w:r>
        <w:rPr>
          <w:rFonts w:ascii="Arial" w:hAnsi="Arial" w:cs="Arial"/>
          <w:sz w:val="24"/>
        </w:rPr>
        <w:t>L</w:t>
      </w:r>
      <w:r w:rsidRPr="00A47531">
        <w:rPr>
          <w:rFonts w:ascii="Arial" w:hAnsi="Arial" w:cs="Arial"/>
          <w:sz w:val="24"/>
        </w:rPr>
        <w:t xml:space="preserve">a integridad de los datos remitidos por las superintendencias sobre la distribución del presupuesto anual aprobado, así como del cobro mensual </w:t>
      </w:r>
      <w:r w:rsidRPr="00A47531">
        <w:rPr>
          <w:rFonts w:ascii="Arial" w:hAnsi="Arial" w:cs="Arial"/>
          <w:sz w:val="24"/>
        </w:rPr>
        <w:lastRenderedPageBreak/>
        <w:t>facturado a cada entidad adscrita y del pago recibido</w:t>
      </w:r>
      <w:r>
        <w:rPr>
          <w:rFonts w:ascii="Arial" w:hAnsi="Arial" w:cs="Arial"/>
          <w:sz w:val="24"/>
        </w:rPr>
        <w:t>,</w:t>
      </w:r>
      <w:r w:rsidRPr="00A47531">
        <w:rPr>
          <w:rFonts w:ascii="Arial" w:hAnsi="Arial" w:cs="Arial"/>
          <w:sz w:val="24"/>
        </w:rPr>
        <w:t xml:space="preserve"> como parte de la recuperación del financiamiento realizado por el Banco Central.</w:t>
      </w:r>
    </w:p>
    <w:p w14:paraId="41669FED" w14:textId="77777777" w:rsidR="00DE6F2E" w:rsidRPr="00F73A40" w:rsidRDefault="00DE6F2E" w:rsidP="00DE6F2E">
      <w:pPr>
        <w:pStyle w:val="Prrafodelista"/>
        <w:rPr>
          <w:rFonts w:ascii="Arial" w:hAnsi="Arial" w:cs="Arial"/>
          <w:sz w:val="24"/>
        </w:rPr>
      </w:pPr>
    </w:p>
    <w:p w14:paraId="191228CF" w14:textId="77777777" w:rsidR="00DE6F2E" w:rsidRDefault="00DE6F2E" w:rsidP="00DE6F2E">
      <w:pPr>
        <w:pStyle w:val="Prrafodelista"/>
        <w:numPr>
          <w:ilvl w:val="0"/>
          <w:numId w:val="14"/>
        </w:numPr>
        <w:ind w:left="357" w:hanging="357"/>
        <w:contextualSpacing w:val="0"/>
        <w:rPr>
          <w:rFonts w:ascii="Arial" w:hAnsi="Arial" w:cs="Arial"/>
          <w:sz w:val="24"/>
        </w:rPr>
      </w:pPr>
      <w:r>
        <w:rPr>
          <w:rFonts w:ascii="Arial" w:hAnsi="Arial" w:cs="Arial"/>
          <w:sz w:val="24"/>
        </w:rPr>
        <w:t>L</w:t>
      </w:r>
      <w:r w:rsidRPr="00112CE2">
        <w:rPr>
          <w:rFonts w:ascii="Arial" w:hAnsi="Arial" w:cs="Arial"/>
          <w:sz w:val="24"/>
        </w:rPr>
        <w:t xml:space="preserve">a razonabilidad del monto de la recuperación del presupuesto </w:t>
      </w:r>
      <w:r w:rsidRPr="00A47531">
        <w:rPr>
          <w:rFonts w:ascii="Arial" w:hAnsi="Arial" w:cs="Arial"/>
          <w:sz w:val="24"/>
        </w:rPr>
        <w:t>financiado por el Banco Central a las superintendencias.</w:t>
      </w:r>
    </w:p>
    <w:p w14:paraId="68B43B47" w14:textId="77777777" w:rsidR="00DE6F2E" w:rsidRPr="000465AC" w:rsidRDefault="00DE6F2E" w:rsidP="00DE6F2E">
      <w:pPr>
        <w:rPr>
          <w:rFonts w:ascii="Arial" w:hAnsi="Arial" w:cs="Arial"/>
          <w:sz w:val="24"/>
        </w:rPr>
      </w:pPr>
    </w:p>
    <w:p w14:paraId="655307D4" w14:textId="77777777" w:rsidR="00DE6F2E" w:rsidRPr="00A47531" w:rsidRDefault="00DE6F2E" w:rsidP="00DE6F2E">
      <w:pPr>
        <w:pStyle w:val="Prrafodelista"/>
        <w:numPr>
          <w:ilvl w:val="0"/>
          <w:numId w:val="14"/>
        </w:numPr>
        <w:ind w:left="357" w:hanging="357"/>
        <w:contextualSpacing w:val="0"/>
        <w:rPr>
          <w:rFonts w:ascii="Arial" w:hAnsi="Arial" w:cs="Arial"/>
          <w:sz w:val="24"/>
        </w:rPr>
      </w:pPr>
      <w:r>
        <w:rPr>
          <w:rFonts w:ascii="Arial" w:hAnsi="Arial" w:cs="Arial"/>
          <w:sz w:val="24"/>
        </w:rPr>
        <w:t>E</w:t>
      </w:r>
      <w:r w:rsidRPr="00A47531">
        <w:rPr>
          <w:rFonts w:ascii="Arial" w:hAnsi="Arial" w:cs="Arial"/>
          <w:sz w:val="24"/>
        </w:rPr>
        <w:t>xactitud e integridad del registro contable mensual de la recuperación del financiamiento a las superintendencias</w:t>
      </w:r>
      <w:r w:rsidRPr="00A47531">
        <w:rPr>
          <w:rFonts w:ascii="Arial" w:eastAsia="Arial" w:hAnsi="Arial" w:cs="Arial"/>
          <w:color w:val="000000" w:themeColor="text1"/>
          <w:lang w:eastAsia="uk-UA"/>
        </w:rPr>
        <w:t>.</w:t>
      </w:r>
    </w:p>
    <w:p w14:paraId="3D604594" w14:textId="77777777" w:rsidR="00DE6F2E" w:rsidRPr="00A47531" w:rsidRDefault="00DE6F2E" w:rsidP="00DE6F2E">
      <w:pPr>
        <w:rPr>
          <w:rFonts w:ascii="Arial" w:hAnsi="Arial" w:cs="Arial"/>
          <w:sz w:val="24"/>
        </w:rPr>
      </w:pPr>
    </w:p>
    <w:p w14:paraId="315A1862" w14:textId="77777777" w:rsidR="00DE6F2E" w:rsidRPr="00A47531" w:rsidRDefault="00DE6F2E" w:rsidP="00DE6F2E">
      <w:pPr>
        <w:pStyle w:val="Prrafodelista"/>
        <w:numPr>
          <w:ilvl w:val="0"/>
          <w:numId w:val="14"/>
        </w:numPr>
        <w:ind w:left="357" w:hanging="357"/>
        <w:contextualSpacing w:val="0"/>
        <w:rPr>
          <w:rFonts w:ascii="Arial" w:hAnsi="Arial" w:cs="Arial"/>
          <w:sz w:val="24"/>
        </w:rPr>
      </w:pPr>
      <w:r>
        <w:rPr>
          <w:rFonts w:ascii="Arial" w:hAnsi="Arial" w:cs="Arial"/>
          <w:sz w:val="24"/>
        </w:rPr>
        <w:t>L</w:t>
      </w:r>
      <w:r w:rsidRPr="00A47531">
        <w:rPr>
          <w:rFonts w:ascii="Arial" w:hAnsi="Arial" w:cs="Arial"/>
          <w:sz w:val="24"/>
        </w:rPr>
        <w:t xml:space="preserve">iquidación anual del cobro a las superintendencias, según el gasto efectivo del presupuesto al 31 de diciembre 2023, así como el saldo disponible en obligaciones por pagar, producto de las aportaciones recibidas en exceso durante el citado periodo. </w:t>
      </w:r>
    </w:p>
    <w:p w14:paraId="6866245E" w14:textId="77777777" w:rsidR="00DE6F2E" w:rsidRPr="00A47531" w:rsidRDefault="00DE6F2E" w:rsidP="00DE6F2E">
      <w:pPr>
        <w:pStyle w:val="Prrafodelista"/>
        <w:rPr>
          <w:rFonts w:ascii="Arial" w:hAnsi="Arial" w:cs="Arial"/>
          <w:sz w:val="24"/>
        </w:rPr>
      </w:pPr>
    </w:p>
    <w:p w14:paraId="318E0FE7" w14:textId="77777777" w:rsidR="00DE6F2E" w:rsidRPr="00A47531" w:rsidRDefault="00DE6F2E" w:rsidP="00DE6F2E">
      <w:pPr>
        <w:pStyle w:val="Prrafodelista"/>
        <w:numPr>
          <w:ilvl w:val="0"/>
          <w:numId w:val="14"/>
        </w:numPr>
        <w:ind w:left="357" w:hanging="357"/>
        <w:contextualSpacing w:val="0"/>
        <w:rPr>
          <w:rFonts w:ascii="Arial" w:hAnsi="Arial" w:cs="Arial"/>
          <w:sz w:val="24"/>
        </w:rPr>
      </w:pPr>
      <w:r>
        <w:rPr>
          <w:rFonts w:ascii="Arial" w:eastAsia="Arial" w:hAnsi="Arial" w:cs="Arial"/>
          <w:sz w:val="24"/>
        </w:rPr>
        <w:t>S</w:t>
      </w:r>
      <w:r w:rsidRPr="00A47531">
        <w:rPr>
          <w:rFonts w:ascii="Arial" w:eastAsia="Arial" w:hAnsi="Arial" w:cs="Arial"/>
          <w:sz w:val="24"/>
        </w:rPr>
        <w:t>aldo acumulado al inicio del ejercicio 2023 de la cuenta por pagar supervisados periodos anteriores.</w:t>
      </w:r>
    </w:p>
    <w:bookmarkEnd w:id="1"/>
    <w:p w14:paraId="3204DE05" w14:textId="77777777" w:rsidR="00DE6F2E" w:rsidRPr="00A47531" w:rsidRDefault="00DE6F2E" w:rsidP="00DE6F2E">
      <w:pPr>
        <w:pStyle w:val="NormalWeb"/>
        <w:spacing w:before="0" w:beforeAutospacing="0" w:after="0" w:afterAutospacing="0"/>
        <w:jc w:val="both"/>
        <w:rPr>
          <w:rFonts w:ascii="Arial" w:hAnsi="Arial" w:cs="Arial"/>
        </w:rPr>
      </w:pPr>
    </w:p>
    <w:p w14:paraId="7FC63C21" w14:textId="77777777" w:rsidR="00DE6F2E" w:rsidRPr="00EB39A1" w:rsidRDefault="00DE6F2E" w:rsidP="00DE6F2E">
      <w:pPr>
        <w:pStyle w:val="NormalWeb"/>
        <w:spacing w:before="0" w:beforeAutospacing="0" w:after="0" w:afterAutospacing="0"/>
        <w:jc w:val="both"/>
        <w:rPr>
          <w:rFonts w:ascii="Arial" w:hAnsi="Arial" w:cs="Arial"/>
        </w:rPr>
      </w:pPr>
      <w:r w:rsidRPr="00A47531">
        <w:rPr>
          <w:rFonts w:ascii="Arial" w:hAnsi="Arial" w:cs="Arial"/>
        </w:rPr>
        <w:t>La Auditoría Interna realizó la conferencia final de este informe con la División Transformación y Estrategia y con la Gerencia, como parte de la comunicación preliminar de los resultados.</w:t>
      </w:r>
    </w:p>
    <w:p w14:paraId="72FDC7C7" w14:textId="77777777" w:rsidR="00DE6F2E" w:rsidRDefault="00DE6F2E" w:rsidP="00DE6F2E">
      <w:pPr>
        <w:pStyle w:val="NormalWeb"/>
        <w:spacing w:before="0" w:beforeAutospacing="0" w:after="0" w:afterAutospacing="0"/>
        <w:jc w:val="both"/>
        <w:rPr>
          <w:rFonts w:ascii="Arial" w:hAnsi="Arial" w:cs="Arial"/>
        </w:rPr>
      </w:pPr>
    </w:p>
    <w:p w14:paraId="0CE61EFF" w14:textId="77777777" w:rsidR="00DE6F2E" w:rsidRPr="006329ED" w:rsidRDefault="00DE6F2E" w:rsidP="00DE6F2E">
      <w:pPr>
        <w:rPr>
          <w:rFonts w:ascii="Arial" w:hAnsi="Arial" w:cs="Arial"/>
          <w:sz w:val="24"/>
          <w:lang w:val="pt-BR"/>
        </w:rPr>
      </w:pPr>
      <w:bookmarkStart w:id="2" w:name="R_043962_40718750"/>
      <w:bookmarkEnd w:id="2"/>
      <w:r w:rsidRPr="006329ED">
        <w:rPr>
          <w:rFonts w:ascii="Arial" w:hAnsi="Arial" w:cs="Arial"/>
          <w:noProof/>
          <w:sz w:val="24"/>
          <w:lang w:val="es-CR" w:eastAsia="es-CR"/>
        </w:rPr>
        <w:drawing>
          <wp:anchor distT="0" distB="0" distL="114300" distR="114300" simplePos="0" relativeHeight="251659264" behindDoc="1" locked="0" layoutInCell="1" allowOverlap="1" wp14:anchorId="2682AB66" wp14:editId="7DF6299D">
            <wp:simplePos x="0" y="0"/>
            <wp:positionH relativeFrom="column">
              <wp:posOffset>-143510</wp:posOffset>
            </wp:positionH>
            <wp:positionV relativeFrom="paragraph">
              <wp:posOffset>140335</wp:posOffset>
            </wp:positionV>
            <wp:extent cx="2506980" cy="38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r w:rsidRPr="006329ED">
        <w:rPr>
          <w:rFonts w:ascii="Arial" w:hAnsi="Arial" w:cs="Arial"/>
          <w:sz w:val="24"/>
          <w:lang w:val="pt-BR"/>
        </w:rPr>
        <w:t>Atentamente,</w:t>
      </w:r>
    </w:p>
    <w:p w14:paraId="733FE04B" w14:textId="77777777" w:rsidR="00DE6F2E" w:rsidRPr="006329ED" w:rsidRDefault="00DE6F2E" w:rsidP="00DE6F2E">
      <w:pPr>
        <w:ind w:left="360"/>
        <w:rPr>
          <w:rFonts w:ascii="Arial" w:hAnsi="Arial" w:cs="Arial"/>
          <w:sz w:val="24"/>
          <w:lang w:val="pt-BR"/>
        </w:rPr>
      </w:pPr>
    </w:p>
    <w:p w14:paraId="748C9E45" w14:textId="77777777" w:rsidR="00DE6F2E" w:rsidRPr="006329ED" w:rsidRDefault="00DE6F2E" w:rsidP="00DE6F2E">
      <w:pPr>
        <w:rPr>
          <w:rFonts w:ascii="Arial" w:hAnsi="Arial" w:cs="Arial"/>
          <w:sz w:val="24"/>
          <w:lang w:val="pt-BR"/>
        </w:rPr>
      </w:pPr>
    </w:p>
    <w:p w14:paraId="51A0B52D" w14:textId="77777777" w:rsidR="00DE6F2E" w:rsidRPr="006329ED" w:rsidRDefault="00DE6F2E" w:rsidP="00DE6F2E">
      <w:pPr>
        <w:rPr>
          <w:rFonts w:ascii="Arial" w:hAnsi="Arial" w:cs="Arial"/>
          <w:sz w:val="24"/>
          <w:lang w:val="pt-BR"/>
        </w:rPr>
      </w:pPr>
      <w:r>
        <w:rPr>
          <w:rFonts w:ascii="Arial" w:hAnsi="Arial" w:cs="Arial"/>
          <w:sz w:val="24"/>
          <w:lang w:val="pt-BR"/>
        </w:rPr>
        <w:t>Maribel Lizano Barahona</w:t>
      </w:r>
    </w:p>
    <w:p w14:paraId="1D535FC8" w14:textId="77777777" w:rsidR="00DE6F2E" w:rsidRPr="006329ED" w:rsidRDefault="00DE6F2E" w:rsidP="00DE6F2E">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14:paraId="228E4CBB" w14:textId="77777777" w:rsidR="00DE6F2E" w:rsidRDefault="00DE6F2E" w:rsidP="00DE6F2E">
      <w:pPr>
        <w:pStyle w:val="Negrita"/>
        <w:rPr>
          <w:rFonts w:ascii="Arial" w:hAnsi="Arial" w:cs="Arial"/>
          <w:lang w:val="pt-BR"/>
        </w:rPr>
      </w:pPr>
    </w:p>
    <w:p w14:paraId="6B470B61" w14:textId="77777777" w:rsidR="00DE6F2E" w:rsidRPr="006329ED" w:rsidRDefault="00DE6F2E" w:rsidP="00DE6F2E">
      <w:pPr>
        <w:pStyle w:val="Negrita"/>
        <w:rPr>
          <w:rFonts w:ascii="Arial" w:hAnsi="Arial" w:cs="Arial"/>
          <w:lang w:val="pt-BR"/>
        </w:rPr>
      </w:pPr>
    </w:p>
    <w:p w14:paraId="1F8C775C" w14:textId="2CC42923" w:rsidR="00DE6F2E" w:rsidRPr="00A47531" w:rsidRDefault="00DE6F2E" w:rsidP="00DE6F2E">
      <w:pPr>
        <w:pStyle w:val="CC"/>
        <w:rPr>
          <w:rFonts w:ascii="Arial" w:hAnsi="Arial" w:cs="Arial"/>
          <w:sz w:val="16"/>
          <w:szCs w:val="16"/>
        </w:rPr>
      </w:pPr>
      <w:bookmarkStart w:id="3" w:name="_Hlk175152186"/>
      <w:r w:rsidRPr="00A47531">
        <w:rPr>
          <w:rFonts w:ascii="Arial" w:hAnsi="Arial" w:cs="Arial"/>
        </w:rPr>
        <w:t>C</w:t>
      </w:r>
      <w:r>
        <w:rPr>
          <w:rFonts w:ascii="Arial" w:hAnsi="Arial" w:cs="Arial"/>
        </w:rPr>
        <w:t>c.</w:t>
      </w:r>
      <w:bookmarkEnd w:id="3"/>
      <w:r w:rsidRPr="00A47531">
        <w:rPr>
          <w:rFonts w:ascii="Arial" w:hAnsi="Arial" w:cs="Arial"/>
        </w:rPr>
        <w:tab/>
      </w:r>
      <w:r w:rsidRPr="00A47531">
        <w:rPr>
          <w:rFonts w:ascii="Arial" w:hAnsi="Arial" w:cs="Arial"/>
          <w:sz w:val="16"/>
          <w:szCs w:val="16"/>
        </w:rPr>
        <w:t>División Transformación y Estrategia</w:t>
      </w:r>
    </w:p>
    <w:p w14:paraId="6ACBC648" w14:textId="77777777" w:rsidR="00DE6F2E" w:rsidRPr="006329ED" w:rsidRDefault="00DE6F2E" w:rsidP="00DE6F2E">
      <w:pPr>
        <w:pStyle w:val="CC"/>
        <w:rPr>
          <w:rFonts w:ascii="Arial" w:hAnsi="Arial" w:cs="Arial"/>
        </w:rPr>
      </w:pPr>
    </w:p>
    <w:p w14:paraId="0D550F1E" w14:textId="77777777" w:rsidR="00A26E9E" w:rsidRPr="002307FE" w:rsidRDefault="00A26E9E" w:rsidP="002307FE"/>
    <w:sectPr w:rsidR="00A26E9E" w:rsidRPr="002307FE" w:rsidSect="00060C0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3FA6" w14:textId="77777777" w:rsidR="00DE6F2E" w:rsidRDefault="00DE6F2E" w:rsidP="00D43D57">
      <w:r>
        <w:separator/>
      </w:r>
    </w:p>
  </w:endnote>
  <w:endnote w:type="continuationSeparator" w:id="0">
    <w:p w14:paraId="16FE8E86" w14:textId="77777777" w:rsidR="00DE6F2E" w:rsidRDefault="00DE6F2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9470" w14:textId="06278553" w:rsidR="00EC7A70" w:rsidRDefault="00DE6F2E">
    <w:pPr>
      <w:pStyle w:val="Piedepgina"/>
    </w:pPr>
    <w:r>
      <w:rPr>
        <w:noProof/>
      </w:rPr>
      <mc:AlternateContent>
        <mc:Choice Requires="wps">
          <w:drawing>
            <wp:anchor distT="0" distB="0" distL="0" distR="0" simplePos="0" relativeHeight="251698176" behindDoc="0" locked="0" layoutInCell="1" allowOverlap="1" wp14:anchorId="35327959" wp14:editId="480F8171">
              <wp:simplePos x="635" y="635"/>
              <wp:positionH relativeFrom="page">
                <wp:align>center</wp:align>
              </wp:positionH>
              <wp:positionV relativeFrom="page">
                <wp:align>bottom</wp:align>
              </wp:positionV>
              <wp:extent cx="443865" cy="443865"/>
              <wp:effectExtent l="0" t="0" r="0" b="0"/>
              <wp:wrapNone/>
              <wp:docPr id="12" name="Cuadro de texto 1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20785" w14:textId="79A74D62" w:rsidR="00DE6F2E" w:rsidRPr="00DE6F2E" w:rsidRDefault="00DE6F2E" w:rsidP="00DE6F2E">
                          <w:pPr>
                            <w:rPr>
                              <w:rFonts w:ascii="Calibri" w:eastAsia="Calibri" w:hAnsi="Calibri" w:cs="Calibri"/>
                              <w:noProof/>
                              <w:color w:val="000000"/>
                              <w:sz w:val="20"/>
                              <w:szCs w:val="20"/>
                            </w:rPr>
                          </w:pPr>
                          <w:r w:rsidRPr="00DE6F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5327959">
              <v:stroke joinstyle="miter"/>
              <v:path gradientshapeok="t" o:connecttype="rect"/>
            </v:shapetype>
            <v:shape id="Cuadro de texto 12" style="position:absolute;left:0;text-align:left;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DE6F2E" w:rsidR="00DE6F2E" w:rsidP="00DE6F2E" w:rsidRDefault="00DE6F2E" w14:paraId="47C20785" w14:textId="79A74D62">
                    <w:pPr>
                      <w:rPr>
                        <w:rFonts w:ascii="Calibri" w:hAnsi="Calibri" w:eastAsia="Calibri" w:cs="Calibri"/>
                        <w:noProof/>
                        <w:color w:val="000000"/>
                        <w:sz w:val="20"/>
                        <w:szCs w:val="20"/>
                      </w:rPr>
                    </w:pPr>
                    <w:r w:rsidRPr="00DE6F2E">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1CD7" w14:textId="28085742" w:rsidR="002307FE" w:rsidRDefault="00DE6F2E" w:rsidP="00FA54D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anchorId="63084615" wp14:editId="70031BDF">
              <wp:simplePos x="635" y="635"/>
              <wp:positionH relativeFrom="page">
                <wp:align>center</wp:align>
              </wp:positionH>
              <wp:positionV relativeFrom="page">
                <wp:align>bottom</wp:align>
              </wp:positionV>
              <wp:extent cx="443865" cy="443865"/>
              <wp:effectExtent l="0" t="0" r="0" b="0"/>
              <wp:wrapNone/>
              <wp:docPr id="13" name="Cuadro de texto 1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6ECFE" w14:textId="776E9613" w:rsidR="00DE6F2E" w:rsidRPr="00DE6F2E" w:rsidRDefault="00DE6F2E" w:rsidP="00DE6F2E">
                          <w:pPr>
                            <w:rPr>
                              <w:rFonts w:ascii="Calibri" w:eastAsia="Calibri" w:hAnsi="Calibri" w:cs="Calibri"/>
                              <w:noProof/>
                              <w:color w:val="000000"/>
                              <w:sz w:val="20"/>
                              <w:szCs w:val="20"/>
                            </w:rPr>
                          </w:pPr>
                          <w:r w:rsidRPr="00DE6F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63084615">
              <v:stroke joinstyle="miter"/>
              <v:path gradientshapeok="t" o:connecttype="rect"/>
            </v:shapetype>
            <v:shape id="Cuadro de texto 13"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DE6F2E" w:rsidR="00DE6F2E" w:rsidP="00DE6F2E" w:rsidRDefault="00DE6F2E" w14:paraId="1276ECFE" w14:textId="776E9613">
                    <w:pPr>
                      <w:rPr>
                        <w:rFonts w:ascii="Calibri" w:hAnsi="Calibri" w:eastAsia="Calibri" w:cs="Calibri"/>
                        <w:noProof/>
                        <w:color w:val="000000"/>
                        <w:sz w:val="20"/>
                        <w:szCs w:val="20"/>
                      </w:rPr>
                    </w:pPr>
                    <w:r w:rsidRPr="00DE6F2E">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910B805B833D4C748040AA70B38B26A4"/>
        </w:placeholder>
        <w:text/>
      </w:sdtPr>
      <w:sdtEndPr/>
      <w:sdtContent>
        <w:r>
          <w:t>AI-0150-2024</w:t>
        </w:r>
      </w:sdtContent>
    </w:sdt>
  </w:p>
  <w:p w14:paraId="1F9C449E" w14:textId="77777777" w:rsidR="002307FE" w:rsidRDefault="002307FE" w:rsidP="00FA54DF">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49011313" w14:textId="77777777" w:rsidR="00D2424F" w:rsidRDefault="00E220C4" w:rsidP="00FA54DF">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anchorId="1BDF11EE" wp14:editId="57BF9BDF">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37BE"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53DD51DF"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6C9AB213" w14:textId="77777777" w:rsidR="00D2424F" w:rsidRDefault="00D2424F" w:rsidP="00FA54DF">
                          <w:pPr>
                            <w:rPr>
                              <w:color w:val="003A68"/>
                              <w:sz w:val="14"/>
                              <w:szCs w:val="14"/>
                            </w:rPr>
                          </w:pPr>
                          <w:r w:rsidRPr="00FA54DF">
                            <w:rPr>
                              <w:color w:val="003A68"/>
                              <w:sz w:val="14"/>
                              <w:szCs w:val="14"/>
                            </w:rPr>
                            <w:t>Apdo. 10058-1000</w:t>
                          </w:r>
                        </w:p>
                        <w:p w14:paraId="05AE697C" w14:textId="77777777" w:rsidR="00D2424F" w:rsidRDefault="00D2424F" w:rsidP="00FA54DF">
                          <w:pPr>
                            <w:rPr>
                              <w:color w:val="003A68"/>
                              <w:sz w:val="14"/>
                              <w:szCs w:val="14"/>
                            </w:rPr>
                          </w:pPr>
                          <w:r w:rsidRPr="00FA54DF">
                            <w:rPr>
                              <w:color w:val="003A68"/>
                              <w:sz w:val="14"/>
                              <w:szCs w:val="14"/>
                            </w:rPr>
                            <w:t>Av. 1 y Central, Calles 2 y 4</w:t>
                          </w:r>
                        </w:p>
                        <w:p w14:paraId="0F1160CA" w14:textId="77777777" w:rsidR="00D2424F" w:rsidRPr="00FA54DF" w:rsidRDefault="00D2424F" w:rsidP="00FA54D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1BDF11EE">
              <v:textbox>
                <w:txbxContent>
                  <w:p w:rsidRPr="00FA54DF" w:rsidR="00D2424F" w:rsidP="00FA54DF" w:rsidRDefault="00D2424F" w14:paraId="3EEE37BE"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3DD51DF"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6C9AB213" w14:textId="77777777">
                    <w:pPr>
                      <w:rPr>
                        <w:color w:val="003A68"/>
                        <w:sz w:val="14"/>
                        <w:szCs w:val="14"/>
                      </w:rPr>
                    </w:pPr>
                    <w:r w:rsidRPr="00FA54DF">
                      <w:rPr>
                        <w:color w:val="003A68"/>
                        <w:sz w:val="14"/>
                        <w:szCs w:val="14"/>
                      </w:rPr>
                      <w:t>Apdo. 10058-1000</w:t>
                    </w:r>
                  </w:p>
                  <w:p w:rsidR="00D2424F" w:rsidP="00FA54DF" w:rsidRDefault="00D2424F" w14:paraId="05AE697C" w14:textId="77777777">
                    <w:pPr>
                      <w:rPr>
                        <w:color w:val="003A68"/>
                        <w:sz w:val="14"/>
                        <w:szCs w:val="14"/>
                      </w:rPr>
                    </w:pPr>
                    <w:r w:rsidRPr="00FA54DF">
                      <w:rPr>
                        <w:color w:val="003A68"/>
                        <w:sz w:val="14"/>
                        <w:szCs w:val="14"/>
                      </w:rPr>
                      <w:t>Av. 1 y Central, Calles 2 y 4</w:t>
                    </w:r>
                  </w:p>
                  <w:p w:rsidRPr="00FA54DF" w:rsidR="00D2424F" w:rsidP="00FA54DF" w:rsidRDefault="00D2424F" w14:paraId="0F1160CA"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anchorId="6CCB8DA1" wp14:editId="58054E9A">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48B8" w14:textId="46BF9B85" w:rsidR="00F64992" w:rsidRDefault="00DE6F2E" w:rsidP="00F64992">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anchorId="3FBE0B64" wp14:editId="729AFC91">
              <wp:simplePos x="1409700" y="9283700"/>
              <wp:positionH relativeFrom="page">
                <wp:align>center</wp:align>
              </wp:positionH>
              <wp:positionV relativeFrom="page">
                <wp:align>bottom</wp:align>
              </wp:positionV>
              <wp:extent cx="443865" cy="443865"/>
              <wp:effectExtent l="0" t="0" r="0" b="0"/>
              <wp:wrapNone/>
              <wp:docPr id="11" name="Cuadro de texto 1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5BF8D" w14:textId="4E32396C" w:rsidR="00DE6F2E" w:rsidRPr="00DE6F2E" w:rsidRDefault="00DE6F2E" w:rsidP="00DE6F2E">
                          <w:pPr>
                            <w:rPr>
                              <w:rFonts w:ascii="Calibri" w:eastAsia="Calibri" w:hAnsi="Calibri" w:cs="Calibri"/>
                              <w:noProof/>
                              <w:color w:val="000000"/>
                              <w:sz w:val="20"/>
                              <w:szCs w:val="20"/>
                            </w:rPr>
                          </w:pPr>
                          <w:r w:rsidRPr="00DE6F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3FBE0B64">
              <v:stroke joinstyle="miter"/>
              <v:path gradientshapeok="t" o:connecttype="rect"/>
            </v:shapetype>
            <v:shape id="Cuadro de texto 11"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DE6F2E" w:rsidR="00DE6F2E" w:rsidP="00DE6F2E" w:rsidRDefault="00DE6F2E" w14:paraId="0725BF8D" w14:textId="4E32396C">
                    <w:pPr>
                      <w:rPr>
                        <w:rFonts w:ascii="Calibri" w:hAnsi="Calibri" w:eastAsia="Calibri" w:cs="Calibri"/>
                        <w:noProof/>
                        <w:color w:val="000000"/>
                        <w:sz w:val="20"/>
                        <w:szCs w:val="20"/>
                      </w:rPr>
                    </w:pPr>
                    <w:r w:rsidRPr="00DE6F2E">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anchorId="5AFE2315" wp14:editId="6294C6A7">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27AD"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1BD9CCC0"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0D909E5F" w14:textId="77777777" w:rsidR="00D2424F" w:rsidRDefault="00D2424F">
                          <w:pPr>
                            <w:rPr>
                              <w:color w:val="003A68"/>
                              <w:sz w:val="14"/>
                              <w:szCs w:val="14"/>
                            </w:rPr>
                          </w:pPr>
                          <w:r w:rsidRPr="00FA54DF">
                            <w:rPr>
                              <w:color w:val="003A68"/>
                              <w:sz w:val="14"/>
                              <w:szCs w:val="14"/>
                            </w:rPr>
                            <w:t>Apdo. 10058-1000</w:t>
                          </w:r>
                        </w:p>
                        <w:p w14:paraId="001853F8" w14:textId="77777777" w:rsidR="00B65442" w:rsidRDefault="00B65442" w:rsidP="00B65442">
                          <w:pPr>
                            <w:rPr>
                              <w:color w:val="003A68"/>
                              <w:sz w:val="14"/>
                              <w:szCs w:val="14"/>
                            </w:rPr>
                          </w:pPr>
                          <w:r w:rsidRPr="00FA54DF">
                            <w:rPr>
                              <w:color w:val="003A68"/>
                              <w:sz w:val="14"/>
                              <w:szCs w:val="14"/>
                            </w:rPr>
                            <w:t>Av. 1 y Central, Calles 2 y 4</w:t>
                          </w:r>
                        </w:p>
                        <w:p w14:paraId="405A0013" w14:textId="77777777" w:rsidR="00D2424F" w:rsidRPr="00FA54DF" w:rsidRDefault="00D2424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5AFE2315">
              <v:textbox>
                <w:txbxContent>
                  <w:p w:rsidRPr="00FA54DF" w:rsidR="00D2424F" w:rsidRDefault="00D2424F" w14:paraId="229727A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1BD9CCC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0D909E5F" w14:textId="77777777">
                    <w:pPr>
                      <w:rPr>
                        <w:color w:val="003A68"/>
                        <w:sz w:val="14"/>
                        <w:szCs w:val="14"/>
                      </w:rPr>
                    </w:pPr>
                    <w:r w:rsidRPr="00FA54DF">
                      <w:rPr>
                        <w:color w:val="003A68"/>
                        <w:sz w:val="14"/>
                        <w:szCs w:val="14"/>
                      </w:rPr>
                      <w:t>Apdo. 10058-1000</w:t>
                    </w:r>
                  </w:p>
                  <w:p w:rsidR="00B65442" w:rsidP="00B65442" w:rsidRDefault="00B65442" w14:paraId="001853F8" w14:textId="77777777">
                    <w:pPr>
                      <w:rPr>
                        <w:color w:val="003A68"/>
                        <w:sz w:val="14"/>
                        <w:szCs w:val="14"/>
                      </w:rPr>
                    </w:pPr>
                    <w:r w:rsidRPr="00FA54DF">
                      <w:rPr>
                        <w:color w:val="003A68"/>
                        <w:sz w:val="14"/>
                        <w:szCs w:val="14"/>
                      </w:rPr>
                      <w:t>Av. 1 y Central, Calles 2 y 4</w:t>
                    </w:r>
                  </w:p>
                  <w:p w:rsidRPr="00FA54DF" w:rsidR="00D2424F" w:rsidRDefault="00D2424F" w14:paraId="405A0013"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anchorId="0095CF56" wp14:editId="0E3FC17B">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A82A1" w14:textId="77777777" w:rsidR="00DC5D53" w:rsidRDefault="00DC5D53" w:rsidP="0025085A">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7C5219E9" w14:textId="77777777" w:rsidR="00F64992" w:rsidRDefault="00F64992" w:rsidP="00DC5D53">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86C5" w14:textId="77777777" w:rsidR="00DE6F2E" w:rsidRDefault="00DE6F2E" w:rsidP="00D43D57">
      <w:r>
        <w:separator/>
      </w:r>
    </w:p>
  </w:footnote>
  <w:footnote w:type="continuationSeparator" w:id="0">
    <w:p w14:paraId="6D3FE148" w14:textId="77777777" w:rsidR="00DE6F2E" w:rsidRDefault="00DE6F2E" w:rsidP="00D43D57">
      <w:r>
        <w:continuationSeparator/>
      </w:r>
    </w:p>
  </w:footnote>
  <w:footnote w:id="1">
    <w:p w14:paraId="67A769C3" w14:textId="77777777" w:rsidR="00DE6F2E" w:rsidRPr="00777592" w:rsidRDefault="00DE6F2E" w:rsidP="00DE6F2E">
      <w:pPr>
        <w:pStyle w:val="Textonotapie"/>
        <w:ind w:left="142" w:hanging="142"/>
        <w:rPr>
          <w:rFonts w:ascii="Arial" w:hAnsi="Arial" w:cs="Arial"/>
          <w:sz w:val="16"/>
          <w:szCs w:val="16"/>
        </w:rPr>
      </w:pPr>
      <w:r w:rsidRPr="00777592">
        <w:rPr>
          <w:rStyle w:val="Refdenotaalpie"/>
          <w:rFonts w:ascii="Arial" w:hAnsi="Arial" w:cs="Arial"/>
          <w:sz w:val="16"/>
          <w:szCs w:val="16"/>
        </w:rPr>
        <w:footnoteRef/>
      </w:r>
      <w:r w:rsidRPr="00777592">
        <w:rPr>
          <w:rFonts w:ascii="Arial" w:hAnsi="Arial" w:cs="Arial"/>
          <w:sz w:val="16"/>
          <w:szCs w:val="16"/>
        </w:rPr>
        <w:t xml:space="preserve"> Según una reforma aprobada en</w:t>
      </w:r>
      <w:r>
        <w:rPr>
          <w:rFonts w:ascii="Arial" w:hAnsi="Arial" w:cs="Arial"/>
          <w:sz w:val="16"/>
          <w:szCs w:val="16"/>
        </w:rPr>
        <w:t xml:space="preserve"> el</w:t>
      </w:r>
      <w:r w:rsidRPr="00777592">
        <w:rPr>
          <w:rFonts w:ascii="Arial" w:hAnsi="Arial" w:cs="Arial"/>
          <w:sz w:val="16"/>
          <w:szCs w:val="16"/>
        </w:rPr>
        <w:t xml:space="preserve"> año 2019 a los artículos 174 y 175 de la Ley Reguladora del Mercado de Valores No. 7732, mediante la Ley No. 9746 y sus transitorios, a partir del 2022 se aplicará el cobro paulatino del aporte de las entidades supervisadas por la Superintendencia General de Seguros (</w:t>
      </w:r>
      <w:r>
        <w:rPr>
          <w:rFonts w:ascii="Arial" w:hAnsi="Arial" w:cs="Arial"/>
          <w:sz w:val="16"/>
          <w:szCs w:val="16"/>
        </w:rPr>
        <w:t>Sugese</w:t>
      </w:r>
      <w:r w:rsidRPr="00777592">
        <w:rPr>
          <w:rFonts w:ascii="Arial" w:hAnsi="Arial" w:cs="Arial"/>
          <w:sz w:val="16"/>
          <w:szCs w:val="16"/>
        </w:rPr>
        <w:t>), iniciando en un 10% hasta llegar al 50% en 2027. Los aportes de los sujetos fiscalizados por las demás Superintendencias también se irán aumentando paulatinamente hasta un 50%, de igual forma en 2027.</w:t>
      </w:r>
    </w:p>
  </w:footnote>
  <w:footnote w:id="2">
    <w:p w14:paraId="1C915641" w14:textId="77777777" w:rsidR="00DE6F2E" w:rsidRDefault="00DE6F2E" w:rsidP="00DE6F2E">
      <w:pPr>
        <w:pStyle w:val="Textonotapie"/>
        <w:ind w:left="142" w:hanging="142"/>
        <w:rPr>
          <w:rFonts w:ascii="Arial" w:hAnsi="Arial" w:cs="Arial"/>
          <w:sz w:val="16"/>
          <w:szCs w:val="16"/>
        </w:rPr>
      </w:pPr>
      <w:r w:rsidRPr="007A1603">
        <w:rPr>
          <w:rStyle w:val="Refdenotaalpie"/>
          <w:rFonts w:ascii="Arial" w:hAnsi="Arial" w:cs="Arial"/>
          <w:sz w:val="16"/>
          <w:szCs w:val="16"/>
        </w:rPr>
        <w:footnoteRef/>
      </w:r>
      <w:r>
        <w:t xml:space="preserve"> </w:t>
      </w:r>
      <w:r w:rsidRPr="007A1603">
        <w:rPr>
          <w:rFonts w:ascii="Arial" w:hAnsi="Arial" w:cs="Arial"/>
          <w:b/>
          <w:bCs/>
          <w:sz w:val="16"/>
          <w:szCs w:val="16"/>
        </w:rPr>
        <w:t>1)</w:t>
      </w:r>
      <w:r w:rsidRPr="007A1603">
        <w:rPr>
          <w:rFonts w:ascii="Arial" w:hAnsi="Arial" w:cs="Arial"/>
          <w:sz w:val="16"/>
          <w:szCs w:val="16"/>
        </w:rPr>
        <w:t xml:space="preserve"> Ley reguladora del mercado de valores, Ley No. 7732, (Art. 174 y 175) vigente desde 27/01/1998, versión del 21/12/2022; </w:t>
      </w:r>
      <w:r w:rsidRPr="007A1603">
        <w:rPr>
          <w:rFonts w:ascii="Arial" w:hAnsi="Arial" w:cs="Arial"/>
          <w:b/>
          <w:bCs/>
          <w:sz w:val="16"/>
          <w:szCs w:val="16"/>
        </w:rPr>
        <w:t>2)</w:t>
      </w:r>
      <w:r w:rsidRPr="007A1603">
        <w:rPr>
          <w:rFonts w:ascii="Arial" w:hAnsi="Arial" w:cs="Arial"/>
          <w:sz w:val="16"/>
          <w:szCs w:val="16"/>
        </w:rPr>
        <w:t xml:space="preserve"> Reforma Ley Reguladora del Mercado de Valores, Ley Orgánica del Poder Judicial, Ley Orgánica del Banco Central de Costa Rica, Código Penal, Código de Comercio, Ley Reguladora del Mercado de Seguros, Régimen Privado de Pensiones Complementarias, Ley No. 9746 (Transitorios II y III), vigente desde 22/10/2019, versión del 16/10/2019; </w:t>
      </w:r>
      <w:r w:rsidRPr="007A1603">
        <w:rPr>
          <w:rFonts w:ascii="Arial" w:hAnsi="Arial" w:cs="Arial"/>
          <w:b/>
          <w:bCs/>
          <w:sz w:val="16"/>
          <w:szCs w:val="16"/>
        </w:rPr>
        <w:t>3)</w:t>
      </w:r>
      <w:r w:rsidRPr="007A1603">
        <w:rPr>
          <w:rFonts w:ascii="Arial" w:hAnsi="Arial" w:cs="Arial"/>
          <w:sz w:val="16"/>
          <w:szCs w:val="16"/>
        </w:rPr>
        <w:t xml:space="preserve"> Reglamento para regular la participación de los sujetos fiscalizados en el financiamiento del presupuesto de las superintendencias, Decreto ejecutivo No. 38292-H, vigente desde 01/01/2015, última modificación parcial realizada mediante Decreto Ejecutivo No. 42816 del 6 de enero del 2021, versión del 13/06/2022; </w:t>
      </w:r>
      <w:r w:rsidRPr="007A1603">
        <w:rPr>
          <w:rFonts w:ascii="Arial" w:hAnsi="Arial" w:cs="Arial"/>
          <w:b/>
          <w:bCs/>
          <w:sz w:val="16"/>
          <w:szCs w:val="16"/>
        </w:rPr>
        <w:t>4)</w:t>
      </w:r>
      <w:r w:rsidRPr="007A1603">
        <w:rPr>
          <w:rFonts w:ascii="Arial" w:hAnsi="Arial" w:cs="Arial"/>
          <w:sz w:val="16"/>
          <w:szCs w:val="16"/>
        </w:rPr>
        <w:t xml:space="preserve"> Reglamento de Organización Interna entre el Banco Central de Costa Rica, sus Órganos de Desconcentración Máxima y Otros Clientes Internos, aprobado en sesión 6057-2022 del 27/04/2022 y publicado en La Gaceta No.97 del 26/05/2022.</w:t>
      </w:r>
    </w:p>
    <w:p w14:paraId="0EA6AB1F" w14:textId="77777777" w:rsidR="00DE6F2E" w:rsidRPr="007A1603" w:rsidRDefault="00DE6F2E" w:rsidP="00DE6F2E">
      <w:pPr>
        <w:pStyle w:val="Textonotapie"/>
        <w:ind w:left="142" w:hanging="142"/>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D825" w14:textId="77777777" w:rsidR="00EC7A70" w:rsidRDefault="00EC7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9F58" w14:textId="77777777" w:rsidR="00D2424F" w:rsidRDefault="00EC7A70" w:rsidP="00984A65">
    <w:pPr>
      <w:pStyle w:val="Encabezado"/>
      <w:jc w:val="center"/>
    </w:pPr>
    <w:r>
      <w:rPr>
        <w:noProof/>
        <w:lang w:val="es-CR" w:eastAsia="es-CR"/>
      </w:rPr>
      <w:drawing>
        <wp:anchor distT="0" distB="0" distL="114300" distR="114300" simplePos="0" relativeHeight="251696128" behindDoc="1" locked="0" layoutInCell="1" allowOverlap="1" wp14:anchorId="4352E1C7" wp14:editId="5DAC5A98">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anchorId="381C681D" wp14:editId="34D2F3C8">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6360" w14:textId="77777777" w:rsidR="00D2424F" w:rsidRDefault="005F02FD" w:rsidP="00984A65">
    <w:pPr>
      <w:pStyle w:val="Encabezado"/>
      <w:jc w:val="center"/>
    </w:pPr>
    <w:r>
      <w:rPr>
        <w:noProof/>
        <w:lang w:val="es-CR" w:eastAsia="es-CR"/>
      </w:rPr>
      <w:drawing>
        <wp:anchor distT="0" distB="0" distL="114300" distR="114300" simplePos="0" relativeHeight="251694080" behindDoc="1" locked="0" layoutInCell="1" allowOverlap="1" wp14:anchorId="5EA54030" wp14:editId="049C4DE7">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anchorId="7B654FEF" wp14:editId="78B88CCA">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86F0F4C"/>
    <w:multiLevelType w:val="hybridMultilevel"/>
    <w:tmpl w:val="04F44FF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856269D"/>
    <w:multiLevelType w:val="hybridMultilevel"/>
    <w:tmpl w:val="50728012"/>
    <w:lvl w:ilvl="0" w:tplc="A6CECEE4">
      <w:start w:val="1"/>
      <w:numFmt w:val="bullet"/>
      <w:lvlText w:val=""/>
      <w:lvlJc w:val="left"/>
      <w:pPr>
        <w:ind w:left="1080" w:hanging="360"/>
      </w:pPr>
      <w:rPr>
        <w:rFonts w:ascii="Symbol" w:hAnsi="Symbol" w:hint="default"/>
        <w:color w:val="000000" w:themeColor="text1"/>
      </w:rPr>
    </w:lvl>
    <w:lvl w:ilvl="1" w:tplc="140A000D">
      <w:start w:val="1"/>
      <w:numFmt w:val="bullet"/>
      <w:lvlText w:val=""/>
      <w:lvlJc w:val="left"/>
      <w:pPr>
        <w:ind w:left="1800" w:hanging="360"/>
      </w:pPr>
      <w:rPr>
        <w:rFonts w:ascii="Wingdings" w:hAnsi="Wingdings"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2016833713">
    <w:abstractNumId w:val="10"/>
  </w:num>
  <w:num w:numId="2" w16cid:durableId="792602874">
    <w:abstractNumId w:val="12"/>
  </w:num>
  <w:num w:numId="3" w16cid:durableId="821431739">
    <w:abstractNumId w:val="9"/>
  </w:num>
  <w:num w:numId="4" w16cid:durableId="160202114">
    <w:abstractNumId w:val="7"/>
  </w:num>
  <w:num w:numId="5" w16cid:durableId="214582711">
    <w:abstractNumId w:val="6"/>
  </w:num>
  <w:num w:numId="6" w16cid:durableId="814689698">
    <w:abstractNumId w:val="5"/>
  </w:num>
  <w:num w:numId="7" w16cid:durableId="1293366231">
    <w:abstractNumId w:val="4"/>
  </w:num>
  <w:num w:numId="8" w16cid:durableId="1556621103">
    <w:abstractNumId w:val="8"/>
  </w:num>
  <w:num w:numId="9" w16cid:durableId="406389085">
    <w:abstractNumId w:val="3"/>
  </w:num>
  <w:num w:numId="10" w16cid:durableId="1275332111">
    <w:abstractNumId w:val="2"/>
  </w:num>
  <w:num w:numId="11" w16cid:durableId="584385490">
    <w:abstractNumId w:val="1"/>
  </w:num>
  <w:num w:numId="12" w16cid:durableId="992030878">
    <w:abstractNumId w:val="0"/>
  </w:num>
  <w:num w:numId="13" w16cid:durableId="712266250">
    <w:abstractNumId w:val="11"/>
  </w:num>
  <w:num w:numId="14" w16cid:durableId="425927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E"/>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A7FEC"/>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DE6F2E"/>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95DB"/>
  <w15:docId w15:val="{2C7BD908-996A-4397-9F6A-C3E702AB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DE6F2E"/>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DE6F2E"/>
    <w:rPr>
      <w:rFonts w:ascii="Arial" w:eastAsia="Times New Roman" w:hAnsi="Arial" w:cs="Arial"/>
      <w:b/>
      <w:bCs/>
      <w:kern w:val="32"/>
      <w:sz w:val="32"/>
      <w:szCs w:val="32"/>
      <w:lang w:val="en-US" w:eastAsia="en-US"/>
    </w:rPr>
  </w:style>
  <w:style w:type="paragraph" w:styleId="Textonotapie">
    <w:name w:val="footnote text"/>
    <w:aliases w:val=" Car Car,Car Car, Car Char,Car,Car Char, Car,Car1,fn,texto de nota al pie,Texto nota pie Car Car Car Car Car Car Car Car,Texto nota pie Car Car Car,Footnote Text Char Char Char Char Char Char,Texto nota pie Car Car Car Car Car"/>
    <w:basedOn w:val="Normal"/>
    <w:link w:val="TextonotapieCar"/>
    <w:uiPriority w:val="99"/>
    <w:unhideWhenUsed/>
    <w:qFormat/>
    <w:locked/>
    <w:rsid w:val="00DE6F2E"/>
    <w:rPr>
      <w:sz w:val="20"/>
      <w:szCs w:val="20"/>
    </w:rPr>
  </w:style>
  <w:style w:type="character" w:customStyle="1" w:styleId="TextonotapieCar">
    <w:name w:val="Texto nota pie Car"/>
    <w:aliases w:val=" Car Car Car,Car Car Car, Car Char Car,Car Car1,Car Char Car, Car Car1,Car1 Car,fn Car,texto de nota al pie Car,Texto nota pie Car Car Car Car Car Car Car Car Car,Texto nota pie Car Car Car Car,Texto nota pie Car Car Car Car Car Car"/>
    <w:basedOn w:val="Fuentedeprrafopredeter"/>
    <w:link w:val="Textonotapie"/>
    <w:uiPriority w:val="99"/>
    <w:rsid w:val="00DE6F2E"/>
    <w:rPr>
      <w:rFonts w:eastAsia="Times New Roman"/>
      <w:lang w:val="es-ES" w:eastAsia="en-US"/>
    </w:rPr>
  </w:style>
  <w:style w:type="character" w:styleId="Refdenotaalpie">
    <w:name w:val="footnote reference"/>
    <w:aliases w:val="FC,ftref,referencia nota al pie,Ref,de nota al pie,16 Point,Superscript 6 Point,BVI fnr,Footnote Reference Number,Footnote Reference_LVL6,Footnote Reference_LVL61,Footnote Reference_LVL62,Footnote Reference_LVL63,fr,Char Char1,titulo"/>
    <w:basedOn w:val="Fuentedeprrafopredeter"/>
    <w:uiPriority w:val="99"/>
    <w:unhideWhenUsed/>
    <w:qFormat/>
    <w:locked/>
    <w:rsid w:val="00DE6F2E"/>
    <w:rPr>
      <w:vertAlign w:val="superscript"/>
    </w:rPr>
  </w:style>
  <w:style w:type="paragraph" w:styleId="Prrafodelista">
    <w:name w:val="List Paragraph"/>
    <w:aliases w:val="Bullet 1,Use Case List Paragraph,figuras y gráficos,Viñetas,Bulletr List Paragraph,3,titulo 5,Informe,Con viñetas,Normal con viñetas,Bolita,Guión,Viñeta 2,Párrafo de lista3,BOLA,Párrafo de lista21,Titulo 8,Párrafo de lista2,HOJA,BOLADEF"/>
    <w:basedOn w:val="Normal"/>
    <w:link w:val="PrrafodelistaCar"/>
    <w:uiPriority w:val="34"/>
    <w:qFormat/>
    <w:locked/>
    <w:rsid w:val="00DE6F2E"/>
    <w:pPr>
      <w:ind w:left="720"/>
      <w:contextualSpacing/>
    </w:pPr>
  </w:style>
  <w:style w:type="character" w:customStyle="1" w:styleId="PrrafodelistaCar">
    <w:name w:val="Párrafo de lista Car"/>
    <w:aliases w:val="Bullet 1 Car,Use Case List Paragraph Car,figuras y gráficos Car,Viñetas Car,Bulletr List Paragraph Car,3 Car,titulo 5 Car,Informe Car,Con viñetas Car,Normal con viñetas Car,Bolita Car,Guión Car,Viñeta 2 Car,Párrafo de lista3 Car"/>
    <w:link w:val="Prrafodelista"/>
    <w:uiPriority w:val="34"/>
    <w:rsid w:val="00DE6F2E"/>
    <w:rPr>
      <w:rFonts w:eastAsia="Times New Roman"/>
      <w:sz w:val="22"/>
      <w:szCs w:val="24"/>
      <w:lang w:val="es-ES" w:eastAsia="en-US"/>
    </w:rPr>
  </w:style>
  <w:style w:type="paragraph" w:styleId="NormalWeb">
    <w:name w:val="Normal (Web)"/>
    <w:basedOn w:val="Normal"/>
    <w:uiPriority w:val="99"/>
    <w:locked/>
    <w:rsid w:val="00DE6F2E"/>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0B805B833D4C748040AA70B38B26A4"/>
        <w:category>
          <w:name w:val="General"/>
          <w:gallery w:val="placeholder"/>
        </w:category>
        <w:types>
          <w:type w:val="bbPlcHdr"/>
        </w:types>
        <w:behaviors>
          <w:behavior w:val="content"/>
        </w:behaviors>
        <w:guid w:val="{C41F57BB-F518-47BC-8D42-4AC9E2DECD62}"/>
      </w:docPartPr>
      <w:docPartBody>
        <w:p w:rsidR="0095470D" w:rsidRDefault="0095470D">
          <w:pPr>
            <w:pStyle w:val="910B805B833D4C748040AA70B38B26A4"/>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0D"/>
    <w:rsid w:val="009547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910B805B833D4C748040AA70B38B26A4">
    <w:name w:val="910B805B833D4C748040AA70B38B2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o6J6FL+56QxtK16tvqIuN1MelDx4aV3FZZmnXw8AdYE=</DigestValue>
    </Reference>
    <Reference Type="http://uri.etsi.org/01903#SignedProperties" URI="#idSignedProperties">
      <Transforms>
        <Transform Algorithm="http://www.w3.org/TR/2001/REC-xml-c14n-20010315"/>
      </Transforms>
      <DigestMethod Algorithm="http://www.w3.org/2001/04/xmlenc#sha256"/>
      <DigestValue>AzdbpKz9wWgAAYrsaamM16bGlwsrATTZD951zcBgI/E=</DigestValue>
    </Reference>
  </SignedInfo>
  <SignatureValue>Vsi5rZidd6wLCkjxor2NFni97Ls6oEQwGoY5l8gQY1yK8uM+TiPdnSLilpfKoH5TMliDKkRFELex3wKBeQBlp+4jLyiNWWnDr0OmMXhm7DEuDcq7tyiMejES+1tDKXM53XIJvvNKhcwncrs4qA43YBPXEISQRaKdU7crcjrhnjw+glEOxqi8rX56vubT/mC61aWV+MN/EyQoc5e8Dbcgh67/ychniWXPzhXwfMkvtWsSoAAVFl2aNqe1OxDpSZN3UDzRAgL3Kyjh3bZcP7p1IMPyUVFSeE/J7l2ekV0tC0EAeVmjh2bHcNANmIm/qit+uBKuZm0WnfqUXWvdXXGpG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Gu5UuOWAVXfRPlMQiyELZLRZc2W+PfX1OrgD51xnqZg=</DigestValue>
      </Reference>
      <Reference URI="/word/numbering.xml?ContentType=application/vnd.openxmlformats-officedocument.wordprocessingml.numbering+xml">
        <DigestMethod Algorithm="http://www.w3.org/2001/04/xmlenc#sha256"/>
        <DigestValue>6Hx5HeEk0ypvKmlyUXO/xgsUI54g2cRhal3oRxv4lhg=</DigestValue>
      </Reference>
      <Reference URI="/word/endnotes.xml?ContentType=application/vnd.openxmlformats-officedocument.wordprocessingml.endnotes+xml">
        <DigestMethod Algorithm="http://www.w3.org/2001/04/xmlenc#sha256"/>
        <DigestValue>tj1mILTj0PO9CtgPOGldLHjDcMThY2JrWuaoh4dNRVg=</DigestValue>
      </Reference>
      <Reference URI="/word/footer2.xml?ContentType=application/vnd.openxmlformats-officedocument.wordprocessingml.footer+xml">
        <DigestMethod Algorithm="http://www.w3.org/2001/04/xmlenc#sha256"/>
        <DigestValue>KCgyp20Rbk4cEy0KusSaZ7S7aMKV7Z3TvR9xHdZFfKo=</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8JGWsQKJiIHiFqbDqMXO6rpdozY7EiYrkmCR4BfiFGg=</DigestValue>
      </Reference>
      <Reference URI="/word/footnotes.xml?ContentType=application/vnd.openxmlformats-officedocument.wordprocessingml.footnotes+xml">
        <DigestMethod Algorithm="http://www.w3.org/2001/04/xmlenc#sha256"/>
        <DigestValue>OuqW/f+eF/jmcWmiWcTUYWq5LFnDNTBZVxqVXae7+cA=</DigestValue>
      </Reference>
      <Reference URI="/word/footer1.xml?ContentType=application/vnd.openxmlformats-officedocument.wordprocessingml.footer+xml">
        <DigestMethod Algorithm="http://www.w3.org/2001/04/xmlenc#sha256"/>
        <DigestValue>rBinISZ0VnJWNUvmZkWSsYrs64rieQh91lmvNI35KuM=</DigestValue>
      </Reference>
      <Reference URI="/word/header2.xml?ContentType=application/vnd.openxmlformats-officedocument.wordprocessingml.header+xml">
        <DigestMethod Algorithm="http://www.w3.org/2001/04/xmlenc#sha256"/>
        <DigestValue>Cp5MIC5rwJoJcjHhWPEfSGnV+Xystax3ItbMz2BeAac=</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0cFKTHtVzV5I9yM6ATM+gXBzOegvRfti9i/fvVl6Eck=</DigestValue>
      </Reference>
      <Reference URI="/word/webSettings.xml?ContentType=application/vnd.openxmlformats-officedocument.wordprocessingml.webSettings+xml">
        <DigestMethod Algorithm="http://www.w3.org/2001/04/xmlenc#sha256"/>
        <DigestValue>pp6SROhDD24PrqrnA9SZb0172MYKS7i26z5j9FQuH5M=</DigestValue>
      </Reference>
      <Reference URI="/word/header1.xml?ContentType=application/vnd.openxmlformats-officedocument.wordprocessingml.header+xml">
        <DigestMethod Algorithm="http://www.w3.org/2001/04/xmlenc#sha256"/>
        <DigestValue>XS263RozuoaNFF0+pNnrHeU3cOrr3fQjTw3R1yNlL8U=</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1dhpLD2gNdw8tOLFAmWKlrWUwyk2BtK7OB3dD11fDmk=</DigestValue>
      </Reference>
      <Reference URI="/word/header3.xml?ContentType=application/vnd.openxmlformats-officedocument.wordprocessingml.header+xml">
        <DigestMethod Algorithm="http://www.w3.org/2001/04/xmlenc#sha256"/>
        <DigestValue>VGx7kkFLcjswku/4Ts+C1ODCYx6twJdq3Qsudx1J82k=</DigestValue>
      </Reference>
      <Reference URI="/word/styles.xml?ContentType=application/vnd.openxmlformats-officedocument.wordprocessingml.styles+xml">
        <DigestMethod Algorithm="http://www.w3.org/2001/04/xmlenc#sha256"/>
        <DigestValue>LuYDh5qItqm2Ml2KvACWEmiUynr48G2NW8KfWCIt6bc=</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fd/FagwuUIJjSyhk3Ruf5ppLtKzbD0B6a+lnjqsQazY=</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glossary/settings.xml?ContentType=application/vnd.openxmlformats-officedocument.wordprocessingml.settings+xml">
        <DigestMethod Algorithm="http://www.w3.org/2001/04/xmlenc#sha256"/>
        <DigestValue>y+Ly5ZpfKThl6OKUNVMgLuFSyEaThbw6FopXTGYSbPo=</DigestValue>
      </Reference>
      <Reference URI="/word/glossary/styles.xml?ContentType=application/vnd.openxmlformats-officedocument.wordprocessingml.styles+xml">
        <DigestMethod Algorithm="http://www.w3.org/2001/04/xmlenc#sha256"/>
        <DigestValue>J2/b2eDAOl0z2SDHTMlK5+z83fg12DXOwLaFNh0wDJs=</DigestValue>
      </Reference>
      <Reference URI="/word/glossary/fontTable.xml?ContentType=application/vnd.openxmlformats-officedocument.wordprocessingml.fontTable+xml">
        <DigestMethod Algorithm="http://www.w3.org/2001/04/xmlenc#sha256"/>
        <DigestValue>fpOcc8yCIH5M3HPseI9rW0r0zDgB4PVlJ/ZlHTESjKM=</DigestValue>
      </Reference>
    </Manifest>
    <SignatureProperties>
      <SignatureProperty Id="idSignatureTime" Target="#idPackageSignature">
        <mdssi:SignatureTime xmlns:mdssi="http://schemas.openxmlformats.org/package/2006/digital-signature">
          <mdssi:Format>YYYY-MM-DDThh:mm:ssTZD</mdssi:Format>
          <mdssi:Value>2024-08-27T19:51:16Z</mdssi:Value>
        </mdssi:SignatureTime>
      </SignatureProperty>
    </SignatureProperties>
  </Object>
  <Object>
    <xd:QualifyingProperties xmlns:xd="http://uri.etsi.org/01903/v1.3.2#" Target="#idPackageSignature">
      <xd:SignedProperties Id="idSignedProperties">
        <xd:SignedSignatureProperties>
          <xd:SigningTime>2024-08-27T19:51:16Z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ObVRqZgZHe6NTmcajb4KT8Jy/NOjCHC7zWhv8nhl2EECBBy0ruYYDzIwMjQwODI3MTk1MTI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N2dkQksdjCNgPtmK6YCG8bE/2GP3dT8w/ex5dLapwbQ=</DigestValue>
                </xd:DigestAlgAndValue>
                <xd:CRLIdentifier>
                  <xd:Issuer>SERIALNUMBER=CPJ-2-100-098311,C=CR,O=MICITT,OU=DCFD,CN=CA POLITICA PERSONA FISICA - COSTA RICA v2</xd:Issuer>
                  <xd:IssueTime>2024-07-30T20:12:22Z</xd:IssueTime>
                  <xd:Number>61</xd:Number>
                </xd:CRLIdentifier>
              </xd:CRLRef>
              <xd:CRLRef>
                <xd:DigestAlgAndValue>
                  <DigestMethod Algorithm="http://www.w3.org/2001/04/xmlenc#sha256"/>
                  <DigestValue>tJIIL4tFZyLem7xzfdT9+F8vd6C54QNNPVCdp53Jq0E=</DigestValue>
                </xd:DigestAlgAndValue>
                <xd:CRLIdentifier>
                  <xd:Issuer>SERIALNUMBER=CPJ-2-100-098311,OU=DCFD,O=MICITT,C=CR,CN=CA RAIZ NACIONAL - COSTA RICA v2</xd:Issuer>
                  <xd:IssueTime>2024-07-30T18:47:39Z</xd:IssueTime>
                  <xd:Number>33</xd:Number>
                </xd:CRLIdentifier>
              </xd:CRLRef>
            </xd:CRLRefs>
            <xd:OCSPRefs>
              <xd:OCSPRef>
                <xd:OCSPIdentifier>
                  <xd:ResponderID>
                    <xd:ByKey>nmoVLpX9jEcFiPMq4syKQwJFkKE=</xd:ByKey>
                  </xd:ResponderID>
                  <xd:ProducedAt>2024-08-27T19:51:28Z</xd:ProducedAt>
                </xd:OCSPIdentifier>
                <xd:DigestAlgAndValue>
                  <DigestMethod Algorithm="http://www.w3.org/2001/04/xmlenc#sha256"/>
                  <DigestValue>POVUsVMDZLtTCPsZYm7sZk9r4WR4S5zUMncVvNZAUn0=</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OCSPValues>
              <xd:EncapsulatedOCSPValue>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</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BKBkBGIwYAIBAQYIYIE8AQEBAQUwMTANBglghkgBZQMEAgEFAAQgW7vPeTqzQrs+tj8SiQ0DNbjE
8p95o3T+tHDHx101aGsCBBy0rucYDzIwMjQwODI3MTk1MTI4WjAEgAIB9AEB/6CCB8Iwgge+MIIF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CSqGSIb3DQEJAzENBgsqhkiG9w0BCRABBDAcBgkqhkiG9w0BCQUxDxcNMjQwODI3MTk1MTI4WjAv
BgkqhkiG9w0BCQQxIgQgz38Cot1yUp3I6L1hrE6RhNe/OEyIrHMFASZOJmzuqGcwNwYLKoZIhvcN
AQkQAi8xKDAmMCQwIgQgrKszXYj6Q2nTJpWV/NZakemXG2IrBO983WoSsYOW808wDQYJKoZIhvcN
AQEBBQAEggEADJDeoWxBMBUXiFozJ7e7PqB0vUs2gq7gX7B+oW8dh2iowbC/zEJAWwnuOZINUaeD
Wr51LgvvqpnW1/vTtg83G+DI3y257ALcTEGvXnq9OOGD5NBxZU8doWpVjL8c014lI1JBazMEAUx6
/YWhJV1QKIVwFqs5hdJc7aZQ4yJ/RCHdMVoy8IjVDeJbXYw3aV0L/DehV5HYbInRQIC5IYevrO3V
jWuWZZ9wnP1g//XnlzzQauPS35gjklawqJ4O3Tyi/N7hkRK8VyErJzy9U4OTuYpoczyy0NA1BMLr
6kVoqH3CuBTsZVmOBixOTqJMn6e89/TFrqPUduTLnT7fKC3JKw==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31b4bb2-0db7-40b3-a341-fc1511e9642d" ContentTypeId="0x010100E97154E09FCE6A4E8EAEBD5C54DD1AE401" PreviousValue="false"/>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SEGURA HERNANDEZ ILEANA MARIA</DisplayName>
        <AccountId>450</AccountId>
        <AccountType/>
      </UserInfo>
    </Responsable>
    <PlazoArchivo xmlns="b875e23b-67d9-4b2e-bdec-edacbf90b326">84</PlazoArchivo>
    <FirmadoPor xmlns="b875e23b-67d9-4b2e-bdec-edacbf90b326">
      <UserInfo>
        <DisplayName>i:0#.w|pdc-atlantida\lizanobm</DisplayName>
        <AccountId>3256</AccountId>
        <AccountType/>
      </UserInfo>
    </FirmadoPor>
    <InformarA xmlns="b875e23b-67d9-4b2e-bdec-edacbf90b326">
      <UserInfo>
        <DisplayName>i:0#.w|pdc-atlantida\segurahi</DisplayName>
        <AccountId>450</AccountId>
        <AccountType/>
      </UserInfo>
      <UserInfo>
        <DisplayName>i:0#.w|pdc-atlantida\avilamj</DisplayName>
        <AccountId>448</AccountId>
        <AccountType/>
      </UserInfo>
      <UserInfo>
        <DisplayName>i:0#.w|pdc-atlantida\barquerofc</DisplayName>
        <AccountId>383</AccountId>
        <AccountType/>
      </UserInfo>
    </InformarA>
    <EstadoCorrespondencia xmlns="b875e23b-67d9-4b2e-bdec-edacbf90b326">Enviado con acuse de recibo</EstadoCorrespondencia>
    <FechaEnvio xmlns="b875e23b-67d9-4b2e-bdec-edacbf90b326">2024-08-28T16:54:55+00:00</FechaEnvio>
    <InformativoResolutivo xmlns="b875e23b-67d9-4b2e-bdec-edacbf90b326">Informativo</InformativoResolutivo>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AI - Auditoría Interna</TermName>
          <TermId xmlns="http://schemas.microsoft.com/office/infopath/2007/PartnerControls">3edbdf7a-605f-4e12-831a-35c707ff21f7</TermId>
        </TermInfo>
      </Terms>
    </e698785e6df848ea9657bea28744f893>
    <FechaDocumento xmlns="b875e23b-67d9-4b2e-bdec-edacbf90b326">2024-08-27T06:00:00+00:00</FechaDocumento>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GER - Gerencia</TermName>
          <TermId xmlns="http://schemas.microsoft.com/office/infopath/2007/PartnerControls">7f4773cf-2cb9-48b6-88d2-9e4750a72616</TermId>
        </TermInfo>
        <TermInfo xmlns="http://schemas.microsoft.com/office/infopath/2007/PartnerControls">
          <TermName xmlns="http://schemas.microsoft.com/office/infopath/2007/PartnerControls">DTE - División Transformación y Estrategia</TermName>
          <TermId xmlns="http://schemas.microsoft.com/office/infopath/2007/PartnerControls">368c3da0-3cec-43e9-a26d-02a9f90827dd</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Informe resultados estudio evaluación recuperación del financiamiento a las superintendencias</Subject1>
    <_dlc_ExpireDateSaved xmlns="http://schemas.microsoft.com/sharepoint/v3" xsi:nil="true"/>
    <_dlc_Exempt xmlns="http://schemas.microsoft.com/sharepoint/v3" xsi:nil="true"/>
    <TaxCatchAll xmlns="b875e23b-67d9-4b2e-bdec-edacbf90b326">
      <Value>161</Value>
      <Value>1014</Value>
      <Value>128</Value>
      <Value>9</Value>
      <Value>93</Value>
      <Value>126</Value>
      <Value>163</Value>
      <Value>1</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n32f5b5d94d147d6ae4b36230db37881>
    <j9e1d6f06d6147fb8b75c1f305e04b05 xmlns="62db5286-48a0-4e17-a672-7c89f7b8ca75">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j9e1d6f06d6147fb8b75c1f305e04b05>
    <lb0b7da792b243d9bfa96ad7487ad734 xmlns="b875e23b-67d9-4b2e-bdec-edacbf90b326" xsi:nil="true"/>
    <_dlc_ExpireDate xmlns="http://schemas.microsoft.com/sharepoint/v3">2024-09-11T16:54:55+00:00</_dlc_ExpireDate>
  </documentManagement>
</p:properties>
</file>

<file path=customXml/item7.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E16C36-D0D9-4885-8107-56E76CCDFD96}"/>
</file>

<file path=customXml/itemProps2.xml><?xml version="1.0" encoding="utf-8"?>
<ds:datastoreItem xmlns:ds="http://schemas.openxmlformats.org/officeDocument/2006/customXml" ds:itemID="{6AB0E529-8D9A-44DB-B92A-0AE9D0547E1A}"/>
</file>

<file path=customXml/itemProps3.xml><?xml version="1.0" encoding="utf-8"?>
<ds:datastoreItem xmlns:ds="http://schemas.openxmlformats.org/officeDocument/2006/customXml" ds:itemID="{29B70D16-ABBB-485D-8261-7AD6418A0EF9}"/>
</file>

<file path=customXml/itemProps4.xml><?xml version="1.0" encoding="utf-8"?>
<ds:datastoreItem xmlns:ds="http://schemas.openxmlformats.org/officeDocument/2006/customXml" ds:itemID="{8E5E7F0F-5217-49F7-858F-913E7E755351}"/>
</file>

<file path=customXml/itemProps5.xml><?xml version="1.0" encoding="utf-8"?>
<ds:datastoreItem xmlns:ds="http://schemas.openxmlformats.org/officeDocument/2006/customXml" ds:itemID="{BF880741-0296-4926-84DB-E06AFA8EB403}"/>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283BF82E-1A70-4392-8CF2-7DEAFF1953AE}"/>
</file>

<file path=docProps/app.xml><?xml version="1.0" encoding="utf-8"?>
<Properties xmlns="http://schemas.openxmlformats.org/officeDocument/2006/extended-properties" xmlns:vt="http://schemas.openxmlformats.org/officeDocument/2006/docPropsVTypes">
  <Template>plantilla-DAI</Template>
  <TotalTime>10</TotalTime>
  <Pages>3</Pages>
  <Words>750</Words>
  <Characters>4125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AI-0150-2024</dc:title>
  <dc:subject/>
  <dc:creator>BERROCAL MEZA MELISSA</dc:creator>
  <cp:keywords/>
  <dc:description/>
  <cp:lastModifiedBy>AVILA MOYA JULIO CESAR</cp:lastModifiedBy>
  <cp:revision>2</cp:revision>
  <cp:lastPrinted>2011-05-05T20:16:00Z</cp:lastPrinted>
  <dcterms:created xsi:type="dcterms:W3CDTF">2024-08-27T17:20:00Z</dcterms:created>
  <dcterms:modified xsi:type="dcterms:W3CDTF">2024-08-27T18:36:00Z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b,c,d</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2024-08-27T17:29:35Z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57c1a598-e1fc-42c9-a548-1047ab6044d9</vt:lpwstr>
  </property>
  <property fmtid="{D5CDD505-2E9C-101B-9397-08002B2CF9AE}" pid="25" name="MSIP_Label_b8b4be34-365a-4a68-b9fb-75c1b6874315_ContentBits">
    <vt:lpwstr>2</vt:lpwstr>
  </property>
  <property fmtid="{D5CDD505-2E9C-101B-9397-08002B2CF9AE}" pid="26" name="Confidencialidad">
    <vt:lpwstr>1;#Público|99c2402f-8ec3-4ca8-8024-be52e4e7f629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9673832d-94bf-4c19-8792-832784cbd250,9;b06cfa97-83cd-4c8b-8abb-c4fadbe40145,15;cf7072bc-9575-4d0b-b529-251f6b43b02b,16;cf7072bc-9575-4d0b-b529-251f6b43b02b,16;cf7072bc-9575-4d0b-b529-251f6b43b02b,17;</vt:lpwstr>
  </property>
  <property fmtid="{D5CDD505-2E9C-101B-9397-08002B2CF9AE}" pid="30" name="ecm_ItemDeleteBlockHolders">
    <vt:lpwstr>ecm_InPlaceRecordLock</vt:lpwstr>
  </property>
  <property fmtid="{D5CDD505-2E9C-101B-9397-08002B2CF9AE}" pid="31" name="_vti_ItemDeclaredRecord">
    <vt:filetime>2024-08-28T16:55:38Z</vt:filetime>
  </property>
  <property fmtid="{D5CDD505-2E9C-101B-9397-08002B2CF9AE}" pid="32" name="_vti_ItemHoldRecordStatus">
    <vt:i4>273</vt:i4>
  </property>
  <property fmtid="{D5CDD505-2E9C-101B-9397-08002B2CF9AE}" pid="33" name="IconOverlay">
    <vt:lpwstr>|docx|lockoverlay.png</vt:lpwstr>
  </property>
  <property fmtid="{D5CDD505-2E9C-101B-9397-08002B2CF9AE}" pid="34" name="ecm_RecordRestrictions">
    <vt:lpwstr>BlockDelete, BlockEdit</vt:lpwstr>
  </property>
  <property fmtid="{D5CDD505-2E9C-101B-9397-08002B2CF9AE}" pid="35" name="ecm_ItemLockHolders">
    <vt:lpwstr>ecm_InPlaceRecordLock</vt:lpwstr>
  </property>
</Properties>
</file>