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24B1" w:rsidR="003554C5" w:rsidP="00B524B1" w:rsidRDefault="00B524B1" w14:paraId="54CE63BD" w14:textId="1601B7DC">
      <w:pPr>
        <w:rPr>
          <w:rFonts w:ascii="Arial" w:hAnsi="Arial" w:cs="Arial"/>
          <w:sz w:val="24"/>
        </w:rPr>
      </w:pPr>
      <w:r w:rsidRPr="00B524B1">
        <w:rPr>
          <w:rFonts w:ascii="Arial" w:hAnsi="Arial" w:cs="Arial"/>
          <w:sz w:val="24"/>
        </w:rPr>
        <w:t>9 de abril del 2025</w:t>
      </w:r>
    </w:p>
    <w:sdt>
      <w:sdtPr>
        <w:alias w:val="Consecutivo"/>
        <w:tag w:val="Consecutivo"/>
        <w:id w:val="867724263"/>
        <w:placeholder>
          <w:docPart w:val="F1D38C63BA184C0D95A39886806D54E8"/>
        </w:placeholder>
        <w:text/>
      </w:sdtPr>
      <w:sdtEndPr/>
      <w:sdtContent>
        <w:p w:rsidR="003554C5" w:rsidP="0085692C" w:rsidRDefault="00BF4EBD" w14:paraId="0CD53124" w14:textId="77777777">
          <w:r>
            <w:t>AI-0089-2025</w:t>
          </w:r>
        </w:p>
      </w:sdtContent>
    </w:sdt>
    <w:p w:rsidRPr="00F835F3" w:rsidR="00BF4EBD" w:rsidP="0085692C" w:rsidRDefault="00BF4EBD" w14:paraId="69CADFA2" w14:textId="77777777"/>
    <w:p w:rsidRPr="00B524B1" w:rsidR="00B524B1" w:rsidP="00B524B1" w:rsidRDefault="00B524B1" w14:paraId="7C2833EB" w14:textId="77777777">
      <w:pPr>
        <w:rPr>
          <w:rFonts w:ascii="Arial" w:hAnsi="Arial" w:cs="Arial"/>
          <w:sz w:val="24"/>
        </w:rPr>
      </w:pPr>
      <w:r w:rsidRPr="00B524B1">
        <w:rPr>
          <w:rFonts w:ascii="Arial" w:hAnsi="Arial" w:cs="Arial"/>
          <w:sz w:val="24"/>
        </w:rPr>
        <w:t>Señor</w:t>
      </w:r>
    </w:p>
    <w:p w:rsidRPr="00B524B1" w:rsidR="00B524B1" w:rsidP="00B524B1" w:rsidRDefault="00B524B1" w14:paraId="2D5CAD7E" w14:textId="77777777">
      <w:pPr>
        <w:rPr>
          <w:rFonts w:ascii="Arial" w:hAnsi="Arial" w:cs="Arial"/>
          <w:sz w:val="24"/>
        </w:rPr>
      </w:pPr>
      <w:r w:rsidRPr="00B524B1">
        <w:rPr>
          <w:rFonts w:ascii="Arial" w:hAnsi="Arial" w:cs="Arial"/>
          <w:sz w:val="24"/>
        </w:rPr>
        <w:t>Pablo Villalobos G., Gerente</w:t>
      </w:r>
    </w:p>
    <w:p w:rsidRPr="00B524B1" w:rsidR="00B524B1" w:rsidP="00B524B1" w:rsidRDefault="00B524B1" w14:paraId="57787CA2" w14:textId="77777777">
      <w:pPr>
        <w:tabs>
          <w:tab w:val="center" w:pos="4419"/>
          <w:tab w:val="right" w:pos="8838"/>
        </w:tabs>
        <w:rPr>
          <w:rFonts w:ascii="Arial" w:hAnsi="Arial" w:eastAsia="Calibri" w:cs="Arial"/>
          <w:b/>
          <w:color w:val="1C4063" w:themeColor="accent1" w:themeShade="80"/>
          <w:sz w:val="24"/>
          <w:lang w:val="es-CR"/>
        </w:rPr>
      </w:pPr>
      <w:r w:rsidRPr="00B524B1">
        <w:rPr>
          <w:rFonts w:ascii="Arial" w:hAnsi="Arial" w:eastAsia="Calibri" w:cs="Arial"/>
          <w:b/>
          <w:color w:val="1C4063" w:themeColor="accent1" w:themeShade="80"/>
          <w:sz w:val="24"/>
          <w:lang w:val="es-CR"/>
        </w:rPr>
        <w:t>BANCO CENTRAL DE COSTA RICA</w:t>
      </w:r>
    </w:p>
    <w:p w:rsidRPr="00B524B1" w:rsidR="00B524B1" w:rsidP="00B524B1" w:rsidRDefault="00B524B1" w14:paraId="44524617" w14:textId="77777777">
      <w:pPr>
        <w:rPr>
          <w:rFonts w:ascii="Arial" w:hAnsi="Arial" w:cs="Arial"/>
        </w:rPr>
      </w:pPr>
    </w:p>
    <w:p w:rsidRPr="00B524B1" w:rsidR="00B524B1" w:rsidP="00B524B1" w:rsidRDefault="00B524B1" w14:paraId="2357C822" w14:textId="63003705">
      <w:pPr>
        <w:rPr>
          <w:rFonts w:ascii="Arial" w:hAnsi="Arial" w:cs="Arial"/>
          <w:b/>
          <w:bCs/>
        </w:rPr>
      </w:pPr>
      <w:r w:rsidRPr="00B524B1">
        <w:rPr>
          <w:rFonts w:ascii="Arial" w:hAnsi="Arial" w:cs="Arial"/>
          <w:b/>
        </w:rPr>
        <w:t xml:space="preserve">Ref. Comunicación del Informe </w:t>
      </w:r>
      <w:r w:rsidRPr="00B524B1">
        <w:rPr>
          <w:rFonts w:ascii="Arial" w:hAnsi="Arial" w:cs="Arial"/>
          <w:b/>
          <w:bCs/>
        </w:rPr>
        <w:t>de la auditoría especial sobre la atención de incidentes en los servicios que tuvieron afectación en terceros</w:t>
      </w:r>
    </w:p>
    <w:p w:rsidRPr="00B524B1" w:rsidR="00B524B1" w:rsidP="00B524B1" w:rsidRDefault="00B524B1" w14:paraId="79A589C7" w14:textId="77777777">
      <w:pPr>
        <w:rPr>
          <w:rFonts w:ascii="Arial" w:hAnsi="Arial" w:cs="Arial"/>
        </w:rPr>
      </w:pPr>
    </w:p>
    <w:p w:rsidRPr="00B524B1" w:rsidR="00B524B1" w:rsidP="00B524B1" w:rsidRDefault="00B524B1" w14:paraId="5EA397CB" w14:textId="77777777">
      <w:pPr>
        <w:rPr>
          <w:rFonts w:ascii="Arial" w:hAnsi="Arial" w:cs="Arial"/>
        </w:rPr>
      </w:pPr>
    </w:p>
    <w:p w:rsidRPr="00B524B1" w:rsidR="00B524B1" w:rsidP="00B524B1" w:rsidRDefault="00B524B1" w14:paraId="4503345E" w14:textId="77777777">
      <w:pPr>
        <w:rPr>
          <w:rFonts w:ascii="Arial" w:hAnsi="Arial" w:cs="Arial"/>
          <w:sz w:val="24"/>
        </w:rPr>
      </w:pPr>
      <w:r w:rsidRPr="00B524B1">
        <w:rPr>
          <w:rFonts w:ascii="Arial" w:hAnsi="Arial" w:cs="Arial"/>
          <w:sz w:val="24"/>
        </w:rPr>
        <w:t>Estimado señor:</w:t>
      </w:r>
    </w:p>
    <w:p w:rsidRPr="00B524B1" w:rsidR="00B524B1" w:rsidP="00B524B1" w:rsidRDefault="00B524B1" w14:paraId="26FCCA06" w14:textId="77777777">
      <w:pPr>
        <w:rPr>
          <w:rFonts w:ascii="Arial" w:hAnsi="Arial" w:cs="Arial"/>
          <w:sz w:val="24"/>
        </w:rPr>
      </w:pPr>
    </w:p>
    <w:p w:rsidRPr="00B524B1" w:rsidR="00B524B1" w:rsidP="00B524B1" w:rsidRDefault="00B524B1" w14:paraId="4ADF13C8" w14:textId="77777777">
      <w:pPr>
        <w:rPr>
          <w:rFonts w:ascii="Arial" w:hAnsi="Arial" w:cs="Arial"/>
          <w:sz w:val="24"/>
        </w:rPr>
      </w:pPr>
      <w:r w:rsidRPr="00B524B1">
        <w:rPr>
          <w:rFonts w:ascii="Arial" w:hAnsi="Arial" w:cs="Arial"/>
          <w:sz w:val="24"/>
        </w:rPr>
        <w:t>Este informe contiene los resultados correspondientes al estudio de carácter especial</w:t>
      </w:r>
      <w:r w:rsidRPr="00B524B1">
        <w:rPr>
          <w:rFonts w:ascii="Arial" w:hAnsi="Arial" w:cs="Arial"/>
          <w:sz w:val="24"/>
          <w:vertAlign w:val="superscript"/>
        </w:rPr>
        <w:footnoteReference w:id="1"/>
      </w:r>
      <w:r w:rsidRPr="00B524B1">
        <w:rPr>
          <w:rFonts w:ascii="Arial" w:hAnsi="Arial" w:cs="Arial"/>
          <w:sz w:val="24"/>
        </w:rPr>
        <w:t xml:space="preserve"> mediante el cual esta Auditoría evaluó la atención de incidentes en los servicios que presta el Banco Central que tuvieron afectación en terceros. El objetivo del estudio fue verificar la suficiencia, pertinencia y cumplimiento de las disposiciones aplicables a la atención de dichos incidentes, lo cual está bajo la responsabilidad de las siguientes dependencias: Área de Comunicación Institucional, adscrita a la Gerencia; Departamento de Gestión de Riesgos y Cumplimiento, adscrito a la Junta Directiva; Departamento de Arquitectura y Gestión de TI, de la División de Servicios Tecnológicos y Área de Operación y Monitoreo de SINPE, del Departamento Sistema Nacional de Pagos Electrónicos de la División de Sistema de Pagos.</w:t>
      </w:r>
    </w:p>
    <w:p w:rsidRPr="00B524B1" w:rsidR="00B524B1" w:rsidP="00B524B1" w:rsidRDefault="00B524B1" w14:paraId="6B06C40F" w14:textId="77777777">
      <w:pPr>
        <w:tabs>
          <w:tab w:val="left" w:pos="5505"/>
        </w:tabs>
        <w:rPr>
          <w:rFonts w:ascii="Arial" w:hAnsi="Arial" w:cs="Arial"/>
          <w:sz w:val="24"/>
        </w:rPr>
      </w:pPr>
    </w:p>
    <w:p w:rsidRPr="00B524B1" w:rsidR="00B524B1" w:rsidP="00B524B1" w:rsidRDefault="00B524B1" w14:paraId="7D9C5C92" w14:textId="77777777">
      <w:pPr>
        <w:rPr>
          <w:rFonts w:ascii="Arial" w:hAnsi="Arial" w:cs="Arial"/>
          <w:sz w:val="24"/>
        </w:rPr>
      </w:pPr>
      <w:r w:rsidRPr="00B524B1">
        <w:rPr>
          <w:rFonts w:ascii="Arial" w:hAnsi="Arial" w:cs="Arial"/>
          <w:sz w:val="24"/>
        </w:rPr>
        <w:t>El alcance del estudio comprendió los procesos de gestión de incidentes de riesgo</w:t>
      </w:r>
      <w:r w:rsidRPr="00B524B1">
        <w:rPr>
          <w:rFonts w:ascii="Arial" w:hAnsi="Arial" w:cs="Arial"/>
          <w:sz w:val="24"/>
          <w:vertAlign w:val="superscript"/>
        </w:rPr>
        <w:footnoteReference w:id="2"/>
      </w:r>
      <w:r w:rsidRPr="00B524B1">
        <w:rPr>
          <w:rFonts w:ascii="Arial" w:hAnsi="Arial" w:cs="Arial"/>
          <w:sz w:val="24"/>
        </w:rPr>
        <w:t>, de atención de incidentes tanto de la Mesa de Ayuda como del Área de Operación y Monitoreo de SINPE y la administración de la comunicación institucional, considerando las particularidades de riesgo y control que puedan derivase de la suspensión de servicios que se prestan a terceros, tales como Sinpe (servicios directos a los afiliados), Monex, Registro de Accionistas. Todo lo anterior, en el año 2024.</w:t>
      </w:r>
    </w:p>
    <w:p w:rsidRPr="00B524B1" w:rsidR="00B524B1" w:rsidP="00B524B1" w:rsidRDefault="00B524B1" w14:paraId="7298473F" w14:textId="77777777">
      <w:pPr>
        <w:rPr>
          <w:rFonts w:ascii="Arial" w:hAnsi="Arial" w:cs="Arial"/>
          <w:sz w:val="24"/>
        </w:rPr>
      </w:pPr>
    </w:p>
    <w:p w:rsidRPr="00B524B1" w:rsidR="00B524B1" w:rsidP="00B524B1" w:rsidRDefault="00B524B1" w14:paraId="56F21F9D" w14:textId="77777777">
      <w:pPr>
        <w:rPr>
          <w:rFonts w:ascii="Arial" w:hAnsi="Arial" w:cs="Arial"/>
          <w:sz w:val="24"/>
        </w:rPr>
      </w:pPr>
      <w:r w:rsidRPr="00B524B1">
        <w:rPr>
          <w:rFonts w:ascii="Arial" w:hAnsi="Arial" w:cs="Arial"/>
          <w:sz w:val="24"/>
        </w:rPr>
        <w:t>En la ejecución de este estudio se aplicaron los criterios de auditoría que se consideraron pertinentes, según el objetivo planteado, los cuales fueron comunicados mediante oficio AI-0035-2025 del 25 de febrero del 2025.</w:t>
      </w:r>
    </w:p>
    <w:p w:rsidRPr="00B524B1" w:rsidR="00B524B1" w:rsidP="00B524B1" w:rsidRDefault="00B524B1" w14:paraId="21B3C140" w14:textId="77777777">
      <w:pPr>
        <w:contextualSpacing/>
        <w:rPr>
          <w:rFonts w:ascii="Arial" w:hAnsi="Arial" w:cs="Arial"/>
          <w:sz w:val="24"/>
        </w:rPr>
      </w:pPr>
    </w:p>
    <w:p w:rsidRPr="00B524B1" w:rsidR="00B524B1" w:rsidP="00B524B1" w:rsidRDefault="00B524B1" w14:paraId="0809675B" w14:textId="77777777">
      <w:pPr>
        <w:rPr>
          <w:rFonts w:ascii="Arial" w:hAnsi="Arial" w:cs="Arial"/>
          <w:sz w:val="24"/>
        </w:rPr>
      </w:pPr>
      <w:r w:rsidRPr="00B524B1">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B524B1" w:rsidR="00B524B1" w:rsidP="00B524B1" w:rsidRDefault="00B524B1" w14:paraId="6BCEBCE3" w14:textId="77777777">
      <w:pPr>
        <w:contextualSpacing/>
        <w:rPr>
          <w:rFonts w:ascii="Arial" w:hAnsi="Arial" w:cs="Arial"/>
          <w:sz w:val="24"/>
        </w:rPr>
      </w:pPr>
    </w:p>
    <w:p w:rsidRPr="00B524B1" w:rsidR="00B524B1" w:rsidP="00B524B1" w:rsidRDefault="00B524B1" w14:paraId="75313E75" w14:textId="77777777">
      <w:pPr>
        <w:widowControl w:val="0"/>
        <w:rPr>
          <w:rFonts w:ascii="Arial" w:hAnsi="Arial" w:cs="Arial"/>
          <w:sz w:val="24"/>
        </w:rPr>
      </w:pPr>
    </w:p>
    <w:p w:rsidRPr="00B524B1" w:rsidR="00B524B1" w:rsidP="00B524B1" w:rsidRDefault="00B524B1" w14:paraId="7D360137"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524B1">
        <w:rPr>
          <w:rFonts w:ascii="Arial" w:hAnsi="Arial" w:cs="Arial"/>
          <w:b/>
          <w:color w:val="1C4063" w:themeColor="accent1" w:themeShade="80"/>
          <w:sz w:val="28"/>
          <w:szCs w:val="28"/>
          <w:lang w:val="es-CR" w:eastAsia="es-CR"/>
        </w:rPr>
        <w:t>GENERALIDADES</w:t>
      </w:r>
    </w:p>
    <w:p w:rsidRPr="00B524B1" w:rsidR="00B524B1" w:rsidP="00B524B1" w:rsidRDefault="00B524B1" w14:paraId="1BD99EC8" w14:textId="77777777">
      <w:pPr>
        <w:rPr>
          <w:rFonts w:ascii="Arial" w:hAnsi="Arial" w:cs="Arial"/>
          <w:sz w:val="24"/>
        </w:rPr>
      </w:pPr>
    </w:p>
    <w:p w:rsidRPr="00B524B1" w:rsidR="00B524B1" w:rsidP="00B524B1" w:rsidRDefault="00B524B1" w14:paraId="06AD259E" w14:textId="77777777">
      <w:pPr>
        <w:rPr>
          <w:rFonts w:ascii="Arial" w:hAnsi="Arial" w:cs="Arial"/>
          <w:sz w:val="24"/>
        </w:rPr>
      </w:pPr>
      <w:bookmarkStart w:name="_Hlk171873726" w:id="0"/>
      <w:r w:rsidRPr="00B524B1">
        <w:rPr>
          <w:rFonts w:ascii="Arial" w:hAnsi="Arial" w:cs="Arial"/>
          <w:sz w:val="24"/>
        </w:rPr>
        <w:t xml:space="preserve">El objetivo principal de la gestión de incidentes en el Banco Central de Costa Rica es asegurar el registro, análisis y restablecimiento oportuno y eficaz de los servicios afectados, con el fin de minimizar el impacto en la operación de los servicios financieros y bancarios que brinda al público. Para lograrlo, estas responsabilidades se distribuyen de la siguiente manera: </w:t>
      </w:r>
    </w:p>
    <w:p w:rsidRPr="00B524B1" w:rsidR="00B524B1" w:rsidP="00B524B1" w:rsidRDefault="00B524B1" w14:paraId="3B88D266" w14:textId="77777777">
      <w:pPr>
        <w:numPr>
          <w:ilvl w:val="0"/>
          <w:numId w:val="15"/>
        </w:numPr>
        <w:contextualSpacing/>
        <w:rPr>
          <w:rFonts w:ascii="Arial" w:hAnsi="Arial" w:cs="Arial"/>
          <w:sz w:val="24"/>
        </w:rPr>
      </w:pPr>
      <w:r w:rsidRPr="00B524B1">
        <w:rPr>
          <w:rFonts w:ascii="Arial" w:hAnsi="Arial" w:cs="Arial"/>
          <w:sz w:val="24"/>
        </w:rPr>
        <w:t>La responsabilidad de registrar y restablecer los servicios interrumpidos recae en la Mesa de Ayuda del Departamento de Arquitectura y Administración de TI, perteneciente a la División de Servicios Tecnológicos, en coordinación con el Área de Operación y Monitoreo de SINPE del Departamento Sistema Nacional de Pagos Electrónicos, adscrito a la División de Sistemas de Pago.</w:t>
      </w:r>
    </w:p>
    <w:p w:rsidRPr="00B524B1" w:rsidR="00B524B1" w:rsidP="00B524B1" w:rsidRDefault="00B524B1" w14:paraId="0AFC6F25" w14:textId="77777777">
      <w:pPr>
        <w:numPr>
          <w:ilvl w:val="0"/>
          <w:numId w:val="15"/>
        </w:numPr>
        <w:contextualSpacing/>
        <w:rPr>
          <w:rFonts w:ascii="Arial" w:hAnsi="Arial" w:cs="Arial"/>
          <w:sz w:val="24"/>
        </w:rPr>
      </w:pPr>
      <w:r w:rsidRPr="00B524B1">
        <w:rPr>
          <w:rFonts w:ascii="Arial" w:hAnsi="Arial" w:cs="Arial"/>
          <w:sz w:val="24"/>
        </w:rPr>
        <w:t>El Departamento de Gestión de Riesgos y Cumplimiento es responsable de analizar y evaluar el impacto del incidente de riesgo asociado a los servicios interrumpidos, así como de elaborar informes de riesgo que incluyan planes de mitigación, cuando corresponda.</w:t>
      </w:r>
    </w:p>
    <w:p w:rsidRPr="00B524B1" w:rsidR="00B524B1" w:rsidP="00B524B1" w:rsidRDefault="00B524B1" w14:paraId="11409AFD" w14:textId="77777777">
      <w:pPr>
        <w:numPr>
          <w:ilvl w:val="0"/>
          <w:numId w:val="15"/>
        </w:numPr>
        <w:contextualSpacing/>
        <w:rPr>
          <w:rFonts w:ascii="Arial" w:hAnsi="Arial" w:cs="Arial"/>
          <w:sz w:val="24"/>
        </w:rPr>
      </w:pPr>
      <w:r w:rsidRPr="00B524B1">
        <w:rPr>
          <w:rFonts w:ascii="Arial" w:hAnsi="Arial" w:cs="Arial"/>
          <w:sz w:val="24"/>
        </w:rPr>
        <w:t xml:space="preserve">El Área de Comunicación Institucional funge como vocero oficial en situaciones donde los incidentes afectan significativamente a los usuarios o generan atención pública. En estos casos, emite comunicados formales sobre el estado del servicio, asegurando que tanto los ciudadanos como los funcionarios del BCCR reciban información oportuna y precisa. </w:t>
      </w:r>
    </w:p>
    <w:bookmarkEnd w:id="0"/>
    <w:p w:rsidRPr="00B524B1" w:rsidR="00B524B1" w:rsidP="00B524B1" w:rsidRDefault="00B524B1" w14:paraId="76868664" w14:textId="77777777">
      <w:pPr>
        <w:rPr>
          <w:rFonts w:ascii="Arial" w:hAnsi="Arial" w:cs="Arial"/>
          <w:sz w:val="24"/>
        </w:rPr>
      </w:pPr>
    </w:p>
    <w:p w:rsidRPr="00B524B1" w:rsidR="00B524B1" w:rsidP="00B524B1" w:rsidRDefault="00B524B1" w14:paraId="21DEAA28" w14:textId="77777777">
      <w:pPr>
        <w:rPr>
          <w:rFonts w:ascii="Arial" w:hAnsi="Arial" w:cs="Arial"/>
          <w:sz w:val="24"/>
        </w:rPr>
      </w:pPr>
    </w:p>
    <w:p w:rsidRPr="00B524B1" w:rsidR="00B524B1" w:rsidP="00B524B1" w:rsidRDefault="00B524B1" w14:paraId="763295DF"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524B1">
        <w:rPr>
          <w:rFonts w:ascii="Arial" w:hAnsi="Arial" w:cs="Arial"/>
          <w:b/>
          <w:color w:val="1C4063" w:themeColor="accent1" w:themeShade="80"/>
          <w:sz w:val="28"/>
          <w:szCs w:val="28"/>
          <w:lang w:val="es-CR" w:eastAsia="es-CR"/>
        </w:rPr>
        <w:t>RESUMEN DE RESULTADOS</w:t>
      </w:r>
    </w:p>
    <w:p w:rsidRPr="00B524B1" w:rsidR="00B524B1" w:rsidP="00B524B1" w:rsidRDefault="00B524B1" w14:paraId="0DAC87F2" w14:textId="77777777">
      <w:pPr>
        <w:ind w:left="513"/>
        <w:contextualSpacing/>
        <w:rPr>
          <w:rFonts w:ascii="Arial" w:hAnsi="Arial" w:cs="Arial"/>
          <w:szCs w:val="22"/>
          <w:lang w:val="es-CR"/>
        </w:rPr>
      </w:pPr>
    </w:p>
    <w:p w:rsidRPr="00B524B1" w:rsidR="00B524B1" w:rsidP="00B524B1" w:rsidRDefault="00B524B1" w14:paraId="2EE8132D" w14:textId="77777777">
      <w:pPr>
        <w:rPr>
          <w:rFonts w:ascii="Arial" w:hAnsi="Arial" w:cs="Arial"/>
          <w:sz w:val="24"/>
        </w:rPr>
      </w:pPr>
      <w:r w:rsidRPr="00B524B1">
        <w:rPr>
          <w:rFonts w:ascii="Arial" w:hAnsi="Arial" w:cs="Arial"/>
          <w:sz w:val="24"/>
        </w:rPr>
        <w:t xml:space="preserve">Los resultados de esta evaluación permitieron identificar los siguientes aspectos: </w:t>
      </w:r>
    </w:p>
    <w:p w:rsidRPr="00B524B1" w:rsidR="00B524B1" w:rsidP="00B524B1" w:rsidRDefault="00B524B1" w14:paraId="18346B09" w14:textId="77777777">
      <w:pPr>
        <w:rPr>
          <w:rFonts w:ascii="Arial" w:hAnsi="Arial" w:cs="Arial"/>
          <w:sz w:val="24"/>
          <w:szCs w:val="28"/>
        </w:rPr>
      </w:pPr>
    </w:p>
    <w:p w:rsidRPr="00B524B1" w:rsidR="00B524B1" w:rsidP="00B524B1" w:rsidRDefault="00B524B1" w14:paraId="2DFAE8E6" w14:textId="77777777">
      <w:pPr>
        <w:rPr>
          <w:rFonts w:ascii="Arial" w:hAnsi="Arial" w:cs="Arial"/>
          <w:b/>
          <w:bCs/>
          <w:sz w:val="24"/>
        </w:rPr>
      </w:pPr>
      <w:r w:rsidRPr="00B524B1">
        <w:rPr>
          <w:rFonts w:ascii="Arial" w:hAnsi="Arial" w:cs="Arial"/>
          <w:b/>
          <w:bCs/>
          <w:sz w:val="24"/>
        </w:rPr>
        <w:t>Gestión de riesgos no financieros</w:t>
      </w:r>
    </w:p>
    <w:p w:rsidRPr="00B524B1" w:rsidR="00B524B1" w:rsidP="00B524B1" w:rsidRDefault="00B524B1" w14:paraId="0DC594FA" w14:textId="77777777">
      <w:pPr>
        <w:numPr>
          <w:ilvl w:val="0"/>
          <w:numId w:val="14"/>
        </w:numPr>
        <w:spacing w:after="120"/>
        <w:contextualSpacing/>
        <w:rPr>
          <w:rFonts w:ascii="Arial" w:hAnsi="Arial" w:cs="Arial"/>
          <w:sz w:val="24"/>
        </w:rPr>
      </w:pPr>
      <w:r w:rsidRPr="00B524B1">
        <w:rPr>
          <w:rFonts w:ascii="Arial" w:hAnsi="Arial" w:cs="Arial"/>
          <w:sz w:val="24"/>
        </w:rPr>
        <w:t>Se constató que el Banco cuenta con un proceso estructurado y formalmente establecido para la identificación, análisis y evaluación de los riesgos no financieros. Este proceso se apoya en una metodología estandarizada que permite valorar de manera consistente tanto el riesgo inherente como el riesgo residual.</w:t>
      </w:r>
    </w:p>
    <w:p w:rsidRPr="00B524B1" w:rsidR="00B524B1" w:rsidP="00B524B1" w:rsidRDefault="00B524B1" w14:paraId="6FF0F0FE" w14:textId="77777777">
      <w:pPr>
        <w:numPr>
          <w:ilvl w:val="0"/>
          <w:numId w:val="14"/>
        </w:numPr>
        <w:spacing w:after="120"/>
        <w:contextualSpacing/>
        <w:rPr>
          <w:rFonts w:ascii="Arial" w:hAnsi="Arial" w:cs="Arial"/>
          <w:sz w:val="24"/>
        </w:rPr>
      </w:pPr>
      <w:r w:rsidRPr="00B524B1">
        <w:rPr>
          <w:rFonts w:ascii="Arial" w:hAnsi="Arial" w:cs="Arial"/>
          <w:sz w:val="24"/>
        </w:rPr>
        <w:t>Se verificó que el Departamento de Gestión de Riesgos y Cumplimiento documenta de manera sistemática las contramedidas asociadas a los riesgos identificados. Asimismo, compara el nivel de riesgo residual con los umbrales de tolerancia institucional definidos, lo que permite una evaluación alineada con el apetito de riesgo del Banco. Adicionalmente, como parte del análisis de incidentes, se revaloran los controles implementados.</w:t>
      </w:r>
    </w:p>
    <w:p w:rsidRPr="00B524B1" w:rsidR="00B524B1" w:rsidP="00B524B1" w:rsidRDefault="00B524B1" w14:paraId="095A26A1" w14:textId="77777777">
      <w:pPr>
        <w:numPr>
          <w:ilvl w:val="0"/>
          <w:numId w:val="14"/>
        </w:numPr>
        <w:spacing w:after="120"/>
        <w:contextualSpacing/>
        <w:rPr>
          <w:rFonts w:ascii="Arial" w:hAnsi="Arial" w:cs="Arial"/>
          <w:sz w:val="24"/>
        </w:rPr>
      </w:pPr>
      <w:r w:rsidRPr="00B524B1">
        <w:rPr>
          <w:rFonts w:ascii="Arial" w:hAnsi="Arial" w:cs="Arial"/>
          <w:sz w:val="24"/>
        </w:rPr>
        <w:lastRenderedPageBreak/>
        <w:t>Se evidenció que el Banco cuenta con una herramienta específica para el registro y documentación de incidentes de riesgo, lo que permite su seguimiento y trazabilidad. El Departamento de Gestión de Riesgos y Cumplimiento realiza análisis la causa raíz para los eventos relevantes y, con base en los hallazgos obtenidos, los responsables de los correspondientes procesos implementan medidas correctivas orientadas a reducir la recurrencia de dichos incidentes.</w:t>
      </w:r>
    </w:p>
    <w:p w:rsidRPr="00B524B1" w:rsidR="00B524B1" w:rsidP="00B524B1" w:rsidRDefault="00B524B1" w14:paraId="6288A6C2" w14:textId="77777777">
      <w:pPr>
        <w:numPr>
          <w:ilvl w:val="0"/>
          <w:numId w:val="14"/>
        </w:numPr>
        <w:spacing w:after="120"/>
        <w:contextualSpacing/>
        <w:rPr>
          <w:rFonts w:ascii="Arial" w:hAnsi="Arial" w:cs="Arial"/>
          <w:sz w:val="24"/>
        </w:rPr>
      </w:pPr>
      <w:r w:rsidRPr="00B524B1">
        <w:rPr>
          <w:rFonts w:ascii="Arial" w:hAnsi="Arial" w:cs="Arial"/>
          <w:sz w:val="24"/>
        </w:rPr>
        <w:t>Se confirmó que, cuando un riesgo identificado supera los niveles de tolerancia establecidos por el Banco, los expertos del negocio y la División de Servicios Tecnológicos (DST) son los encargados de proponer las medidas de mitigación que se consideran necesarias para evitar la recurrencia de la situación.</w:t>
      </w:r>
      <w:r w:rsidRPr="00B524B1" w:rsidDel="003E3819">
        <w:rPr>
          <w:rFonts w:ascii="Arial" w:hAnsi="Arial" w:cs="Arial"/>
          <w:sz w:val="24"/>
        </w:rPr>
        <w:t xml:space="preserve"> </w:t>
      </w:r>
      <w:r w:rsidRPr="00B524B1">
        <w:rPr>
          <w:rFonts w:ascii="Arial" w:hAnsi="Arial" w:cs="Arial"/>
          <w:sz w:val="24"/>
        </w:rPr>
        <w:t>El Departamento de Gestión de Riesgos y Cumplimiento incorpora el correspondiente plan de mitigación en su informe y da seguimiento a su cumplimiento. Estos planes incluyen la asignación de responsables, la definición de plazos para ejecutar las medidas correctivas y su debida incorporación en la planificación presupuestaria institucional.</w:t>
      </w:r>
    </w:p>
    <w:p w:rsidRPr="00B524B1" w:rsidR="00B524B1" w:rsidP="00B524B1" w:rsidRDefault="00B524B1" w14:paraId="2F724A20" w14:textId="77777777">
      <w:pPr>
        <w:rPr>
          <w:rFonts w:ascii="Arial" w:hAnsi="Arial" w:cs="Arial"/>
        </w:rPr>
      </w:pPr>
    </w:p>
    <w:p w:rsidRPr="00B524B1" w:rsidR="00B524B1" w:rsidP="00B524B1" w:rsidRDefault="00B524B1" w14:paraId="4E928BCF" w14:textId="77777777">
      <w:pPr>
        <w:rPr>
          <w:rFonts w:ascii="Arial" w:hAnsi="Arial" w:cs="Arial"/>
          <w:b/>
          <w:bCs/>
          <w:sz w:val="24"/>
        </w:rPr>
      </w:pPr>
      <w:r w:rsidRPr="00B524B1">
        <w:rPr>
          <w:rFonts w:ascii="Arial" w:hAnsi="Arial" w:cs="Arial"/>
          <w:b/>
          <w:bCs/>
          <w:sz w:val="24"/>
        </w:rPr>
        <w:t>Gestión de incidentes en la mesa de ayuda y en el área de Operación y Monitorio del SINPE</w:t>
      </w:r>
    </w:p>
    <w:p w:rsidRPr="00B524B1" w:rsidR="00B524B1" w:rsidP="00B524B1" w:rsidRDefault="00B524B1" w14:paraId="670A6A66" w14:textId="77777777">
      <w:pPr>
        <w:numPr>
          <w:ilvl w:val="0"/>
          <w:numId w:val="14"/>
        </w:numPr>
        <w:spacing w:after="120"/>
        <w:contextualSpacing/>
        <w:rPr>
          <w:rFonts w:ascii="Arial" w:hAnsi="Arial" w:cs="Arial"/>
          <w:sz w:val="24"/>
        </w:rPr>
      </w:pPr>
      <w:r w:rsidRPr="00B524B1">
        <w:rPr>
          <w:rFonts w:ascii="Arial" w:hAnsi="Arial" w:cs="Arial"/>
          <w:sz w:val="24"/>
        </w:rPr>
        <w:t>Se verificó que la Mesa de Ayuda registra los incidentes en la herramienta correspondiente, los clasifica de acuerdo con su impacto y urgencia, y consulta la base de conocimientos institucional antes de proceder con su escalamiento al segundo nivel de soporte.</w:t>
      </w:r>
    </w:p>
    <w:p w:rsidRPr="00B524B1" w:rsidR="00B524B1" w:rsidP="00B524B1" w:rsidRDefault="00B524B1" w14:paraId="15A0C1F8" w14:textId="77777777">
      <w:pPr>
        <w:numPr>
          <w:ilvl w:val="0"/>
          <w:numId w:val="14"/>
        </w:numPr>
        <w:spacing w:after="120"/>
        <w:contextualSpacing/>
        <w:rPr>
          <w:rFonts w:ascii="Arial" w:hAnsi="Arial" w:cs="Arial"/>
          <w:sz w:val="24"/>
        </w:rPr>
      </w:pPr>
      <w:r w:rsidRPr="00B524B1">
        <w:rPr>
          <w:rFonts w:ascii="Arial" w:hAnsi="Arial" w:cs="Arial"/>
          <w:sz w:val="24"/>
        </w:rPr>
        <w:t>Se constató que los incidentes que no pueden ser resueltos en el primer nivel son escalados oportunamente a las áreas técnicas correspondientes. Además, su estado es monitoreado de forma continua para asegurar que se atienden dentro de los plazos establecidos.</w:t>
      </w:r>
    </w:p>
    <w:p w:rsidRPr="00B524B1" w:rsidR="00B524B1" w:rsidP="00B524B1" w:rsidRDefault="00B524B1" w14:paraId="533E04AF" w14:textId="77777777">
      <w:pPr>
        <w:numPr>
          <w:ilvl w:val="0"/>
          <w:numId w:val="14"/>
        </w:numPr>
        <w:spacing w:after="120"/>
        <w:contextualSpacing/>
        <w:rPr>
          <w:rFonts w:ascii="Arial" w:hAnsi="Arial" w:cs="Arial"/>
          <w:sz w:val="24"/>
        </w:rPr>
      </w:pPr>
      <w:r w:rsidRPr="00B524B1">
        <w:rPr>
          <w:rFonts w:ascii="Arial" w:hAnsi="Arial" w:cs="Arial"/>
          <w:sz w:val="24"/>
        </w:rPr>
        <w:t>Se comprobó que la Mesa de Ayuda mantiene informados a los usuarios sobre el estado de sus incidentes dentro de los plazos establecidos. Asimismo, todas las interacciones entre los funcionarios involucrados se documentan de manera completa en las herramientas de gestión de incidentes informáticos (Servicenow y CA Service desk).</w:t>
      </w:r>
    </w:p>
    <w:p w:rsidRPr="00B524B1" w:rsidR="00B524B1" w:rsidP="00B524B1" w:rsidRDefault="00B524B1" w14:paraId="0D469341" w14:textId="77777777">
      <w:pPr>
        <w:numPr>
          <w:ilvl w:val="0"/>
          <w:numId w:val="14"/>
        </w:numPr>
        <w:spacing w:after="120"/>
        <w:contextualSpacing/>
        <w:rPr>
          <w:rFonts w:ascii="Arial" w:hAnsi="Arial" w:cs="Arial"/>
          <w:sz w:val="24"/>
        </w:rPr>
      </w:pPr>
      <w:r w:rsidRPr="00B524B1">
        <w:rPr>
          <w:rFonts w:ascii="Arial" w:hAnsi="Arial" w:cs="Arial"/>
          <w:sz w:val="24"/>
        </w:rPr>
        <w:t>Se verificó que los incidentes recurrentes son identificados y reportados oportunamente para su análisis. En aquellos casos clasificados como críticos o de alta recurrencia, se realiza un estudio de causa raíz que permite sustentar la implementación de acciones correctivas orientadas a prevenir su reiteración y fortalecer la gestión operativa.</w:t>
      </w:r>
    </w:p>
    <w:p w:rsidRPr="00B524B1" w:rsidR="00B524B1" w:rsidP="00B524B1" w:rsidRDefault="00B524B1" w14:paraId="678BEABE" w14:textId="77777777">
      <w:pPr>
        <w:numPr>
          <w:ilvl w:val="0"/>
          <w:numId w:val="14"/>
        </w:numPr>
        <w:spacing w:after="120"/>
        <w:contextualSpacing/>
        <w:rPr>
          <w:rFonts w:ascii="Arial" w:hAnsi="Arial" w:cs="Arial"/>
          <w:sz w:val="24"/>
        </w:rPr>
      </w:pPr>
      <w:r w:rsidRPr="00B524B1">
        <w:rPr>
          <w:rFonts w:ascii="Arial" w:hAnsi="Arial" w:cs="Arial"/>
          <w:sz w:val="24"/>
        </w:rPr>
        <w:t>Se constató que, previo al cierre de un incidente, la Mesa de Ayuda verifica con el usuario la efectividad de la solución aplicada, asegurando su conformidad. Además, se documenta la experiencia en la base de conocimientos institucional, se aplican los controles de seguridad requeridos en casos relacionados con ciberseguridad y se realiza el seguimiento correspondiente hasta su cierre definitivo.</w:t>
      </w:r>
    </w:p>
    <w:p w:rsidRPr="00B524B1" w:rsidR="00B524B1" w:rsidP="00B524B1" w:rsidRDefault="00B524B1" w14:paraId="7DB97BD2" w14:textId="77777777">
      <w:pPr>
        <w:numPr>
          <w:ilvl w:val="0"/>
          <w:numId w:val="14"/>
        </w:numPr>
        <w:spacing w:after="120"/>
        <w:contextualSpacing/>
        <w:rPr>
          <w:rFonts w:ascii="Arial" w:hAnsi="Arial" w:cs="Arial"/>
          <w:sz w:val="24"/>
        </w:rPr>
      </w:pPr>
      <w:r w:rsidRPr="00B524B1">
        <w:rPr>
          <w:rFonts w:ascii="Arial" w:hAnsi="Arial" w:cs="Arial"/>
          <w:sz w:val="24"/>
        </w:rPr>
        <w:lastRenderedPageBreak/>
        <w:t>Se verificó que, cuando un incidente afecta la operación del servicio dentro de un horario determinado, el Banco puede ampliar el horario conforme a la Norma Complementaria de Gestión de Riesgos del Sinpe.</w:t>
      </w:r>
    </w:p>
    <w:p w:rsidRPr="00B524B1" w:rsidR="00B524B1" w:rsidP="00B524B1" w:rsidRDefault="00B524B1" w14:paraId="4FD030B5" w14:textId="77777777">
      <w:pPr>
        <w:rPr>
          <w:rFonts w:ascii="Arial" w:hAnsi="Arial" w:cs="Arial"/>
        </w:rPr>
      </w:pPr>
    </w:p>
    <w:p w:rsidRPr="00B524B1" w:rsidR="00B524B1" w:rsidP="00B524B1" w:rsidRDefault="00B524B1" w14:paraId="00E96EB1" w14:textId="77777777">
      <w:pPr>
        <w:rPr>
          <w:rFonts w:ascii="Arial" w:hAnsi="Arial" w:cs="Arial"/>
          <w:b/>
          <w:bCs/>
          <w:sz w:val="24"/>
        </w:rPr>
      </w:pPr>
      <w:r w:rsidRPr="00B524B1">
        <w:rPr>
          <w:rFonts w:ascii="Arial" w:hAnsi="Arial" w:cs="Arial"/>
          <w:b/>
          <w:bCs/>
          <w:sz w:val="24"/>
        </w:rPr>
        <w:t>Administración de la comunicación institucional</w:t>
      </w:r>
    </w:p>
    <w:p w:rsidRPr="00B524B1" w:rsidR="00B524B1" w:rsidP="00B524B1" w:rsidRDefault="00B524B1" w14:paraId="16483519" w14:textId="77777777">
      <w:pPr>
        <w:numPr>
          <w:ilvl w:val="0"/>
          <w:numId w:val="14"/>
        </w:numPr>
        <w:spacing w:after="120"/>
        <w:contextualSpacing/>
        <w:rPr>
          <w:rFonts w:ascii="Arial" w:hAnsi="Arial" w:cs="Arial"/>
          <w:sz w:val="24"/>
        </w:rPr>
      </w:pPr>
      <w:r w:rsidRPr="00B524B1">
        <w:rPr>
          <w:rFonts w:ascii="Arial" w:hAnsi="Arial" w:cs="Arial"/>
          <w:sz w:val="24"/>
        </w:rPr>
        <w:t>Se verificó que el Banco cuenta con políticas y procedimientos formalmente documentados que regulan la comunicación institucional, lo cual garantiza la coherencia y consistencia de la información dirigida al público interno y externo.</w:t>
      </w:r>
    </w:p>
    <w:p w:rsidRPr="00B524B1" w:rsidR="00B524B1" w:rsidP="00B524B1" w:rsidRDefault="00B524B1" w14:paraId="6B29CDC8" w14:textId="77777777">
      <w:pPr>
        <w:numPr>
          <w:ilvl w:val="0"/>
          <w:numId w:val="14"/>
        </w:numPr>
        <w:spacing w:after="120"/>
        <w:contextualSpacing/>
        <w:rPr>
          <w:rFonts w:ascii="Arial" w:hAnsi="Arial" w:cs="Arial"/>
          <w:sz w:val="24"/>
        </w:rPr>
      </w:pPr>
      <w:r w:rsidRPr="00B524B1">
        <w:rPr>
          <w:rFonts w:ascii="Arial" w:hAnsi="Arial" w:cs="Arial"/>
          <w:sz w:val="24"/>
        </w:rPr>
        <w:t>Se evidenció que toda comunicación oficial del Banco dirigida a los medios de comunicación o públicos externos es autorizada y gestionada exclusivamente por los voceros institucionales designados.</w:t>
      </w:r>
    </w:p>
    <w:p w:rsidRPr="00B524B1" w:rsidR="00B524B1" w:rsidP="00B524B1" w:rsidRDefault="00B524B1" w14:paraId="3DC864DC" w14:textId="77777777">
      <w:pPr>
        <w:numPr>
          <w:ilvl w:val="0"/>
          <w:numId w:val="14"/>
        </w:numPr>
        <w:spacing w:after="120"/>
        <w:contextualSpacing/>
        <w:rPr>
          <w:rFonts w:ascii="Arial" w:hAnsi="Arial" w:cs="Arial"/>
          <w:sz w:val="24"/>
        </w:rPr>
      </w:pPr>
      <w:r w:rsidRPr="00B524B1">
        <w:rPr>
          <w:rFonts w:ascii="Arial" w:hAnsi="Arial" w:cs="Arial"/>
          <w:sz w:val="24"/>
        </w:rPr>
        <w:t>Se confirmó que el Banco cuenta con un plan de comunicación para situaciones de crisis, el cual establece protocolos claros para la difusión de información precisa y oportuna. Este plan está alineado con la estrategia institucional de continuidad del negocio.</w:t>
      </w:r>
    </w:p>
    <w:p w:rsidRPr="00B524B1" w:rsidR="00B524B1" w:rsidP="00B524B1" w:rsidRDefault="00B524B1" w14:paraId="4BD21D12" w14:textId="77777777">
      <w:pPr>
        <w:rPr>
          <w:rFonts w:ascii="Arial" w:hAnsi="Arial" w:cs="Arial"/>
          <w:b/>
          <w:bCs/>
          <w:sz w:val="24"/>
          <w:szCs w:val="28"/>
        </w:rPr>
      </w:pPr>
      <w:bookmarkStart w:name="_Hlk175148887" w:id="1"/>
    </w:p>
    <w:p w:rsidRPr="00B524B1" w:rsidR="00B524B1" w:rsidP="00B524B1" w:rsidRDefault="00B524B1" w14:paraId="56B20A83" w14:textId="77777777">
      <w:pPr>
        <w:rPr>
          <w:rFonts w:ascii="Arial" w:hAnsi="Arial" w:cs="Arial"/>
          <w:sz w:val="24"/>
          <w:szCs w:val="28"/>
        </w:rPr>
      </w:pPr>
    </w:p>
    <w:p w:rsidRPr="00B524B1" w:rsidR="00B524B1" w:rsidP="00B524B1" w:rsidRDefault="00B524B1" w14:paraId="074A2EAB"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B524B1">
        <w:rPr>
          <w:rFonts w:ascii="Arial" w:hAnsi="Arial" w:cs="Arial"/>
          <w:b/>
          <w:color w:val="1C4063" w:themeColor="accent1" w:themeShade="80"/>
          <w:sz w:val="28"/>
          <w:szCs w:val="28"/>
          <w:lang w:val="es-CR" w:eastAsia="es-CR"/>
        </w:rPr>
        <w:t>CONCLUSIÓN</w:t>
      </w:r>
    </w:p>
    <w:p w:rsidRPr="00B524B1" w:rsidR="00B524B1" w:rsidP="00B524B1" w:rsidRDefault="00B524B1" w14:paraId="43ECF8E3" w14:textId="77777777">
      <w:pPr>
        <w:rPr>
          <w:rFonts w:ascii="Arial" w:hAnsi="Arial" w:cs="Arial"/>
          <w:sz w:val="24"/>
          <w:szCs w:val="28"/>
        </w:rPr>
      </w:pPr>
    </w:p>
    <w:p w:rsidRPr="00B524B1" w:rsidR="00B524B1" w:rsidP="00B524B1" w:rsidRDefault="00B524B1" w14:paraId="75150117" w14:textId="77777777">
      <w:pPr>
        <w:rPr>
          <w:rFonts w:ascii="Arial" w:hAnsi="Arial" w:cs="Arial"/>
          <w:sz w:val="24"/>
        </w:rPr>
      </w:pPr>
      <w:bookmarkStart w:name="_Hlk175149115" w:id="2"/>
      <w:r w:rsidRPr="00B524B1">
        <w:rPr>
          <w:rFonts w:ascii="Arial" w:hAnsi="Arial" w:cs="Arial"/>
          <w:sz w:val="24"/>
        </w:rPr>
        <w:t xml:space="preserve">Los resultados obtenidos permitieron concluir que el proceso evaluado </w:t>
      </w:r>
      <w:r w:rsidRPr="00B524B1">
        <w:rPr>
          <w:rFonts w:ascii="Arial" w:hAnsi="Arial" w:cs="Arial"/>
          <w:b/>
          <w:bCs/>
          <w:sz w:val="24"/>
        </w:rPr>
        <w:t>cumple</w:t>
      </w:r>
      <w:bookmarkEnd w:id="2"/>
      <w:r w:rsidRPr="00B524B1">
        <w:rPr>
          <w:rFonts w:ascii="Arial" w:hAnsi="Arial" w:cs="Arial"/>
          <w:sz w:val="24"/>
        </w:rPr>
        <w:t xml:space="preserve"> con los criterios de evaluación establecidos.</w:t>
      </w:r>
    </w:p>
    <w:p w:rsidRPr="00B524B1" w:rsidR="00B524B1" w:rsidP="00B524B1" w:rsidRDefault="00B524B1" w14:paraId="41D7CD63" w14:textId="77777777">
      <w:pPr>
        <w:rPr>
          <w:rFonts w:ascii="Arial" w:hAnsi="Arial" w:cs="Arial"/>
          <w:sz w:val="24"/>
          <w:szCs w:val="28"/>
        </w:rPr>
      </w:pPr>
    </w:p>
    <w:bookmarkEnd w:id="1"/>
    <w:p w:rsidRPr="00B524B1" w:rsidR="00B524B1" w:rsidP="00B524B1" w:rsidRDefault="00B524B1" w14:paraId="0EEF1686" w14:textId="77777777">
      <w:pPr>
        <w:widowControl w:val="0"/>
        <w:rPr>
          <w:rFonts w:ascii="Arial" w:hAnsi="Arial" w:cs="Arial"/>
          <w:sz w:val="24"/>
        </w:rPr>
      </w:pPr>
    </w:p>
    <w:p w:rsidRPr="00B524B1" w:rsidR="00B524B1" w:rsidP="00B524B1" w:rsidRDefault="00B524B1" w14:paraId="053FD811" w14:textId="77777777">
      <w:pPr>
        <w:rPr>
          <w:rFonts w:ascii="Arial" w:hAnsi="Arial" w:cs="Arial"/>
          <w:sz w:val="24"/>
          <w:lang w:val="es-MX" w:eastAsia="es-MX"/>
        </w:rPr>
      </w:pPr>
      <w:r w:rsidRPr="00B524B1">
        <w:rPr>
          <w:rFonts w:ascii="Arial" w:hAnsi="Arial" w:cs="Arial"/>
          <w:sz w:val="24"/>
          <w:lang w:val="es-MX" w:eastAsia="es-MX"/>
        </w:rPr>
        <w:t>La Auditoría Interna realizó las conferencias técnica y final de este informe con las dependencias involucradas, a saber: Área de Comunicación Institucional, Departamento de Gestión de Riesgos y Cumplimiento, Departamento de Arquitectura y Gestión de TI y el Área de Operación y Monitoreo de SINPE y la Gerencia, respectivamente, como parte de la comunicación preliminar de los resultados.</w:t>
      </w:r>
    </w:p>
    <w:p w:rsidRPr="00B524B1" w:rsidR="00B524B1" w:rsidP="00B524B1" w:rsidRDefault="00B524B1" w14:paraId="7D50BF4A" w14:textId="77777777">
      <w:pPr>
        <w:rPr>
          <w:rFonts w:ascii="Arial" w:hAnsi="Arial" w:cs="Arial"/>
          <w:sz w:val="24"/>
          <w:lang w:val="es-MX" w:eastAsia="es-MX"/>
        </w:rPr>
      </w:pPr>
    </w:p>
    <w:p w:rsidRPr="00B524B1" w:rsidR="00B524B1" w:rsidP="00B524B1" w:rsidRDefault="00B524B1" w14:paraId="1DC78627" w14:textId="77777777">
      <w:pPr>
        <w:rPr>
          <w:rFonts w:ascii="Arial" w:hAnsi="Arial" w:cs="Arial"/>
          <w:sz w:val="24"/>
          <w:lang w:val="pt-BR"/>
        </w:rPr>
      </w:pPr>
      <w:bookmarkStart w:name="R_043962_40718750" w:id="3"/>
      <w:bookmarkEnd w:id="3"/>
      <w:r w:rsidRPr="00B524B1">
        <w:rPr>
          <w:rFonts w:ascii="Arial" w:hAnsi="Arial" w:cs="Arial"/>
          <w:sz w:val="24"/>
          <w:lang w:val="pt-BR"/>
        </w:rPr>
        <w:t>Atentamente,</w:t>
      </w:r>
    </w:p>
    <w:p w:rsidRPr="00B524B1" w:rsidR="00B524B1" w:rsidP="00B524B1" w:rsidRDefault="00B524B1" w14:paraId="0A723AD9" w14:textId="77777777">
      <w:pPr>
        <w:ind w:left="360"/>
        <w:rPr>
          <w:rFonts w:ascii="Arial" w:hAnsi="Arial" w:cs="Arial"/>
          <w:sz w:val="24"/>
          <w:lang w:val="pt-BR"/>
        </w:rPr>
      </w:pPr>
    </w:p>
    <w:p w:rsidRPr="00B524B1" w:rsidR="00B524B1" w:rsidP="00B524B1" w:rsidRDefault="00B524B1" w14:paraId="5B483E8B" w14:textId="77777777">
      <w:pPr>
        <w:ind w:left="360"/>
        <w:rPr>
          <w:rFonts w:ascii="Arial" w:hAnsi="Arial" w:cs="Arial"/>
          <w:sz w:val="24"/>
          <w:lang w:val="pt-BR"/>
        </w:rPr>
      </w:pPr>
      <w:r w:rsidRPr="00B524B1">
        <w:rPr>
          <w:rFonts w:ascii="Arial" w:hAnsi="Arial" w:cs="Arial"/>
          <w:noProof/>
          <w:sz w:val="24"/>
          <w:lang w:val="es-CR" w:eastAsia="es-CR"/>
        </w:rPr>
        <w:drawing>
          <wp:anchor distT="0" distB="0" distL="114300" distR="114300" simplePos="0" relativeHeight="251659264" behindDoc="1" locked="0" layoutInCell="1" allowOverlap="1" wp14:editId="2DDAAECC" wp14:anchorId="7942EC03">
            <wp:simplePos x="0" y="0"/>
            <wp:positionH relativeFrom="column">
              <wp:posOffset>-162560</wp:posOffset>
            </wp:positionH>
            <wp:positionV relativeFrom="paragraph">
              <wp:posOffset>79375</wp:posOffset>
            </wp:positionV>
            <wp:extent cx="2506980" cy="388620"/>
            <wp:effectExtent l="0" t="0" r="0" b="0"/>
            <wp:wrapNone/>
            <wp:docPr id="932560219" name="Imagen 932560219"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60219" name="Imagen 932560219"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B524B1" w:rsidR="00B524B1" w:rsidP="00B524B1" w:rsidRDefault="00B524B1" w14:paraId="7D943EAC" w14:textId="77777777">
      <w:pPr>
        <w:rPr>
          <w:rFonts w:ascii="Arial" w:hAnsi="Arial" w:cs="Arial"/>
          <w:sz w:val="24"/>
          <w:lang w:val="pt-BR"/>
        </w:rPr>
      </w:pPr>
    </w:p>
    <w:p w:rsidRPr="00B524B1" w:rsidR="00B524B1" w:rsidP="00B524B1" w:rsidRDefault="00B524B1" w14:paraId="3B354711" w14:textId="77777777">
      <w:pPr>
        <w:rPr>
          <w:rFonts w:ascii="Arial" w:hAnsi="Arial" w:cs="Arial"/>
          <w:sz w:val="24"/>
          <w:lang w:val="pt-BR"/>
        </w:rPr>
      </w:pPr>
    </w:p>
    <w:p w:rsidRPr="00B524B1" w:rsidR="00B524B1" w:rsidP="00B524B1" w:rsidRDefault="00B524B1" w14:paraId="05F43750" w14:textId="77777777">
      <w:pPr>
        <w:rPr>
          <w:rFonts w:ascii="Arial" w:hAnsi="Arial" w:cs="Arial"/>
          <w:sz w:val="24"/>
          <w:lang w:val="pt-BR"/>
        </w:rPr>
      </w:pPr>
      <w:r w:rsidRPr="00B524B1">
        <w:rPr>
          <w:rFonts w:ascii="Arial" w:hAnsi="Arial" w:cs="Arial"/>
          <w:sz w:val="24"/>
          <w:lang w:val="pt-BR"/>
        </w:rPr>
        <w:t>Maribel Lizano Barahona</w:t>
      </w:r>
    </w:p>
    <w:p w:rsidRPr="00B524B1" w:rsidR="00B524B1" w:rsidP="00B524B1" w:rsidRDefault="00B524B1" w14:paraId="04FAAD44" w14:textId="77777777">
      <w:pPr>
        <w:rPr>
          <w:rFonts w:ascii="Arial" w:hAnsi="Arial" w:cs="Arial"/>
          <w:b/>
          <w:sz w:val="24"/>
          <w:lang w:val="pt-BR"/>
        </w:rPr>
      </w:pPr>
      <w:r w:rsidRPr="00B524B1">
        <w:rPr>
          <w:rFonts w:ascii="Arial" w:hAnsi="Arial" w:cs="Arial"/>
          <w:b/>
          <w:sz w:val="24"/>
          <w:lang w:val="pt-BR"/>
        </w:rPr>
        <w:t>Subauditora Interna</w:t>
      </w:r>
    </w:p>
    <w:p w:rsidR="00B524B1" w:rsidP="00B524B1" w:rsidRDefault="00B524B1" w14:paraId="1FD5BBD5" w14:textId="77777777">
      <w:pPr>
        <w:pStyle w:val="CC"/>
      </w:pPr>
    </w:p>
    <w:p w:rsidRPr="00B524B1" w:rsidR="00B524B1" w:rsidP="00B524B1" w:rsidRDefault="00B524B1" w14:paraId="1A316E72" w14:textId="77777777">
      <w:pPr>
        <w:pStyle w:val="CC"/>
      </w:pPr>
    </w:p>
    <w:p w:rsidRPr="00B524B1" w:rsidR="00B524B1" w:rsidP="00B524B1" w:rsidRDefault="00B524B1" w14:paraId="6593A1B5" w14:textId="3AFF1A56">
      <w:pPr>
        <w:pStyle w:val="CC"/>
      </w:pPr>
      <w:bookmarkStart w:name="_Hlk175152186" w:id="4"/>
      <w:r w:rsidRPr="00B524B1">
        <w:t>C</w:t>
      </w:r>
      <w:r>
        <w:t>c</w:t>
      </w:r>
      <w:r w:rsidRPr="00B524B1">
        <w:t>.</w:t>
      </w:r>
      <w:r w:rsidRPr="00B524B1">
        <w:tab/>
        <w:t xml:space="preserve">División </w:t>
      </w:r>
      <w:bookmarkEnd w:id="4"/>
      <w:r w:rsidRPr="00B524B1">
        <w:t>de Servicios Tecnológicos</w:t>
      </w:r>
    </w:p>
    <w:p w:rsidRPr="00B524B1" w:rsidR="00B524B1" w:rsidP="00B524B1" w:rsidRDefault="00B524B1" w14:paraId="6BAF99F5" w14:textId="77777777">
      <w:pPr>
        <w:pStyle w:val="CC"/>
        <w:ind w:firstLine="720"/>
      </w:pPr>
      <w:r w:rsidRPr="00B524B1">
        <w:t>División de Sistema de Pagos</w:t>
      </w:r>
    </w:p>
    <w:p w:rsidRPr="00B524B1" w:rsidR="00B524B1" w:rsidP="00B524B1" w:rsidRDefault="00B524B1" w14:paraId="4AB239D9" w14:textId="77777777">
      <w:pPr>
        <w:pStyle w:val="CC"/>
        <w:ind w:firstLine="720"/>
      </w:pPr>
      <w:r w:rsidRPr="00B524B1">
        <w:t>Departamento de Gestión de Riesgos y Cumplimiento</w:t>
      </w:r>
    </w:p>
    <w:p w:rsidRPr="00B524B1" w:rsidR="00B524B1" w:rsidP="00B524B1" w:rsidRDefault="00B524B1" w14:paraId="32621EC3" w14:textId="77777777">
      <w:pPr>
        <w:pStyle w:val="CC"/>
        <w:ind w:firstLine="720"/>
      </w:pPr>
      <w:r w:rsidRPr="00B524B1">
        <w:t>Área de Comunicación Institucional</w:t>
      </w:r>
    </w:p>
    <w:sectPr w:rsidRPr="00B524B1" w:rsidR="00B524B1" w:rsidSect="00B524B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2449" w:right="1412"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36C30" w14:textId="77777777" w:rsidR="00B524B1" w:rsidRDefault="00B524B1" w:rsidP="00D43D57">
      <w:r>
        <w:separator/>
      </w:r>
    </w:p>
  </w:endnote>
  <w:endnote w:type="continuationSeparator" w:id="0">
    <w:p w14:paraId="2F5DB6D8" w14:textId="77777777" w:rsidR="00B524B1" w:rsidRDefault="00B524B1"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B524B1" w14:paraId="1BFDE09C" w14:textId="591C2782">
    <w:pPr>
      <w:pStyle w:val="Piedepgina"/>
    </w:pPr>
    <w:r>
      <w:rPr>
        <w:noProof/>
      </w:rPr>
      <mc:AlternateContent>
        <mc:Choice Requires="wps">
          <w:drawing>
            <wp:anchor distT="0" distB="0" distL="0" distR="0" simplePos="0" relativeHeight="251698176" behindDoc="0" locked="0" layoutInCell="1" allowOverlap="1" wp14:editId="103595A4" wp14:anchorId="28247D4C">
              <wp:simplePos x="635" y="635"/>
              <wp:positionH relativeFrom="page">
                <wp:align>center</wp:align>
              </wp:positionH>
              <wp:positionV relativeFrom="page">
                <wp:align>bottom</wp:align>
              </wp:positionV>
              <wp:extent cx="609600" cy="345440"/>
              <wp:effectExtent l="0" t="0" r="0" b="0"/>
              <wp:wrapNone/>
              <wp:docPr id="641964465"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524B1" w:rsidR="00B524B1" w:rsidP="00B524B1" w:rsidRDefault="00B524B1" w14:paraId="02EC6C6F" w14:textId="430892ED">
                          <w:pPr>
                            <w:rPr>
                              <w:rFonts w:ascii="Calibri" w:hAnsi="Calibri" w:eastAsia="Calibri" w:cs="Calibri"/>
                              <w:noProof/>
                              <w:color w:val="000000"/>
                              <w:sz w:val="20"/>
                              <w:szCs w:val="20"/>
                            </w:rPr>
                          </w:pPr>
                          <w:r w:rsidRPr="00B524B1">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8247D4C">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B524B1" w:rsidR="00B524B1" w:rsidP="00B524B1" w:rsidRDefault="00B524B1" w14:paraId="02EC6C6F" w14:textId="430892ED">
                    <w:pPr>
                      <w:rPr>
                        <w:rFonts w:ascii="Calibri" w:hAnsi="Calibri" w:eastAsia="Calibri" w:cs="Calibri"/>
                        <w:noProof/>
                        <w:color w:val="000000"/>
                        <w:sz w:val="20"/>
                        <w:szCs w:val="20"/>
                      </w:rPr>
                    </w:pPr>
                    <w:r w:rsidRPr="00B524B1">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B524B1" w14:paraId="5E448029" w14:textId="72AFC458">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042B55A0" wp14:anchorId="5C0C54E2">
              <wp:simplePos x="635" y="635"/>
              <wp:positionH relativeFrom="page">
                <wp:align>center</wp:align>
              </wp:positionH>
              <wp:positionV relativeFrom="page">
                <wp:align>bottom</wp:align>
              </wp:positionV>
              <wp:extent cx="609600" cy="345440"/>
              <wp:effectExtent l="0" t="0" r="0" b="0"/>
              <wp:wrapNone/>
              <wp:docPr id="59269798"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524B1" w:rsidR="00B524B1" w:rsidP="00B524B1" w:rsidRDefault="00B524B1" w14:paraId="3E6810FC" w14:textId="39607B9F">
                          <w:pPr>
                            <w:rPr>
                              <w:rFonts w:ascii="Calibri" w:hAnsi="Calibri" w:eastAsia="Calibri" w:cs="Calibri"/>
                              <w:noProof/>
                              <w:color w:val="000000"/>
                              <w:sz w:val="20"/>
                              <w:szCs w:val="20"/>
                            </w:rPr>
                          </w:pPr>
                          <w:r w:rsidRPr="00B524B1">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C0C54E2">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B524B1" w:rsidR="00B524B1" w:rsidP="00B524B1" w:rsidRDefault="00B524B1" w14:paraId="3E6810FC" w14:textId="39607B9F">
                    <w:pPr>
                      <w:rPr>
                        <w:rFonts w:ascii="Calibri" w:hAnsi="Calibri" w:eastAsia="Calibri" w:cs="Calibri"/>
                        <w:noProof/>
                        <w:color w:val="000000"/>
                        <w:sz w:val="20"/>
                        <w:szCs w:val="20"/>
                      </w:rPr>
                    </w:pPr>
                    <w:r w:rsidRPr="00B524B1">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F1D38C63BA184C0D95A39886806D54E8"/>
        </w:placeholder>
        <w:text/>
      </w:sdtPr>
      <w:sdtEndPr/>
      <w:sdtContent>
        <w:r>
          <w:t>AI-0089-2025</w:t>
        </w:r>
      </w:sdtContent>
    </w:sdt>
  </w:p>
  <w:p w:rsidR="002307FE" w:rsidP="00FA54DF" w:rsidRDefault="002307FE" w14:paraId="04F58BA0"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5AFA2DB9"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20E74020" wp14:anchorId="5D40FAED">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464CED4F"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038D262"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EEBB58B" w14:textId="77777777">
                          <w:pPr>
                            <w:rPr>
                              <w:color w:val="003A68"/>
                              <w:sz w:val="14"/>
                              <w:szCs w:val="14"/>
                            </w:rPr>
                          </w:pPr>
                          <w:r w:rsidRPr="00FA54DF">
                            <w:rPr>
                              <w:color w:val="003A68"/>
                              <w:sz w:val="14"/>
                              <w:szCs w:val="14"/>
                            </w:rPr>
                            <w:t>Apdo. 10058-1000</w:t>
                          </w:r>
                        </w:p>
                        <w:p w:rsidR="00D2424F" w:rsidP="00FA54DF" w:rsidRDefault="00D2424F" w14:paraId="63A07B52" w14:textId="77777777">
                          <w:pPr>
                            <w:rPr>
                              <w:color w:val="003A68"/>
                              <w:sz w:val="14"/>
                              <w:szCs w:val="14"/>
                            </w:rPr>
                          </w:pPr>
                          <w:r w:rsidRPr="00FA54DF">
                            <w:rPr>
                              <w:color w:val="003A68"/>
                              <w:sz w:val="14"/>
                              <w:szCs w:val="14"/>
                            </w:rPr>
                            <w:t>Av. 1 y Central, Calles 2 y 4</w:t>
                          </w:r>
                        </w:p>
                        <w:p w:rsidRPr="00FA54DF" w:rsidR="00D2424F" w:rsidP="00FA54DF" w:rsidRDefault="00D2424F" w14:paraId="1EA7F34D"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5D40FAED">
              <v:textbox>
                <w:txbxContent>
                  <w:p w:rsidRPr="00FA54DF" w:rsidR="00D2424F" w:rsidP="00FA54DF" w:rsidRDefault="00D2424F" w14:paraId="464CED4F"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038D262"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EEBB58B" w14:textId="77777777">
                    <w:pPr>
                      <w:rPr>
                        <w:color w:val="003A68"/>
                        <w:sz w:val="14"/>
                        <w:szCs w:val="14"/>
                      </w:rPr>
                    </w:pPr>
                    <w:r w:rsidRPr="00FA54DF">
                      <w:rPr>
                        <w:color w:val="003A68"/>
                        <w:sz w:val="14"/>
                        <w:szCs w:val="14"/>
                      </w:rPr>
                      <w:t>Apdo. 10058-1000</w:t>
                    </w:r>
                  </w:p>
                  <w:p w:rsidR="00D2424F" w:rsidP="00FA54DF" w:rsidRDefault="00D2424F" w14:paraId="63A07B52" w14:textId="77777777">
                    <w:pPr>
                      <w:rPr>
                        <w:color w:val="003A68"/>
                        <w:sz w:val="14"/>
                        <w:szCs w:val="14"/>
                      </w:rPr>
                    </w:pPr>
                    <w:r w:rsidRPr="00FA54DF">
                      <w:rPr>
                        <w:color w:val="003A68"/>
                        <w:sz w:val="14"/>
                        <w:szCs w:val="14"/>
                      </w:rPr>
                      <w:t>Av. 1 y Central, Calles 2 y 4</w:t>
                    </w:r>
                  </w:p>
                  <w:p w:rsidRPr="00FA54DF" w:rsidR="00D2424F" w:rsidP="00FA54DF" w:rsidRDefault="00D2424F" w14:paraId="1EA7F34D"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5936B8B1" wp14:anchorId="6293BFEC">
          <wp:simplePos x="0" y="0"/>
          <wp:positionH relativeFrom="column">
            <wp:posOffset>4550781</wp:posOffset>
          </wp:positionH>
          <wp:positionV relativeFrom="paragraph">
            <wp:posOffset>-190500</wp:posOffset>
          </wp:positionV>
          <wp:extent cx="8890" cy="431165"/>
          <wp:effectExtent l="0" t="0" r="0" b="0"/>
          <wp:wrapNone/>
          <wp:docPr id="925256981" name="Imagen 92525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B524B1" w14:paraId="42314CF6" w14:textId="61D79416">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79C26C7B" wp14:anchorId="26590A6D">
              <wp:simplePos x="1079500" y="9283700"/>
              <wp:positionH relativeFrom="page">
                <wp:align>center</wp:align>
              </wp:positionH>
              <wp:positionV relativeFrom="page">
                <wp:align>bottom</wp:align>
              </wp:positionV>
              <wp:extent cx="609600" cy="345440"/>
              <wp:effectExtent l="0" t="0" r="0" b="0"/>
              <wp:wrapNone/>
              <wp:docPr id="75244338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B524B1" w:rsidR="00B524B1" w:rsidP="00B524B1" w:rsidRDefault="00B524B1" w14:paraId="5DD37CF6" w14:textId="156DDE1C">
                          <w:pPr>
                            <w:rPr>
                              <w:rFonts w:ascii="Calibri" w:hAnsi="Calibri" w:eastAsia="Calibri" w:cs="Calibri"/>
                              <w:noProof/>
                              <w:color w:val="000000"/>
                              <w:sz w:val="20"/>
                              <w:szCs w:val="20"/>
                            </w:rPr>
                          </w:pPr>
                          <w:r w:rsidRPr="00B524B1">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6590A6D">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B524B1" w:rsidR="00B524B1" w:rsidP="00B524B1" w:rsidRDefault="00B524B1" w14:paraId="5DD37CF6" w14:textId="156DDE1C">
                    <w:pPr>
                      <w:rPr>
                        <w:rFonts w:ascii="Calibri" w:hAnsi="Calibri" w:eastAsia="Calibri" w:cs="Calibri"/>
                        <w:noProof/>
                        <w:color w:val="000000"/>
                        <w:sz w:val="20"/>
                        <w:szCs w:val="20"/>
                      </w:rPr>
                    </w:pPr>
                    <w:r w:rsidRPr="00B524B1">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78B44EB1" wp14:anchorId="21EC137C">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6925229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50ADB92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3A4D806" w14:textId="77777777">
                          <w:pPr>
                            <w:rPr>
                              <w:color w:val="003A68"/>
                              <w:sz w:val="14"/>
                              <w:szCs w:val="14"/>
                            </w:rPr>
                          </w:pPr>
                          <w:r w:rsidRPr="00FA54DF">
                            <w:rPr>
                              <w:color w:val="003A68"/>
                              <w:sz w:val="14"/>
                              <w:szCs w:val="14"/>
                            </w:rPr>
                            <w:t>Apdo. 10058-1000</w:t>
                          </w:r>
                        </w:p>
                        <w:p w:rsidR="00B65442" w:rsidP="00B65442" w:rsidRDefault="00B65442" w14:paraId="56002343" w14:textId="77777777">
                          <w:pPr>
                            <w:rPr>
                              <w:color w:val="003A68"/>
                              <w:sz w:val="14"/>
                              <w:szCs w:val="14"/>
                            </w:rPr>
                          </w:pPr>
                          <w:r w:rsidRPr="00FA54DF">
                            <w:rPr>
                              <w:color w:val="003A68"/>
                              <w:sz w:val="14"/>
                              <w:szCs w:val="14"/>
                            </w:rPr>
                            <w:t>Av. 1 y Central, Calles 2 y 4</w:t>
                          </w:r>
                        </w:p>
                        <w:p w:rsidRPr="00FA54DF" w:rsidR="00D2424F" w:rsidRDefault="00D2424F" w14:paraId="5E55AD4F"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21EC137C">
              <v:textbox>
                <w:txbxContent>
                  <w:p w:rsidRPr="00FA54DF" w:rsidR="00D2424F" w:rsidRDefault="00D2424F" w14:paraId="6925229C"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50ADB92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3A4D806" w14:textId="77777777">
                    <w:pPr>
                      <w:rPr>
                        <w:color w:val="003A68"/>
                        <w:sz w:val="14"/>
                        <w:szCs w:val="14"/>
                      </w:rPr>
                    </w:pPr>
                    <w:r w:rsidRPr="00FA54DF">
                      <w:rPr>
                        <w:color w:val="003A68"/>
                        <w:sz w:val="14"/>
                        <w:szCs w:val="14"/>
                      </w:rPr>
                      <w:t>Apdo. 10058-1000</w:t>
                    </w:r>
                  </w:p>
                  <w:p w:rsidR="00B65442" w:rsidP="00B65442" w:rsidRDefault="00B65442" w14:paraId="56002343" w14:textId="77777777">
                    <w:pPr>
                      <w:rPr>
                        <w:color w:val="003A68"/>
                        <w:sz w:val="14"/>
                        <w:szCs w:val="14"/>
                      </w:rPr>
                    </w:pPr>
                    <w:r w:rsidRPr="00FA54DF">
                      <w:rPr>
                        <w:color w:val="003A68"/>
                        <w:sz w:val="14"/>
                        <w:szCs w:val="14"/>
                      </w:rPr>
                      <w:t>Av. 1 y Central, Calles 2 y 4</w:t>
                    </w:r>
                  </w:p>
                  <w:p w:rsidRPr="00FA54DF" w:rsidR="00D2424F" w:rsidRDefault="00D2424F" w14:paraId="5E55AD4F"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67C9DDC0" wp14:anchorId="383BC38E">
          <wp:simplePos x="0" y="0"/>
          <wp:positionH relativeFrom="column">
            <wp:posOffset>4553585</wp:posOffset>
          </wp:positionH>
          <wp:positionV relativeFrom="paragraph">
            <wp:posOffset>8687</wp:posOffset>
          </wp:positionV>
          <wp:extent cx="8890" cy="431165"/>
          <wp:effectExtent l="0" t="0" r="0" b="0"/>
          <wp:wrapNone/>
          <wp:docPr id="2019278575" name="Imagen 201927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7862432B"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6CB7C599"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CE23" w14:textId="77777777" w:rsidR="00B524B1" w:rsidRDefault="00B524B1" w:rsidP="00D43D57">
      <w:r>
        <w:separator/>
      </w:r>
    </w:p>
  </w:footnote>
  <w:footnote w:type="continuationSeparator" w:id="0">
    <w:p w14:paraId="7D2D7EA5" w14:textId="77777777" w:rsidR="00B524B1" w:rsidRDefault="00B524B1" w:rsidP="00D43D57">
      <w:r>
        <w:continuationSeparator/>
      </w:r>
    </w:p>
  </w:footnote>
  <w:footnote w:id="1">
    <w:p w14:paraId="20585C0C" w14:textId="77777777" w:rsidR="00B524B1" w:rsidRPr="007A4157" w:rsidRDefault="00B524B1" w:rsidP="00B524B1">
      <w:pPr>
        <w:pStyle w:val="Textonotapie"/>
        <w:rPr>
          <w:rFonts w:ascii="Arial" w:hAnsi="Arial" w:cs="Arial"/>
          <w:sz w:val="16"/>
          <w:szCs w:val="16"/>
          <w:lang w:val="es-CR"/>
        </w:rPr>
      </w:pPr>
      <w:r w:rsidRPr="007A4157">
        <w:rPr>
          <w:rStyle w:val="Refdenotaalpie"/>
          <w:rFonts w:ascii="Arial" w:hAnsi="Arial" w:cs="Arial"/>
          <w:sz w:val="16"/>
          <w:szCs w:val="16"/>
        </w:rPr>
        <w:footnoteRef/>
      </w:r>
      <w:r w:rsidRPr="007A4157">
        <w:rPr>
          <w:rFonts w:ascii="Arial" w:hAnsi="Arial" w:cs="Arial"/>
          <w:sz w:val="16"/>
          <w:szCs w:val="16"/>
        </w:rPr>
        <w:t xml:space="preserve"> </w:t>
      </w:r>
      <w:r w:rsidRPr="007A4157">
        <w:rPr>
          <w:rFonts w:ascii="Arial" w:hAnsi="Arial" w:cs="Arial"/>
          <w:b/>
          <w:bCs/>
          <w:sz w:val="16"/>
          <w:szCs w:val="16"/>
        </w:rPr>
        <w:t>Auditoría de carácter especial:</w:t>
      </w:r>
      <w:r w:rsidRPr="007A4157">
        <w:rPr>
          <w:rFonts w:ascii="Arial" w:hAnsi="Arial" w:cs="Arial"/>
          <w:sz w:val="16"/>
          <w:szCs w:val="16"/>
        </w:rPr>
        <w:t xml:space="preserve"> Evalúa si las actividades, operaciones financieras e información, cumplen en todos los aspectos relevantes, con las regulaciones o mandatos que rigen a la entidad.</w:t>
      </w:r>
    </w:p>
  </w:footnote>
  <w:footnote w:id="2">
    <w:p w14:paraId="78CFF499" w14:textId="77777777" w:rsidR="00B524B1" w:rsidRPr="00197E8E" w:rsidRDefault="00B524B1" w:rsidP="00B524B1">
      <w:pPr>
        <w:pStyle w:val="Textonotapie"/>
        <w:rPr>
          <w:rFonts w:ascii="Arial" w:hAnsi="Arial" w:cs="Arial"/>
          <w:sz w:val="16"/>
          <w:szCs w:val="16"/>
          <w:lang w:val="es-CR"/>
        </w:rPr>
      </w:pPr>
      <w:r w:rsidRPr="00197E8E">
        <w:rPr>
          <w:rStyle w:val="Refdenotaalpie"/>
          <w:rFonts w:ascii="Arial" w:hAnsi="Arial" w:cs="Arial"/>
          <w:sz w:val="16"/>
          <w:szCs w:val="16"/>
        </w:rPr>
        <w:footnoteRef/>
      </w:r>
      <w:r w:rsidRPr="00197E8E">
        <w:rPr>
          <w:rFonts w:ascii="Arial" w:hAnsi="Arial" w:cs="Arial"/>
          <w:sz w:val="16"/>
          <w:szCs w:val="16"/>
        </w:rPr>
        <w:t xml:space="preserve"> </w:t>
      </w:r>
      <w:r w:rsidRPr="00197E8E">
        <w:rPr>
          <w:rFonts w:ascii="Arial" w:hAnsi="Arial" w:cs="Arial"/>
          <w:sz w:val="16"/>
          <w:szCs w:val="16"/>
          <w:lang w:val="es-CR"/>
        </w:rPr>
        <w:t xml:space="preserve">Se limitó a los incidentes derivados de fallos de origen tecnológico que afectaron a usuarios externos al Banco Central. Mediante oficio AI-0067-2025 se informaron los resultados de otro estudio de auditoría que evaluó de forma </w:t>
      </w:r>
      <w:r>
        <w:rPr>
          <w:rFonts w:ascii="Arial" w:hAnsi="Arial" w:cs="Arial"/>
          <w:sz w:val="16"/>
          <w:szCs w:val="16"/>
          <w:lang w:val="es-CR"/>
        </w:rPr>
        <w:t>general</w:t>
      </w:r>
      <w:r w:rsidRPr="00197E8E">
        <w:rPr>
          <w:rFonts w:ascii="Arial" w:hAnsi="Arial" w:cs="Arial"/>
          <w:sz w:val="16"/>
          <w:szCs w:val="16"/>
          <w:lang w:val="es-CR"/>
        </w:rPr>
        <w:t xml:space="preserve"> la gestión de incidentes.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58CDFD22"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2A6E7F75" w14:textId="77777777">
    <w:pPr>
      <w:pStyle w:val="Encabezado"/>
      <w:jc w:val="center"/>
    </w:pPr>
    <w:r>
      <w:rPr>
        <w:noProof/>
        <w:lang w:val="es-CR" w:eastAsia="es-CR"/>
      </w:rPr>
      <w:drawing>
        <wp:anchor distT="0" distB="0" distL="114300" distR="114300" simplePos="0" relativeHeight="251696128" behindDoc="1" locked="0" layoutInCell="1" allowOverlap="1" wp14:editId="714E64FB" wp14:anchorId="66C366DF">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920470088" name="Imagen 192047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70B4A593" wp14:anchorId="6784E791">
          <wp:simplePos x="0" y="0"/>
          <wp:positionH relativeFrom="column">
            <wp:posOffset>4470400</wp:posOffset>
          </wp:positionH>
          <wp:positionV relativeFrom="paragraph">
            <wp:posOffset>298450</wp:posOffset>
          </wp:positionV>
          <wp:extent cx="941070" cy="424815"/>
          <wp:effectExtent l="0" t="0" r="0" b="0"/>
          <wp:wrapNone/>
          <wp:docPr id="1255435270" name="Imagen 1255435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36357826" w14:textId="77777777">
    <w:pPr>
      <w:pStyle w:val="Encabezado"/>
      <w:jc w:val="center"/>
    </w:pPr>
    <w:r>
      <w:rPr>
        <w:noProof/>
        <w:lang w:val="es-CR" w:eastAsia="es-CR"/>
      </w:rPr>
      <w:drawing>
        <wp:anchor distT="0" distB="0" distL="114300" distR="114300" simplePos="0" relativeHeight="251694080" behindDoc="1" locked="0" layoutInCell="1" allowOverlap="1" wp14:editId="0F11B957" wp14:anchorId="23585716">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985662392" name="Imagen 1985662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3A8BD80C" wp14:anchorId="360009FC">
          <wp:simplePos x="0" y="0"/>
          <wp:positionH relativeFrom="column">
            <wp:posOffset>4602480</wp:posOffset>
          </wp:positionH>
          <wp:positionV relativeFrom="paragraph">
            <wp:posOffset>187960</wp:posOffset>
          </wp:positionV>
          <wp:extent cx="857250" cy="424815"/>
          <wp:effectExtent l="0" t="0" r="6350" b="0"/>
          <wp:wrapNone/>
          <wp:docPr id="692327806" name="Imagen 69232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4A1F5BC1"/>
    <w:multiLevelType w:val="hybridMultilevel"/>
    <w:tmpl w:val="9142F3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4" w15:restartNumberingAfterBreak="0">
    <w:nsid w:val="6C320023"/>
    <w:multiLevelType w:val="hybridMultilevel"/>
    <w:tmpl w:val="ECBED1E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22040383">
    <w:abstractNumId w:val="10"/>
  </w:num>
  <w:num w:numId="2" w16cid:durableId="725496266">
    <w:abstractNumId w:val="13"/>
  </w:num>
  <w:num w:numId="3" w16cid:durableId="232082127">
    <w:abstractNumId w:val="9"/>
  </w:num>
  <w:num w:numId="4" w16cid:durableId="962423868">
    <w:abstractNumId w:val="7"/>
  </w:num>
  <w:num w:numId="5" w16cid:durableId="2019235759">
    <w:abstractNumId w:val="6"/>
  </w:num>
  <w:num w:numId="6" w16cid:durableId="349528218">
    <w:abstractNumId w:val="5"/>
  </w:num>
  <w:num w:numId="7" w16cid:durableId="1065566325">
    <w:abstractNumId w:val="4"/>
  </w:num>
  <w:num w:numId="8" w16cid:durableId="1637106301">
    <w:abstractNumId w:val="8"/>
  </w:num>
  <w:num w:numId="9" w16cid:durableId="1013142978">
    <w:abstractNumId w:val="3"/>
  </w:num>
  <w:num w:numId="10" w16cid:durableId="18746409">
    <w:abstractNumId w:val="2"/>
  </w:num>
  <w:num w:numId="11" w16cid:durableId="1438912343">
    <w:abstractNumId w:val="1"/>
  </w:num>
  <w:num w:numId="12" w16cid:durableId="367029837">
    <w:abstractNumId w:val="0"/>
  </w:num>
  <w:num w:numId="13" w16cid:durableId="2145535272">
    <w:abstractNumId w:val="11"/>
  </w:num>
  <w:num w:numId="14" w16cid:durableId="1931419">
    <w:abstractNumId w:val="14"/>
  </w:num>
  <w:num w:numId="15" w16cid:durableId="1653290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4B1"/>
    <w:rsid w:val="000064A4"/>
    <w:rsid w:val="000235B5"/>
    <w:rsid w:val="00026C85"/>
    <w:rsid w:val="000439A6"/>
    <w:rsid w:val="00060C03"/>
    <w:rsid w:val="000646DD"/>
    <w:rsid w:val="00081865"/>
    <w:rsid w:val="00082968"/>
    <w:rsid w:val="000A4501"/>
    <w:rsid w:val="000E0AC6"/>
    <w:rsid w:val="00121297"/>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0313"/>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524B1"/>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A5F3"/>
  <w15:docId w15:val="{F8BAD63A-FCDA-47ED-A5A4-D4D14969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nhideWhenUsed/>
    <w:locked/>
    <w:rsid w:val="00B524B1"/>
    <w:rPr>
      <w:sz w:val="20"/>
      <w:szCs w:val="20"/>
    </w:rPr>
  </w:style>
  <w:style w:type="character" w:customStyle="1" w:styleId="TextonotapieCar">
    <w:name w:val="Texto nota pie Car"/>
    <w:aliases w:val=" Car Car Car,Car Car Car, Car Char Car,Car Car1,Car Char Car, Car Car1"/>
    <w:basedOn w:val="Fuentedeprrafopredeter"/>
    <w:link w:val="Textonotapie"/>
    <w:rsid w:val="00B524B1"/>
    <w:rPr>
      <w:rFonts w:eastAsia="Times New Roman"/>
      <w:lang w:val="es-ES" w:eastAsia="en-US"/>
    </w:rPr>
  </w:style>
  <w:style w:type="character" w:styleId="Refdenotaalpie">
    <w:name w:val="footnote reference"/>
    <w:basedOn w:val="Fuentedeprrafopredeter"/>
    <w:uiPriority w:val="99"/>
    <w:unhideWhenUsed/>
    <w:locked/>
    <w:rsid w:val="00B524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webSettings" Target="webSettings.xml"/><Relationship Id="rId6" Type="http://schemas.openxmlformats.org/officeDocument/2006/relationships/customXml" Target="../customXml/item6.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D38C63BA184C0D95A39886806D54E8"/>
        <w:category>
          <w:name w:val="General"/>
          <w:gallery w:val="placeholder"/>
        </w:category>
        <w:types>
          <w:type w:val="bbPlcHdr"/>
        </w:types>
        <w:behaviors>
          <w:behavior w:val="content"/>
        </w:behaviors>
        <w:guid w:val="{0BFEB23A-4181-4956-9C46-515A60CED469}"/>
      </w:docPartPr>
      <w:docPartBody>
        <w:p w:rsidR="0017458B" w:rsidRDefault="0017458B">
          <w:pPr>
            <w:pStyle w:val="F1D38C63BA184C0D95A39886806D54E8"/>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8B"/>
    <w:rsid w:val="0017458B"/>
    <w:rsid w:val="0045031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F1D38C63BA184C0D95A39886806D54E8">
    <w:name w:val="F1D38C63BA184C0D95A39886806D5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y0Bg4O+Ci7Zh6KaecD5faHW+EIy0ww6iVRIkL2d/Azk=</DigestValue>
    </Reference>
    <Reference Type="http://uri.etsi.org/01903#SignedProperties" URI="#idSignedProperties">
      <Transforms>
        <Transform Algorithm="http://www.w3.org/TR/2001/REC-xml-c14n-20010315"/>
      </Transforms>
      <DigestMethod Algorithm="http://www.w3.org/2001/04/xmlenc#sha256"/>
      <DigestValue>uuxgyclbwkhrQ4Ym60WZPr/xhAS61LKkz9/Qo8uw5KU=</DigestValue>
    </Reference>
  </SignedInfo>
  <SignatureValue>FnbGxBzoq/T5CsXqkgLkZfYXBGmPLhRpELv12eSrMPTqeO2U+SHwEcS+o1PflI0zuFINuL/eXwTi6vA4RtHKi1/c1fmH1HswSpBeOz2X1nzd8neEqlU/ev6p/PRa07DB5QUm8UU3S9CdbaGNuPN/GuwxYpXvulQvvOdeQuAD27xyrgz/e5MAZ3yePENhG4okFC8MwvruJgrBFmcnFLoD8j1XjeFZJOjSwoEJqGN/nq8qfQszNjvjgTdWT3TOwQD/fF0rltyEJJSo6aiS9m0yWcR3aEmkiuWHQRVS29tb6xDzSnvCJ2UnJ3vfA13kr9l4JMVsY1Dg/p9ZtG8/0v2ejA==</SignatureValue>
  <KeyInfo>
    <X509Data>
      <X509Certificate>MIIFrzCCBJegAwIBAgITFAARudWHE/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pP67Nx0DlctsrzXdqRsddcQ3plIWXcYcARiwphspB77jPwGTnmkT5knr3/VTG3T6PrADlJgQHMks/RENOD0qr5SSO9qIOBf8RxgBySJlGWat/X6BnA/hFJZEFkrCuS31m1eXfas/tquegCRpXpkzwEwEHv+ihunqzq0W6yq4+yHXwxLM7TQP3VmnH+Y8vHiTqe5SeaWOzfzf79kde94MsRSwCO/prjDBXFVdiH2RlmOqQ+YQSlron6xoP3gPn5cC7AOluVM/uMfzWX2VVg4UKcN3EayJtG+zc0plY6s2lI3QGrMtNDLU7k9AXDYQ6N6yNIQIDAQABo4IB2jCCAdYwHQYDVR0OBBYEFD1vIMsg/uEsFIJ7ahc9oM7+b5cn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myqVIyjE1FxymHldQ83139bAYKKxPe2qt/ImJ29hfGjn3eIk944EQxkXwKl2q+63t4TYVxYVqjkNxDzLONDzIMwJrt/5IDl3MSKXw4KABGNCTpf5BAbbL8h4jjlCUN+/3KDBsOvTIzFzljnVDmbULAg1BSYhkOg0uABAYxVpiLNbTl/4OhjExmUMCJEDjBh1/3tCwcihuMwNopOebRttBYRedvnNwR1Q5ICZF3L88PcVMxdmJV35VxHd4g4JI9fokYZjNdTLpOJ21QeXluNIfnBQiOKc0Wwelopd4kpCofojd/jbdulJaLw692GyijlcRkfNWPEy/TWiwwcE8DpXF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kQwELt09sBxWFh8yzkO3If0zUXYULM4nAAnZTkghW1w=</DigestValue>
      </Reference>
      <Reference URI="/word/numbering.xml?ContentType=application/vnd.openxmlformats-officedocument.wordprocessingml.numbering+xml">
        <DigestMethod Algorithm="http://www.w3.org/2001/04/xmlenc#sha256"/>
        <DigestValue>Wfr+i5ycIqONnBw6neVbicHKKq5O9E5wesBhqG4hQU4=</DigestValue>
      </Reference>
      <Reference URI="/word/endnotes.xml?ContentType=application/vnd.openxmlformats-officedocument.wordprocessingml.endnotes+xml">
        <DigestMethod Algorithm="http://www.w3.org/2001/04/xmlenc#sha256"/>
        <DigestValue>4gdBllhp8DuRsXQQuVk2uX428+nnzLcNltdQht7Wsiw=</DigestValue>
      </Reference>
      <Reference URI="/word/footer2.xml?ContentType=application/vnd.openxmlformats-officedocument.wordprocessingml.footer+xml">
        <DigestMethod Algorithm="http://www.w3.org/2001/04/xmlenc#sha256"/>
        <DigestValue>qr1LMbMoJG/nmOk9KzIubpEXAjmaynmZRqBnmh3TlsM=</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WNSwFyVp2C5oc8bxOkBCkMxUEdo86I5lPFCT8JXK/Zc=</DigestValue>
      </Reference>
      <Reference URI="/word/footnotes.xml?ContentType=application/vnd.openxmlformats-officedocument.wordprocessingml.footnotes+xml">
        <DigestMethod Algorithm="http://www.w3.org/2001/04/xmlenc#sha256"/>
        <DigestValue>rZOkb5aTbgDL/W597ihHxPq5U4OLsAzMTMn82YyIOBM=</DigestValue>
      </Reference>
      <Reference URI="/word/footer1.xml?ContentType=application/vnd.openxmlformats-officedocument.wordprocessingml.footer+xml">
        <DigestMethod Algorithm="http://www.w3.org/2001/04/xmlenc#sha256"/>
        <DigestValue>YC2xfttglBylzAZXxwYXy/7hVRW7Ilqs9TuptfPWHeo=</DigestValue>
      </Reference>
      <Reference URI="/word/header2.xml?ContentType=application/vnd.openxmlformats-officedocument.wordprocessingml.header+xml">
        <DigestMethod Algorithm="http://www.w3.org/2001/04/xmlenc#sha256"/>
        <DigestValue>ewBNnht6dacoudiAmcD/loHtyTF9Rrur6wkKQyoCiu8=</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29XXkHeaBu2wea9oPmu3peqSKx9evPESlT9aeK7huy0=</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SJ3eybbF5f8F1vxe/uC/k/cHDYTae9wtqAu+tcgHvTo=</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4bRyT36usaJyJL+ed0rea70Yl+rn88d4PzthjW4tusE=</DigestValue>
      </Reference>
      <Reference URI="/word/header3.xml?ContentType=application/vnd.openxmlformats-officedocument.wordprocessingml.header+xml">
        <DigestMethod Algorithm="http://www.w3.org/2001/04/xmlenc#sha256"/>
        <DigestValue>ZbYkLZN2vLmDvoMBzDMimorxApGABa5K/t1OjzZ1lMA=</DigestValue>
      </Reference>
      <Reference URI="/word/styles.xml?ContentType=application/vnd.openxmlformats-officedocument.wordprocessingml.styles+xml">
        <DigestMethod Algorithm="http://www.w3.org/2001/04/xmlenc#sha256"/>
        <DigestValue>WbGEqbz7u2gw+Yg70ucsIeVaibbXhDo6QaypD6Wksx8=</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YYsAgb6kCpcPvcqKM3UJt/XYSQmurh+VpiOOnuNJOfg=</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txcHfGGXNwYfavTnt6jYtMhHmpaMi82RqCq+7sgvTMA=</DigestValue>
      </Reference>
      <Reference URI="/word/glossary/styles.xml?ContentType=application/vnd.openxmlformats-officedocument.wordprocessingml.styles+xml">
        <DigestMethod Algorithm="http://www.w3.org/2001/04/xmlenc#sha256"/>
        <DigestValue>3zR4De4S1LJEfmFdfH9D7HvHeYGMpc+hAio5BoQuqFA=</DigestValue>
      </Reference>
      <Reference URI="/word/glossary/fontTable.xml?ContentType=application/vnd.openxmlformats-officedocument.wordprocessingml.fontTable+xml">
        <DigestMethod Algorithm="http://www.w3.org/2001/04/xmlenc#sha256"/>
        <DigestValue>eDi/W14dBNmEu171Mz3sAp0LHucTUEwrgkpckx2G77k=</DigestValue>
      </Reference>
    </Manifest>
    <SignatureProperties>
      <SignatureProperty Id="idSignatureTime" Target="#idPackageSignature">
        <mdssi:SignatureTime xmlns:mdssi="http://schemas.openxmlformats.org/package/2006/digital-signature">
          <mdssi:Format>YYYY-MM-DDThh:mm:ssTZD</mdssi:Format>
          <mdssi:Value>2025-04-09T22:21:31Z</mdssi:Value>
        </mdssi:SignatureTime>
      </SignatureProperty>
    </SignatureProperties>
  </Object>
  <Object>
    <xd:QualifyingProperties xmlns:xd="http://uri.etsi.org/01903/v1.3.2#" Target="#idPackageSignature">
      <xd:SignedProperties Id="idSignedProperties">
        <xd:SignedSignatureProperties>
          <xd:SigningTime>2025-04-09T22:21:31Z</xd:SigningTime>
          <xd:SigningCertificate>
            <xd:Cert>
              <xd:CertDigest>
                <DigestMethod Algorithm="http://www.w3.org/2001/04/xmlenc#sha256"/>
                <DigestValue>Vty4Znw9JXnI7Fyl57Q34shgY4g2W+IyHObt0NM6InM=</DigestValue>
              </xd:CertDigest>
              <xd:IssuerSerial>
                <X509IssuerName>CN=CA SINPE - PERSONA FISICA v2, OU=DIVISION SISTEMAS DE PAGO, O=BANCO CENTRAL DE COSTA RICA, C=CR, SERIALNUMBER=CPJ-4-000-004017</X509IssuerName>
                <X509SerialNumber>446020935786728275859238936857383905419966933</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v94VB7U/BmQDiJlsS9ubp5Jh3UBAsa0dYVBKFx4hsJ4CBCIs4HsYDzIwMjUwNDA5MjIyMTUx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r8omPE1jxzFJ2mofQ2ADqrJCr8yKWdPBq2j8nlH44T0=</DigestValue>
                </xd:DigestAlgAndValue>
                <xd:CRLIdentifier>
                  <xd:Issuer>SERIALNUMBER=CPJ-2-100-098311,C=CR,O=MICITT,OU=DCFD,CN=CA POLITICA PERSONA FISICA - COSTA RICA v2</xd:Issuer>
                  <xd:IssueTime>2025-02-28T18:55:01Z</xd:IssueTime>
                  <xd:Number>63</xd:Number>
                </xd:CRLIdentifier>
              </xd:CRLRef>
              <xd:CRLRef>
                <xd:DigestAlgAndValue>
                  <DigestMethod Algorithm="http://www.w3.org/2001/04/xmlenc#sha256"/>
                  <DigestValue>XfJJsnf7gsMVHvql882LP2iiDZ0wkSzCd/Rf8pQeVlA=</DigestValue>
                </xd:DigestAlgAndValue>
                <xd:CRLIdentifier>
                  <xd:Issuer>SERIALNUMBER=CPJ-2-100-098311,OU=DCFD,O=MICITT,C=CR,CN=CA RAIZ NACIONAL - COSTA RICA v2</xd:Issuer>
                  <xd:IssueTime>2025-01-08T16:47:56Z</xd:IssueTime>
                  <xd:Number>35</xd:Number>
                </xd:CRLIdentifier>
              </xd:CRLRef>
            </xd:CRLRefs>
            <xd:OCSPRefs>
              <xd:OCSPRef>
                <xd:OCSPIdentifier>
                  <xd:ResponderID>
                    <xd:ByKey>RE1+YHaP965mYz+JwuUAMbQ3wIo=</xd:ByKey>
                  </xd:ResponderID>
                  <xd:ProducedAt>2025-04-09T22:21:51Z</xd:ProducedAt>
                </xd:OCSPIdentifier>
                <xd:DigestAlgAndValue>
                  <DigestMethod Algorithm="http://www.w3.org/2001/04/xmlenc#sha256"/>
                  <DigestValue>A9SFZkE1Yt3uGnACcDPB0a9XONoLCUw757gyBhS6ZMo=</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</xd:EncapsulatedCRLValue>
              <xd:EncapsulatedCRLValue>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</xd:EncapsulatedCRLValue>
            </xd:CRLValues>
            <xd:OCSPValues>
              <xd:EncapsulatedOCSPValue>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</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BKBkBGIwYAIBAQYIYIE8AQEBAQUwMTANBglghkgBZQMEAgEFAAQgNJBDcz2JXQt0lofOYS/Ofelf
5Rl4O/yqJd5vxtMgphICBCIs4HwYDzIwMjUwNDA5MjIyMTUxWjAEgAIB9AEB/6CCB8Iwgge+MIIF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CSqGSIb3DQEJAzENBgsqhkiG9w0BCRABBDAcBgkqhkiG9w0BCQUxDxcNMjUwNDA5MjIyMTUxWjAv
BgkqhkiG9w0BCQQxIgQgm4KQRmr1o13EyxYQMdiFQXWeBj0spksFFckEpRoflOAwNwYLKoZIhvcN
AQkQAi8xKDAmMCQwIgQgrKszXYj6Q2nTJpWV/NZakemXG2IrBO983WoSsYOW808wDQYJKoZIhvcN
AQEBBQAEggEAOYngnESnCYAPpNlMLNBu8HBhDW+W4YA1tKskNg0fGn5VyXh/1oyAYa2swUGmJNfd
MPrLeKxkaxBZ14nQCrr3wPDqbX+Z19uOEilXsNJc+GzD01ldJXdCib5rPfz6klCHxT6Orhx/nEh7
Px7a+vroBBqms+qoiDXg/pUdAveptkqUpkqkwuyuHKOWzE7q5nzxbgmSUBWMQsRh7C2o3j+wGMKZ
4uKRj9RkS8TEwF3I/ca9zqLqGButywEpKkw0kInZtUhc4f3SSZBBqWBx8fj2ZgR0ozvECgDrxLV1
ca5a+k+yPKy0yHkOFCV691Hl96MAx5lypK3UU3Y6QEomaSFRyA==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8A96F5-D51D-4A5B-9BA2-E36748299D8B}"/>
</file>

<file path=customXml/itemProps2.xml><?xml version="1.0" encoding="utf-8"?>
<ds:datastoreItem xmlns:ds="http://schemas.openxmlformats.org/officeDocument/2006/customXml" ds:itemID="{61E4819B-C0B0-4EC8-8DF5-684A9D4F2C45}"/>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BCC3AB96-7E7F-4079-9BF9-18821D9D8EAF}">
  <ds:schemaRefs>
    <ds:schemaRef ds:uri="office.server.policy"/>
  </ds:schemaRefs>
</ds:datastoreItem>
</file>

<file path=customXml/itemProps5.xml><?xml version="1.0" encoding="utf-8"?>
<ds:datastoreItem xmlns:ds="http://schemas.openxmlformats.org/officeDocument/2006/customXml" ds:itemID="{C8909B51-D850-4DD6-875F-E4E1F7AC6B2E}"/>
</file>

<file path=customXml/itemProps6.xml><?xml version="1.0" encoding="utf-8"?>
<ds:datastoreItem xmlns:ds="http://schemas.openxmlformats.org/officeDocument/2006/customXml" ds:itemID="{283BF82E-1A70-4392-8CF2-7DEAFF1953AE}">
  <ds:schemaRefs>
    <ds:schemaRef ds:uri="http://purl.org/dc/elements/1.1/"/>
    <ds:schemaRef ds:uri="b875e23b-67d9-4b2e-bdec-edacbf90b326"/>
    <ds:schemaRef ds:uri="http://schemas.microsoft.com/office/2006/metadata/properties"/>
    <ds:schemaRef ds:uri="http://purl.org/dc/terms/"/>
    <ds:schemaRef ds:uri="62db5286-48a0-4e17-a672-7c89f7b8ca75"/>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sharepoint/v3"/>
    <ds:schemaRef ds:uri="http://purl.org/dc/dcmitype/"/>
  </ds:schemaRefs>
</ds:datastoreItem>
</file>

<file path=customXml/itemProps7.xml><?xml version="1.0" encoding="utf-8"?>
<ds:datastoreItem xmlns:ds="http://schemas.openxmlformats.org/officeDocument/2006/customXml" ds:itemID="{A78EB736-75F5-4CE2-98A2-BBF8EFF5EAA5}"/>
</file>

<file path=docProps/app.xml><?xml version="1.0" encoding="utf-8"?>
<Properties xmlns="http://schemas.openxmlformats.org/officeDocument/2006/extended-properties" xmlns:vt="http://schemas.openxmlformats.org/officeDocument/2006/docPropsVTypes">
  <Template>plantilla-DAI</Template>
  <TotalTime>2</TotalTime>
  <Pages>4</Pages>
  <Words>1362</Words>
  <Characters>7496</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del Banco Central de Costa Rica AI-0089-2025</dc:title>
  <dc:subject/>
  <dc:creator>BERROCAL MEZA MELISSA</dc:creator>
  <cp:keywords/>
  <dc:description/>
  <cp:lastModifiedBy>BERROCAL MEZA MELISSA</cp:lastModifiedBy>
  <cp:revision>1</cp:revision>
  <cp:lastPrinted>2011-05-05T20:16:00Z</cp:lastPrinted>
  <dcterms:created xsi:type="dcterms:W3CDTF">2025-04-09T21:56:00Z</dcterms:created>
  <dcterms:modified xsi:type="dcterms:W3CDTF">2025-04-09T21:58:00Z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Gerencia|7f4773cf-2cb9-48b6-88d2-9e4750a72616;#74;#DST - División de Servicios Tecnológicos|adffd8fa-f5e1-40d6-917f-7a20c51b5b7e;#103;#DSP - División Sistemas de Pago|9cb48ad8-abad-4fb4-90bb-bb8fa9b4aaaf;#999;#Departamento Gestión de Riesgos y Cumplimiento (GRC)|38e4b52b-741a-4b99-8b71-5f28a3976f81;#1022;#Área de Comunicación Institucional (ACI)|2e0e0e30-83bc-4364-9fa9-3898741f07c0</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2cd95ffb,264399b1,38862a6</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2025-04-09T21:58:45Z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974cb66d-18d9-4ff6-b27d-0cf11d6c5bcc</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9673832d-94bf-4c19-8792-832784cbd250,9;b06cfa97-83cd-4c8b-8abb-c4fadbe40145,12;cf7072bc-9575-4d0b-b529-251f6b43b02b,13;cf7072bc-9575-4d0b-b529-251f6b43b02b,13;</vt:lpwstr>
  </property>
  <property fmtid="{D5CDD505-2E9C-101B-9397-08002B2CF9AE}" pid="32" name="Order">
    <vt:r8>189800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04/26/2025 23:15:32</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Gerencia|7f4773cf-2cb9-48b6-88d2-9e4750a72616;#74;#DST - División de Servicios Tecnológicos|adffd8fa-f5e1-40d6-917f-7a20c51b5b7e;#103;#DSP - División Sistemas de Pago|9cb48ad8-abad-4fb4-90bb-bb8fa9b4aaaf;#999;#Departamento Gestión de Riesgos y Cumplimiento (GRC)|38e4b52b-741a-4b99-8b71-5f28a3976f81;#1022;#Área de Comunicación Institucional (ACI)|2e0e0e30-83bc-4364-9fa9-3898741f07c0</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