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9EF7" w14:textId="6AC2B885" w:rsidR="003554C5" w:rsidRPr="00826D84" w:rsidRDefault="00826D84" w:rsidP="00826D84">
      <w:pPr>
        <w:rPr>
          <w:rFonts w:ascii="Arial" w:hAnsi="Arial" w:cs="Arial"/>
          <w:sz w:val="24"/>
        </w:rPr>
      </w:pPr>
      <w:r w:rsidRPr="00826D84">
        <w:rPr>
          <w:rFonts w:ascii="Arial" w:hAnsi="Arial" w:cs="Arial"/>
          <w:sz w:val="24"/>
        </w:rPr>
        <w:t>12 de febrero de 2026</w:t>
      </w:r>
    </w:p>
    <w:sdt>
      <w:sdtPr>
        <w:alias w:val="Consecutivo"/>
        <w:tag w:val="Consecutivo"/>
        <w:id w:val="867724263"/>
        <w:placeholder>
          <w:docPart w:val="85E6213F4220468C98C9294B04CC6FBA"/>
        </w:placeholder>
        <w:text/>
      </w:sdtPr>
      <w:sdtEndPr/>
      <w:sdtContent>
        <w:p w14:paraId="13B026A6" w14:textId="77777777" w:rsidR="003554C5" w:rsidRDefault="00BF4EBD" w:rsidP="0085692C">
          <w:r>
            <w:rPr>
              <w:rStyle w:val="Textodelmarcadordeposicin"/>
              <w:rFonts w:eastAsia="Calibri"/>
            </w:rPr>
            <w:t>AI-0046-2026</w:t>
          </w:r>
        </w:p>
      </w:sdtContent>
    </w:sdt>
    <w:p w14:paraId="67C77BA1" w14:textId="77777777" w:rsidR="00BF4EBD" w:rsidRPr="00F835F3" w:rsidRDefault="00BF4EBD" w:rsidP="0085692C"/>
    <w:p w14:paraId="3E3BD712" w14:textId="77777777" w:rsidR="00826D84" w:rsidRPr="00826D84" w:rsidRDefault="00826D84" w:rsidP="00826D84">
      <w:pPr>
        <w:rPr>
          <w:rFonts w:ascii="Arial" w:hAnsi="Arial" w:cs="Arial"/>
          <w:sz w:val="24"/>
        </w:rPr>
      </w:pPr>
      <w:r w:rsidRPr="00826D84">
        <w:rPr>
          <w:rFonts w:ascii="Arial" w:hAnsi="Arial" w:cs="Arial"/>
          <w:sz w:val="24"/>
        </w:rPr>
        <w:t>Señor</w:t>
      </w:r>
    </w:p>
    <w:p w14:paraId="18B69C4B" w14:textId="77777777" w:rsidR="00826D84" w:rsidRPr="00826D84" w:rsidRDefault="00826D84" w:rsidP="00826D84">
      <w:pPr>
        <w:rPr>
          <w:rFonts w:ascii="Arial" w:hAnsi="Arial" w:cs="Arial"/>
          <w:sz w:val="24"/>
        </w:rPr>
      </w:pPr>
      <w:r w:rsidRPr="00826D84">
        <w:rPr>
          <w:rFonts w:ascii="Arial" w:hAnsi="Arial" w:cs="Arial"/>
          <w:sz w:val="24"/>
        </w:rPr>
        <w:t>Pablo Villalobos González, Gerente</w:t>
      </w:r>
    </w:p>
    <w:p w14:paraId="3096990D" w14:textId="77777777" w:rsidR="00826D84" w:rsidRPr="00826D84" w:rsidRDefault="00826D84" w:rsidP="00826D84">
      <w:pPr>
        <w:tabs>
          <w:tab w:val="center" w:pos="4419"/>
          <w:tab w:val="right" w:pos="8838"/>
        </w:tabs>
        <w:rPr>
          <w:rFonts w:ascii="Arial" w:eastAsia="Calibri" w:hAnsi="Arial" w:cs="Arial"/>
          <w:b/>
          <w:color w:val="1C4063" w:themeColor="accent1" w:themeShade="80"/>
          <w:sz w:val="24"/>
          <w:lang w:val="es-CR"/>
        </w:rPr>
      </w:pPr>
      <w:r w:rsidRPr="00826D84">
        <w:rPr>
          <w:rFonts w:ascii="Arial" w:eastAsia="Calibri" w:hAnsi="Arial" w:cs="Arial"/>
          <w:b/>
          <w:color w:val="1C4063" w:themeColor="accent1" w:themeShade="80"/>
          <w:sz w:val="24"/>
          <w:lang w:val="es-CR"/>
        </w:rPr>
        <w:t>BANCO CENTRAL DE COSTA RICA</w:t>
      </w:r>
    </w:p>
    <w:p w14:paraId="1C7A5D38" w14:textId="77777777" w:rsidR="00826D84" w:rsidRPr="00826D84" w:rsidRDefault="00826D84" w:rsidP="00826D84">
      <w:pPr>
        <w:rPr>
          <w:rFonts w:ascii="Arial" w:hAnsi="Arial" w:cs="Arial"/>
        </w:rPr>
      </w:pPr>
    </w:p>
    <w:p w14:paraId="1D56EA7D" w14:textId="77777777" w:rsidR="00826D84" w:rsidRPr="00826D84" w:rsidRDefault="00826D84" w:rsidP="00826D84">
      <w:pPr>
        <w:rPr>
          <w:rFonts w:ascii="Arial" w:hAnsi="Arial" w:cs="Arial"/>
          <w:b/>
          <w:bCs/>
        </w:rPr>
      </w:pPr>
      <w:r w:rsidRPr="00826D84">
        <w:rPr>
          <w:rFonts w:ascii="Arial" w:hAnsi="Arial" w:cs="Arial"/>
          <w:b/>
        </w:rPr>
        <w:t xml:space="preserve">Ref. Comunicación de informe </w:t>
      </w:r>
      <w:r w:rsidRPr="00826D84">
        <w:rPr>
          <w:rFonts w:ascii="Arial" w:hAnsi="Arial" w:cs="Arial"/>
          <w:b/>
          <w:bCs/>
        </w:rPr>
        <w:t>de auditoría de cancelación de operaciones diferidas a plazo</w:t>
      </w:r>
    </w:p>
    <w:p w14:paraId="2A6E7948" w14:textId="77777777" w:rsidR="00826D84" w:rsidRPr="00826D84" w:rsidRDefault="00826D84" w:rsidP="00826D84">
      <w:pPr>
        <w:rPr>
          <w:rFonts w:ascii="Arial" w:hAnsi="Arial" w:cs="Arial"/>
        </w:rPr>
      </w:pPr>
    </w:p>
    <w:p w14:paraId="6B2F77A6" w14:textId="77777777" w:rsidR="00826D84" w:rsidRPr="00826D84" w:rsidRDefault="00826D84" w:rsidP="00826D84">
      <w:pPr>
        <w:rPr>
          <w:rFonts w:ascii="Arial" w:hAnsi="Arial" w:cs="Arial"/>
          <w:sz w:val="24"/>
        </w:rPr>
      </w:pPr>
      <w:r w:rsidRPr="00826D84">
        <w:rPr>
          <w:rFonts w:ascii="Arial" w:hAnsi="Arial" w:cs="Arial"/>
          <w:sz w:val="24"/>
        </w:rPr>
        <w:t>Estimado señor:</w:t>
      </w:r>
    </w:p>
    <w:p w14:paraId="170E19DD" w14:textId="77777777" w:rsidR="00826D84" w:rsidRPr="00826D84" w:rsidRDefault="00826D84" w:rsidP="00826D84">
      <w:pPr>
        <w:rPr>
          <w:rFonts w:ascii="Arial" w:hAnsi="Arial" w:cs="Arial"/>
          <w:sz w:val="24"/>
        </w:rPr>
      </w:pPr>
    </w:p>
    <w:p w14:paraId="1302DED2" w14:textId="77777777" w:rsidR="00826D84" w:rsidRPr="00826D84" w:rsidRDefault="00826D84" w:rsidP="00826D84">
      <w:pPr>
        <w:tabs>
          <w:tab w:val="left" w:pos="5505"/>
        </w:tabs>
        <w:rPr>
          <w:rFonts w:ascii="Arial" w:hAnsi="Arial" w:cs="Arial"/>
          <w:sz w:val="24"/>
        </w:rPr>
      </w:pPr>
      <w:r w:rsidRPr="00826D84">
        <w:rPr>
          <w:rFonts w:ascii="Arial" w:hAnsi="Arial" w:cs="Arial"/>
          <w:sz w:val="24"/>
        </w:rPr>
        <w:t>Este informe contiene los resultados correspondientes al estudio de carácter especial, mediante el cual esta Auditoría evaluó el cumplimiento de las condiciones financieras aplicables y la integridad de los registros financiero-contables correspondientes a la cancelación de las operaciones diferidas a plazo, otorgadas por el BCCR a las entidades financieras como una facilidad de financiamiento especial por la pandemia COVID-19.</w:t>
      </w:r>
    </w:p>
    <w:p w14:paraId="702AE638" w14:textId="77777777" w:rsidR="00826D84" w:rsidRPr="00826D84" w:rsidRDefault="00826D84" w:rsidP="00826D84">
      <w:pPr>
        <w:tabs>
          <w:tab w:val="left" w:pos="5505"/>
        </w:tabs>
        <w:rPr>
          <w:rFonts w:ascii="Arial" w:hAnsi="Arial" w:cs="Arial"/>
          <w:sz w:val="24"/>
        </w:rPr>
      </w:pPr>
    </w:p>
    <w:p w14:paraId="38CEDA92" w14:textId="77777777" w:rsidR="00826D84" w:rsidRPr="00826D84" w:rsidRDefault="00826D84" w:rsidP="00826D84">
      <w:pPr>
        <w:contextualSpacing/>
        <w:rPr>
          <w:rFonts w:ascii="Arial" w:hAnsi="Arial" w:cs="Arial"/>
          <w:sz w:val="24"/>
        </w:rPr>
      </w:pPr>
      <w:r w:rsidRPr="00826D84">
        <w:rPr>
          <w:rFonts w:ascii="Arial" w:hAnsi="Arial" w:cs="Arial"/>
          <w:sz w:val="24"/>
        </w:rPr>
        <w:t>El alcance del estudio comprendió las condiciones financieras aplicables y los registros financiero-contables de la cancelación de las operaciones diferidas a plazo constituidas a 2 y 4 años</w:t>
      </w:r>
      <w:r w:rsidRPr="00826D84">
        <w:rPr>
          <w:rFonts w:ascii="Arial" w:hAnsi="Arial" w:cs="Arial"/>
          <w:sz w:val="24"/>
          <w:vertAlign w:val="superscript"/>
        </w:rPr>
        <w:footnoteReference w:id="1"/>
      </w:r>
      <w:r w:rsidRPr="00826D84">
        <w:rPr>
          <w:rFonts w:ascii="Arial" w:hAnsi="Arial" w:cs="Arial"/>
          <w:sz w:val="24"/>
        </w:rPr>
        <w:t>. El periodo evaluado comprendió del 05-11-2020 al 31-03-2025, ampliado en lo requerido. Para la ejecución de este estudio se aplicaron los criterios de auditoría que se consideraron pertinentes, según el objetivo planteado, los cuales fueron comunicados mediante oficio AI-0036-2025 del 25-02-2025.</w:t>
      </w:r>
    </w:p>
    <w:p w14:paraId="72A3DFFD" w14:textId="77777777" w:rsidR="00826D84" w:rsidRPr="00826D84" w:rsidRDefault="00826D84" w:rsidP="00826D84">
      <w:pPr>
        <w:contextualSpacing/>
        <w:rPr>
          <w:rFonts w:ascii="Arial" w:hAnsi="Arial" w:cs="Arial"/>
          <w:sz w:val="24"/>
        </w:rPr>
      </w:pPr>
    </w:p>
    <w:p w14:paraId="13D4DBA8" w14:textId="77777777" w:rsidR="00826D84" w:rsidRPr="00826D84" w:rsidRDefault="00826D84" w:rsidP="00826D84">
      <w:pPr>
        <w:rPr>
          <w:rFonts w:ascii="Arial" w:hAnsi="Arial" w:cs="Arial"/>
          <w:sz w:val="24"/>
        </w:rPr>
      </w:pPr>
      <w:r w:rsidRPr="00826D84">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67FB817D" w14:textId="77777777" w:rsidR="00826D84" w:rsidRPr="00826D84" w:rsidRDefault="00826D84" w:rsidP="00826D84">
      <w:pPr>
        <w:contextualSpacing/>
        <w:rPr>
          <w:rFonts w:ascii="Arial" w:hAnsi="Arial" w:cs="Arial"/>
          <w:sz w:val="24"/>
        </w:rPr>
      </w:pPr>
    </w:p>
    <w:p w14:paraId="36A380DC" w14:textId="77777777" w:rsidR="00826D84" w:rsidRPr="00826D84" w:rsidRDefault="00826D84" w:rsidP="00826D84">
      <w:pPr>
        <w:keepNext/>
        <w:numPr>
          <w:ilvl w:val="0"/>
          <w:numId w:val="13"/>
        </w:numPr>
        <w:ind w:left="567" w:right="-340"/>
        <w:outlineLvl w:val="0"/>
        <w:rPr>
          <w:rFonts w:ascii="Arial" w:hAnsi="Arial" w:cs="Arial"/>
          <w:b/>
          <w:color w:val="1C4063" w:themeColor="accent1" w:themeShade="80"/>
          <w:sz w:val="28"/>
          <w:szCs w:val="28"/>
          <w:lang w:val="es-CR" w:eastAsia="es-CR"/>
        </w:rPr>
      </w:pPr>
      <w:r w:rsidRPr="00826D84">
        <w:rPr>
          <w:rFonts w:ascii="Arial" w:hAnsi="Arial" w:cs="Arial"/>
          <w:b/>
          <w:color w:val="1C4063" w:themeColor="accent1" w:themeShade="80"/>
          <w:sz w:val="28"/>
          <w:szCs w:val="28"/>
          <w:lang w:val="es-CR" w:eastAsia="es-CR"/>
        </w:rPr>
        <w:t>GENERALIDADES</w:t>
      </w:r>
    </w:p>
    <w:p w14:paraId="399359B4" w14:textId="77777777" w:rsidR="00826D84" w:rsidRPr="00826D84" w:rsidRDefault="00826D84" w:rsidP="00826D84">
      <w:pPr>
        <w:ind w:left="513"/>
        <w:contextualSpacing/>
        <w:rPr>
          <w:rFonts w:ascii="Arial" w:hAnsi="Arial" w:cs="Arial"/>
          <w:szCs w:val="22"/>
          <w:highlight w:val="yellow"/>
        </w:rPr>
      </w:pPr>
    </w:p>
    <w:p w14:paraId="64E529CD" w14:textId="77777777" w:rsidR="00826D84" w:rsidRPr="00826D84" w:rsidRDefault="00826D84" w:rsidP="00826D84">
      <w:pPr>
        <w:ind w:right="-285"/>
        <w:rPr>
          <w:rFonts w:ascii="Arial" w:hAnsi="Arial" w:cs="Arial"/>
          <w:sz w:val="24"/>
        </w:rPr>
      </w:pPr>
      <w:r w:rsidRPr="00826D84">
        <w:rPr>
          <w:rFonts w:ascii="Arial" w:hAnsi="Arial" w:cs="Arial"/>
          <w:sz w:val="24"/>
        </w:rPr>
        <w:t>Las operaciones diferidas a plazo (ODP) fueron autorizadas por la Junta Directiva del Banco Central el 02-09-2020</w:t>
      </w:r>
      <w:r w:rsidRPr="00826D84">
        <w:rPr>
          <w:rFonts w:ascii="Arial" w:hAnsi="Arial" w:cs="Arial"/>
          <w:sz w:val="24"/>
          <w:vertAlign w:val="superscript"/>
        </w:rPr>
        <w:footnoteReference w:id="2"/>
      </w:r>
      <w:r w:rsidRPr="00826D84">
        <w:rPr>
          <w:rFonts w:ascii="Arial" w:hAnsi="Arial" w:cs="Arial"/>
          <w:sz w:val="24"/>
        </w:rPr>
        <w:t>, como facilidades de carácter especial y temporal de financiamiento en moneda nacional con el fin de proveer recursos de mediano plazo y bajo costo a los intermediarios financieros regulados (IFR) por la Superintendencia General de Entidades Financieras (SUGEF), condicionado a que trasladaran los fondos en condiciones también favorables a los hogares y empresas afectados por la pandemia por COVID-19. Los intermediarios debían utilizar estos fondos para la colocación de créditos nuevos en moneda nacional o arreglos de pago de créditos existentes en moneda nacional y extranjera (readecuaciones, refinanciamientos o prórrogas).</w:t>
      </w:r>
    </w:p>
    <w:p w14:paraId="46818E64" w14:textId="77777777" w:rsidR="00826D84" w:rsidRPr="00826D84" w:rsidRDefault="00826D84" w:rsidP="00826D84">
      <w:pPr>
        <w:ind w:right="-285"/>
        <w:rPr>
          <w:rFonts w:ascii="Arial" w:hAnsi="Arial" w:cs="Arial"/>
          <w:sz w:val="24"/>
        </w:rPr>
      </w:pPr>
    </w:p>
    <w:p w14:paraId="734061E6" w14:textId="77777777" w:rsidR="00826D84" w:rsidRPr="00826D84" w:rsidRDefault="00826D84" w:rsidP="00826D84">
      <w:pPr>
        <w:ind w:right="-285"/>
        <w:rPr>
          <w:rFonts w:ascii="Arial" w:hAnsi="Arial" w:cs="Arial"/>
          <w:sz w:val="24"/>
        </w:rPr>
      </w:pPr>
      <w:r w:rsidRPr="00826D84">
        <w:rPr>
          <w:rFonts w:ascii="Arial" w:hAnsi="Arial" w:cs="Arial"/>
          <w:sz w:val="24"/>
        </w:rPr>
        <w:t>Al cierre del periodo establecido para realizar los desembolsos de las ODP (junio del 2021), se giró a los IFR un monto de ¢826.355 millones</w:t>
      </w:r>
      <w:r w:rsidRPr="00826D84">
        <w:rPr>
          <w:rFonts w:ascii="Arial" w:hAnsi="Arial" w:cs="Arial"/>
          <w:sz w:val="24"/>
          <w:vertAlign w:val="superscript"/>
        </w:rPr>
        <w:footnoteReference w:id="3"/>
      </w:r>
      <w:r w:rsidRPr="00826D84">
        <w:rPr>
          <w:rFonts w:ascii="Arial" w:hAnsi="Arial" w:cs="Arial"/>
          <w:sz w:val="24"/>
        </w:rPr>
        <w:t>, equivalente al 98% del monto total aprobado (¢842.887 millones)</w:t>
      </w:r>
      <w:r w:rsidRPr="00826D84">
        <w:rPr>
          <w:rFonts w:ascii="Arial" w:hAnsi="Arial" w:cs="Arial"/>
          <w:sz w:val="24"/>
          <w:vertAlign w:val="superscript"/>
        </w:rPr>
        <w:footnoteReference w:id="4"/>
      </w:r>
      <w:r w:rsidRPr="00826D84">
        <w:rPr>
          <w:rFonts w:ascii="Arial" w:hAnsi="Arial" w:cs="Arial"/>
          <w:sz w:val="24"/>
        </w:rPr>
        <w:t xml:space="preserve">. </w:t>
      </w:r>
    </w:p>
    <w:p w14:paraId="07F8B104" w14:textId="77777777" w:rsidR="00826D84" w:rsidRPr="00826D84" w:rsidRDefault="00826D84" w:rsidP="00826D84">
      <w:pPr>
        <w:ind w:left="513"/>
        <w:contextualSpacing/>
        <w:rPr>
          <w:rFonts w:ascii="Arial" w:hAnsi="Arial" w:cs="Arial"/>
          <w:szCs w:val="22"/>
        </w:rPr>
      </w:pPr>
    </w:p>
    <w:p w14:paraId="6AAB8EB0" w14:textId="77777777" w:rsidR="00826D84" w:rsidRPr="00826D84" w:rsidRDefault="00826D84" w:rsidP="00826D84">
      <w:pPr>
        <w:ind w:left="513"/>
        <w:contextualSpacing/>
        <w:rPr>
          <w:rFonts w:ascii="Arial" w:hAnsi="Arial" w:cs="Arial"/>
          <w:szCs w:val="22"/>
          <w:lang w:val="es-CR"/>
        </w:rPr>
      </w:pPr>
    </w:p>
    <w:p w14:paraId="528DE488" w14:textId="77777777" w:rsidR="00826D84" w:rsidRPr="00826D84" w:rsidRDefault="00826D84" w:rsidP="00826D84">
      <w:pPr>
        <w:keepNext/>
        <w:numPr>
          <w:ilvl w:val="0"/>
          <w:numId w:val="13"/>
        </w:numPr>
        <w:ind w:left="567" w:right="-340"/>
        <w:outlineLvl w:val="0"/>
        <w:rPr>
          <w:rFonts w:ascii="Arial" w:hAnsi="Arial" w:cs="Arial"/>
          <w:b/>
          <w:color w:val="1C4063" w:themeColor="accent1" w:themeShade="80"/>
          <w:sz w:val="28"/>
          <w:szCs w:val="28"/>
          <w:lang w:val="es-CR" w:eastAsia="es-CR"/>
        </w:rPr>
      </w:pPr>
      <w:r w:rsidRPr="00826D84">
        <w:rPr>
          <w:rFonts w:ascii="Arial" w:hAnsi="Arial" w:cs="Arial"/>
          <w:b/>
          <w:color w:val="1C4063" w:themeColor="accent1" w:themeShade="80"/>
          <w:sz w:val="28"/>
          <w:szCs w:val="28"/>
          <w:lang w:val="es-CR" w:eastAsia="es-CR"/>
        </w:rPr>
        <w:t>RESUMEN DE RESULTADOS</w:t>
      </w:r>
    </w:p>
    <w:p w14:paraId="28851325" w14:textId="77777777" w:rsidR="00826D84" w:rsidRPr="00826D84" w:rsidRDefault="00826D84" w:rsidP="00826D84">
      <w:pPr>
        <w:ind w:left="513"/>
        <w:contextualSpacing/>
        <w:rPr>
          <w:rFonts w:ascii="Arial" w:hAnsi="Arial" w:cs="Arial"/>
          <w:szCs w:val="22"/>
          <w:lang w:val="es-CR"/>
        </w:rPr>
      </w:pPr>
    </w:p>
    <w:p w14:paraId="143C2ED6" w14:textId="77777777" w:rsidR="00826D84" w:rsidRPr="00826D84" w:rsidRDefault="00826D84" w:rsidP="00826D84">
      <w:pPr>
        <w:rPr>
          <w:rFonts w:ascii="Arial" w:hAnsi="Arial" w:cs="Arial"/>
          <w:sz w:val="24"/>
          <w:szCs w:val="28"/>
        </w:rPr>
      </w:pPr>
      <w:r w:rsidRPr="00826D84">
        <w:rPr>
          <w:rFonts w:ascii="Arial" w:hAnsi="Arial" w:cs="Arial"/>
          <w:sz w:val="24"/>
          <w:szCs w:val="28"/>
        </w:rPr>
        <w:t xml:space="preserve">Los resultados de esta evaluación permitieron identificar los siguientes aspectos: </w:t>
      </w:r>
    </w:p>
    <w:p w14:paraId="63DD8AA7" w14:textId="77777777" w:rsidR="00826D84" w:rsidRPr="00826D84" w:rsidRDefault="00826D84" w:rsidP="00826D84">
      <w:pPr>
        <w:rPr>
          <w:rFonts w:ascii="Arial" w:hAnsi="Arial" w:cs="Arial"/>
          <w:sz w:val="24"/>
          <w:szCs w:val="28"/>
        </w:rPr>
      </w:pPr>
    </w:p>
    <w:p w14:paraId="451D0A60" w14:textId="77777777" w:rsidR="00826D84" w:rsidRPr="00826D84" w:rsidRDefault="00826D84" w:rsidP="00826D84">
      <w:pPr>
        <w:ind w:left="720"/>
        <w:contextualSpacing/>
        <w:rPr>
          <w:rFonts w:ascii="Arial" w:hAnsi="Arial" w:cs="Arial"/>
          <w:b/>
          <w:bCs/>
          <w:sz w:val="24"/>
          <w:szCs w:val="28"/>
        </w:rPr>
      </w:pPr>
      <w:r w:rsidRPr="00826D84">
        <w:rPr>
          <w:rFonts w:ascii="Arial" w:hAnsi="Arial" w:cs="Arial"/>
          <w:b/>
          <w:bCs/>
          <w:sz w:val="24"/>
          <w:szCs w:val="28"/>
        </w:rPr>
        <w:t>Cumplimiento de disposiciones</w:t>
      </w:r>
    </w:p>
    <w:p w14:paraId="0623D953" w14:textId="77777777" w:rsidR="00826D84" w:rsidRPr="00826D84" w:rsidRDefault="00826D84" w:rsidP="00826D84">
      <w:pPr>
        <w:spacing w:after="120"/>
        <w:ind w:left="357"/>
        <w:rPr>
          <w:rFonts w:ascii="Arial" w:hAnsi="Arial" w:cs="Arial"/>
          <w:sz w:val="24"/>
        </w:rPr>
      </w:pPr>
    </w:p>
    <w:p w14:paraId="2854ED77" w14:textId="77777777" w:rsidR="00826D84" w:rsidRPr="00826D84" w:rsidRDefault="00826D84" w:rsidP="00826D84">
      <w:pPr>
        <w:numPr>
          <w:ilvl w:val="0"/>
          <w:numId w:val="14"/>
        </w:numPr>
        <w:spacing w:after="120"/>
        <w:ind w:left="357" w:hanging="357"/>
        <w:rPr>
          <w:rFonts w:ascii="Arial" w:hAnsi="Arial" w:cs="Arial"/>
          <w:sz w:val="24"/>
        </w:rPr>
      </w:pPr>
      <w:r w:rsidRPr="00826D84">
        <w:rPr>
          <w:rFonts w:ascii="Arial" w:hAnsi="Arial" w:cs="Arial"/>
          <w:sz w:val="24"/>
        </w:rPr>
        <w:t xml:space="preserve">La cancelación de las operaciones diferidas a plazo (ODP) se llevó a cabo según los plazos autorizados por la Junta Directiva (2 y 4 años), la tasa de interés establecida en el contrato (Tasa de Política Monetaria vigente el día de la formalización de la operación más un componente de ajuste de cinco puntos base, vigente para todo el plazo del crédito), el monto del desembolso efectuado por el BCCR y los casos de redenciones anticipadas de algunos cada intermediarios financieros. </w:t>
      </w:r>
    </w:p>
    <w:p w14:paraId="5D26BD6E" w14:textId="77777777" w:rsidR="00826D84" w:rsidRPr="00826D84" w:rsidRDefault="00826D84" w:rsidP="00826D84">
      <w:pPr>
        <w:numPr>
          <w:ilvl w:val="0"/>
          <w:numId w:val="14"/>
        </w:numPr>
        <w:spacing w:after="120"/>
        <w:rPr>
          <w:rFonts w:ascii="Arial" w:hAnsi="Arial" w:cs="Arial"/>
          <w:sz w:val="24"/>
        </w:rPr>
      </w:pPr>
      <w:r w:rsidRPr="00826D84">
        <w:rPr>
          <w:rFonts w:ascii="Arial" w:hAnsi="Arial" w:cs="Arial"/>
          <w:sz w:val="24"/>
        </w:rPr>
        <w:t xml:space="preserve">El 13 de mayo del 2024, el CONASSIF declaró la intervención de un intermediario financiero, el cual mantenía vigente una operación de crédito diferido a 4 años plazo otorgada por el BCCR en el 2020. En este caso, no se llevó a cabo la devolución de la forma prevista en el contrato original (devolución de recursos en un plazo de 5 días por parte de entidades en condición de irregularidad financiera), debido a las disposiciones aplicables al proceso de intervención; en su lugar se suscribió un contrato de novación de deudor el 11 de setiembre del 2024, previa aprobación por parte del CONASSIF de la oferta presentada por la entidad adquiriente, la cual efectuó la cancelación del crédito original adeudado al BCCR. Aunque el contrato de novación de deudor no especificó la tasa de interés pactada y la fecha de vencimiento, se verificó la cancelación del crédito según el monto original y los intereses aplicables. </w:t>
      </w:r>
    </w:p>
    <w:p w14:paraId="323DFE94" w14:textId="77777777" w:rsidR="00826D84" w:rsidRPr="00826D84" w:rsidRDefault="00826D84" w:rsidP="00826D84">
      <w:pPr>
        <w:numPr>
          <w:ilvl w:val="0"/>
          <w:numId w:val="14"/>
        </w:numPr>
        <w:spacing w:after="120"/>
        <w:ind w:left="357" w:hanging="357"/>
        <w:rPr>
          <w:rFonts w:ascii="Arial" w:hAnsi="Arial" w:cs="Arial"/>
          <w:sz w:val="24"/>
        </w:rPr>
      </w:pPr>
      <w:r w:rsidRPr="00826D84">
        <w:rPr>
          <w:rFonts w:ascii="Arial" w:hAnsi="Arial" w:cs="Arial"/>
          <w:sz w:val="24"/>
        </w:rPr>
        <w:t xml:space="preserve">El Departamento Estabilidad Financiera remitió a la Junta Directiva informes semestrales de seguimiento de las operaciones diferidas a plazo, con los resultados de las verificaciones del cumplimiento del plan de uso de recursos y las mejoras crediticias ofrecidas por los intermediarios financieros. El sexto y último informe fue emitido el 9 de enero del 2025 (oficio DEC-EFI-0001-2025) y presentado a la Junta Directiva el 4 de febrero del 2025 (sesión 6237, artículo 8). Este informe incluyó información a setiembre del 2024 sobre el monto de los desembolsos, redenciones y cancelaciones por entidad, uso de los recursos colocados por tipo de deudor, cantidad de deudores y sectores económicos beneficiados, tipos de arreglos de </w:t>
      </w:r>
      <w:r w:rsidRPr="00826D84">
        <w:rPr>
          <w:rFonts w:ascii="Arial" w:hAnsi="Arial" w:cs="Arial"/>
          <w:sz w:val="24"/>
        </w:rPr>
        <w:lastRenderedPageBreak/>
        <w:t xml:space="preserve">pago o mejora de condiciones crediticias otorgadas por los intermediarios financieros, entre otros detalles. </w:t>
      </w:r>
    </w:p>
    <w:p w14:paraId="0F5C3089" w14:textId="77777777" w:rsidR="00826D84" w:rsidRPr="00826D84" w:rsidRDefault="00826D84" w:rsidP="00826D84">
      <w:pPr>
        <w:numPr>
          <w:ilvl w:val="0"/>
          <w:numId w:val="14"/>
        </w:numPr>
        <w:spacing w:after="120"/>
        <w:ind w:left="357" w:hanging="357"/>
        <w:rPr>
          <w:rFonts w:ascii="Arial" w:hAnsi="Arial" w:cs="Arial"/>
          <w:sz w:val="24"/>
        </w:rPr>
      </w:pPr>
      <w:r w:rsidRPr="00826D84">
        <w:rPr>
          <w:rFonts w:ascii="Arial" w:hAnsi="Arial" w:cs="Arial"/>
          <w:sz w:val="24"/>
        </w:rPr>
        <w:t xml:space="preserve">Las últimas operaciones diferidas a plazo fueron canceladas el 24 de marzo del 2025, pero no se emitió un informe final con los últimos resultados de las verificaciones de cumplimiento y los montos de la cancelación del principal e intereses de todas las entidades deudoras. El 8 de agosto del 2025, el Comité de Auditoría acordó elevar a la Junta Directiva una propuesta de solicitud para que se instruya a la Administración que elabore un estudio sobre las medidas adoptadas por el Banco Central, para mitigar los efectos derivados de la pandemia por Covid-19, específicamente enfocado en las operaciones diferidas a plazo (ODP). Esta solicitud fue conocida por la Junta Directiva en la sesión 6280 del 17 de setiembre del 2025 (artículo 4), en la cual se indicó que la Administración presentará una propuesta de términos de referencia para el estudio solicitado. Durante la conferencia del informe, la División Económica indicó que la propuesta preliminar se encuentra en revisión de la Dirección y será remitida próximamente a la Gerencia y Junta Directiva. </w:t>
      </w:r>
    </w:p>
    <w:p w14:paraId="5EBEB728" w14:textId="77777777" w:rsidR="00826D84" w:rsidRPr="00826D84" w:rsidRDefault="00826D84" w:rsidP="00826D84">
      <w:pPr>
        <w:rPr>
          <w:rFonts w:ascii="Arial" w:hAnsi="Arial" w:cs="Arial"/>
        </w:rPr>
      </w:pPr>
    </w:p>
    <w:p w14:paraId="55856CFF" w14:textId="77777777" w:rsidR="00826D84" w:rsidRPr="00826D84" w:rsidRDefault="00826D84" w:rsidP="00826D84">
      <w:pPr>
        <w:ind w:left="720"/>
        <w:contextualSpacing/>
        <w:rPr>
          <w:rFonts w:ascii="Arial" w:hAnsi="Arial" w:cs="Arial"/>
          <w:b/>
          <w:bCs/>
          <w:sz w:val="24"/>
          <w:szCs w:val="28"/>
        </w:rPr>
      </w:pPr>
      <w:r w:rsidRPr="00826D84">
        <w:rPr>
          <w:rFonts w:ascii="Arial" w:hAnsi="Arial" w:cs="Arial"/>
          <w:b/>
          <w:bCs/>
          <w:sz w:val="24"/>
          <w:szCs w:val="28"/>
        </w:rPr>
        <w:t>Integridad de registros financiero-contables</w:t>
      </w:r>
    </w:p>
    <w:p w14:paraId="7AB348F3" w14:textId="77777777" w:rsidR="00826D84" w:rsidRPr="00826D84" w:rsidRDefault="00826D84" w:rsidP="00826D84">
      <w:pPr>
        <w:rPr>
          <w:rFonts w:ascii="Arial" w:hAnsi="Arial" w:cs="Arial"/>
        </w:rPr>
      </w:pPr>
    </w:p>
    <w:p w14:paraId="4B029C12" w14:textId="77777777" w:rsidR="00826D84" w:rsidRPr="00826D84" w:rsidRDefault="00826D84" w:rsidP="00826D84">
      <w:pPr>
        <w:numPr>
          <w:ilvl w:val="0"/>
          <w:numId w:val="14"/>
        </w:numPr>
        <w:spacing w:after="120"/>
        <w:ind w:left="357" w:hanging="357"/>
        <w:rPr>
          <w:rFonts w:ascii="Arial" w:hAnsi="Arial" w:cs="Arial"/>
          <w:sz w:val="24"/>
        </w:rPr>
      </w:pPr>
      <w:r w:rsidRPr="00826D84">
        <w:rPr>
          <w:rFonts w:ascii="Arial" w:hAnsi="Arial" w:cs="Arial"/>
          <w:sz w:val="24"/>
        </w:rPr>
        <w:t xml:space="preserve">Aunque las operaciones diferidas a plazo fueron registradas en el servicio Mercado Integrado de Liquidez (MIL-SINPE), no se habilitó un clasificador o tipo de operación específico para identificarlas, por lo que fueron registradas como parte de la misma numeración de los calces correspondientes a las operaciones normales de liquidez. Esto afectó la trazabilidad de los eventos financieros involucrados (constitución, desembolso, redenciones parciales, monto calculado de intereses y cancelación al vencimiento). Además, las funcionalidades del servicio no fueron preparadas para atender redenciones anticipadas, lo que originó ajustes en registros financieros y contables en julio 2021, febrero 2022 y enero 2023. Dado lo anterior, durante el estudio se solicitó la colaboración del Departamento Finanzas y Contabilidad para revisar la trazabilidad financiera de estas operaciones y su conciliación con los saldos contables, para lo cual realizó una reconstrucción de las operaciones formalizadas, para cada una de las fechas desde su constitución hasta su vencimiento o redención anticipada, incluyendo los montos de desembolso inicial, redenciones, vencimiento, interés diario, interés redimido e interés cobrado al vencimiento. </w:t>
      </w:r>
    </w:p>
    <w:p w14:paraId="3E2A39E1" w14:textId="77777777" w:rsidR="00826D84" w:rsidRPr="00826D84" w:rsidRDefault="00826D84" w:rsidP="00826D84">
      <w:pPr>
        <w:rPr>
          <w:rFonts w:ascii="Arial" w:hAnsi="Arial" w:cs="Arial"/>
          <w:sz w:val="24"/>
          <w:szCs w:val="28"/>
        </w:rPr>
      </w:pPr>
      <w:bookmarkStart w:id="0" w:name="_Hlk175148887"/>
    </w:p>
    <w:p w14:paraId="74FB3052" w14:textId="77777777" w:rsidR="00826D84" w:rsidRPr="00826D84" w:rsidRDefault="00826D84" w:rsidP="00826D84">
      <w:pPr>
        <w:keepNext/>
        <w:numPr>
          <w:ilvl w:val="0"/>
          <w:numId w:val="13"/>
        </w:numPr>
        <w:ind w:left="567" w:right="-340"/>
        <w:outlineLvl w:val="0"/>
        <w:rPr>
          <w:rFonts w:ascii="Arial" w:hAnsi="Arial" w:cs="Arial"/>
          <w:b/>
          <w:color w:val="1C4063" w:themeColor="accent1" w:themeShade="80"/>
          <w:sz w:val="28"/>
          <w:szCs w:val="28"/>
          <w:lang w:val="es-CR" w:eastAsia="es-CR"/>
        </w:rPr>
      </w:pPr>
      <w:r w:rsidRPr="00826D84">
        <w:rPr>
          <w:rFonts w:ascii="Arial" w:hAnsi="Arial" w:cs="Arial"/>
          <w:b/>
          <w:color w:val="1C4063" w:themeColor="accent1" w:themeShade="80"/>
          <w:sz w:val="28"/>
          <w:szCs w:val="28"/>
          <w:lang w:val="es-CR" w:eastAsia="es-CR"/>
        </w:rPr>
        <w:t>CONCLUSIÓN</w:t>
      </w:r>
    </w:p>
    <w:p w14:paraId="6379B3D8" w14:textId="77777777" w:rsidR="00826D84" w:rsidRPr="00826D84" w:rsidRDefault="00826D84" w:rsidP="00826D84">
      <w:pPr>
        <w:rPr>
          <w:rFonts w:ascii="Arial" w:hAnsi="Arial" w:cs="Arial"/>
          <w:sz w:val="24"/>
          <w:szCs w:val="28"/>
        </w:rPr>
      </w:pPr>
    </w:p>
    <w:p w14:paraId="4EF561A0" w14:textId="77777777" w:rsidR="00826D84" w:rsidRPr="00826D84" w:rsidRDefault="00826D84" w:rsidP="00826D84">
      <w:pPr>
        <w:rPr>
          <w:rFonts w:ascii="Arial" w:hAnsi="Arial" w:cs="Arial"/>
          <w:sz w:val="24"/>
        </w:rPr>
      </w:pPr>
      <w:r w:rsidRPr="00826D84">
        <w:rPr>
          <w:rFonts w:ascii="Arial" w:hAnsi="Arial" w:cs="Arial"/>
          <w:sz w:val="24"/>
        </w:rPr>
        <w:t xml:space="preserve">Los resultados obtenidos en la evaluación del cumplimiento de las disposiciones aplicables y la integridad de los registros financiero-contables correspondientes a la cancelación de las operaciones diferidas a plazo, permiten concluir que </w:t>
      </w:r>
      <w:r w:rsidRPr="00826D84">
        <w:rPr>
          <w:rFonts w:ascii="Arial" w:hAnsi="Arial" w:cs="Arial"/>
          <w:b/>
          <w:bCs/>
          <w:sz w:val="24"/>
        </w:rPr>
        <w:t xml:space="preserve">cumple </w:t>
      </w:r>
      <w:r w:rsidRPr="00826D84">
        <w:rPr>
          <w:rFonts w:ascii="Arial" w:hAnsi="Arial" w:cs="Arial"/>
          <w:sz w:val="24"/>
        </w:rPr>
        <w:t xml:space="preserve">los criterios evaluados. A la fecha está pendiente la presentación a la Junta Directiva de los términos de referencia del estudio sobre las medidas adoptadas por el Banco Central para mitigar los efectos derivados de la pandemia por Covid-19, </w:t>
      </w:r>
      <w:r w:rsidRPr="00826D84">
        <w:rPr>
          <w:rFonts w:ascii="Arial" w:hAnsi="Arial" w:cs="Arial"/>
          <w:sz w:val="24"/>
        </w:rPr>
        <w:lastRenderedPageBreak/>
        <w:t xml:space="preserve">específicamente enfocado en las operaciones diferidas a plazo (ODP), cuya solicitud fue planteada por </w:t>
      </w:r>
      <w:bookmarkEnd w:id="0"/>
      <w:r w:rsidRPr="00826D84">
        <w:rPr>
          <w:rFonts w:ascii="Arial" w:hAnsi="Arial" w:cs="Arial"/>
          <w:sz w:val="24"/>
        </w:rPr>
        <w:t xml:space="preserve">el Comité de Auditoría y conocida por la Junta Directiva en la sesión 6280 del 17 de setiembre del 2025. </w:t>
      </w:r>
    </w:p>
    <w:p w14:paraId="750B06D2" w14:textId="77777777" w:rsidR="00826D84" w:rsidRPr="00826D84" w:rsidRDefault="00826D84" w:rsidP="00826D84">
      <w:pPr>
        <w:spacing w:before="100" w:beforeAutospacing="1" w:after="100" w:afterAutospacing="1"/>
        <w:rPr>
          <w:rFonts w:ascii="Arial" w:hAnsi="Arial" w:cs="Arial"/>
          <w:sz w:val="24"/>
          <w:lang w:val="es-MX" w:eastAsia="es-MX"/>
        </w:rPr>
      </w:pPr>
      <w:r w:rsidRPr="00826D84">
        <w:rPr>
          <w:rFonts w:ascii="Arial" w:hAnsi="Arial" w:cs="Arial"/>
          <w:sz w:val="24"/>
          <w:lang w:val="es-MX" w:eastAsia="es-MX"/>
        </w:rPr>
        <w:t>La Auditoría Interna realizó la conferencia técnica y final de este informe con la División Económica, la División Gestión de Activos y Pasivos, la División Servicios Compartidos, el Departamento Finanzas y Contabilidad y la Gerencia, como parte de la comunicación preliminar de los resultados.</w:t>
      </w:r>
    </w:p>
    <w:p w14:paraId="4311AD03" w14:textId="77777777" w:rsidR="00826D84" w:rsidRPr="00826D84" w:rsidRDefault="00826D84" w:rsidP="00826D84">
      <w:pPr>
        <w:rPr>
          <w:rFonts w:ascii="Arial" w:hAnsi="Arial" w:cs="Arial"/>
          <w:sz w:val="24"/>
          <w:lang w:val="es-MX" w:eastAsia="es-MX"/>
        </w:rPr>
      </w:pPr>
      <w:bookmarkStart w:id="1" w:name="_Hlk214445219"/>
      <w:r w:rsidRPr="00826D84">
        <w:rPr>
          <w:rFonts w:ascii="Arial" w:hAnsi="Arial" w:cs="Arial"/>
          <w:sz w:val="24"/>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14:paraId="18271659" w14:textId="77777777" w:rsidR="00826D84" w:rsidRPr="00826D84" w:rsidRDefault="00826D84" w:rsidP="00826D84">
      <w:pPr>
        <w:rPr>
          <w:rFonts w:ascii="Arial" w:hAnsi="Arial" w:cs="Arial"/>
          <w:sz w:val="24"/>
          <w:lang w:val="es-MX" w:eastAsia="es-MX"/>
        </w:rPr>
      </w:pPr>
    </w:p>
    <w:p w14:paraId="2E910809" w14:textId="77777777" w:rsidR="00826D84" w:rsidRPr="00826D84" w:rsidRDefault="00826D84" w:rsidP="00826D84">
      <w:pPr>
        <w:rPr>
          <w:rFonts w:ascii="Arial" w:hAnsi="Arial" w:cs="Arial"/>
          <w:sz w:val="24"/>
          <w:lang w:val="pt-BR"/>
        </w:rPr>
      </w:pPr>
      <w:bookmarkStart w:id="2" w:name="R_043962_40718750"/>
      <w:bookmarkEnd w:id="1"/>
      <w:bookmarkEnd w:id="2"/>
      <w:r w:rsidRPr="00826D84">
        <w:rPr>
          <w:rFonts w:ascii="Arial" w:hAnsi="Arial" w:cs="Arial"/>
          <w:sz w:val="24"/>
          <w:lang w:val="pt-BR"/>
        </w:rPr>
        <w:t>Atentamente,</w:t>
      </w:r>
    </w:p>
    <w:p w14:paraId="0CEE017D" w14:textId="77777777" w:rsidR="00826D84" w:rsidRPr="00826D84" w:rsidRDefault="00826D84" w:rsidP="00826D84">
      <w:pPr>
        <w:ind w:left="360"/>
        <w:rPr>
          <w:rFonts w:ascii="Arial" w:hAnsi="Arial" w:cs="Arial"/>
          <w:sz w:val="24"/>
          <w:lang w:val="pt-BR"/>
        </w:rPr>
      </w:pPr>
      <w:r w:rsidRPr="00826D84">
        <w:rPr>
          <w:rFonts w:ascii="Arial" w:hAnsi="Arial" w:cs="Arial"/>
          <w:noProof/>
          <w:sz w:val="24"/>
          <w:lang w:val="es-CR" w:eastAsia="es-CR"/>
        </w:rPr>
        <w:drawing>
          <wp:anchor distT="0" distB="0" distL="114300" distR="114300" simplePos="0" relativeHeight="251659264" behindDoc="1" locked="0" layoutInCell="1" allowOverlap="1" wp14:anchorId="2A8011A8" wp14:editId="43EDCE52">
            <wp:simplePos x="0" y="0"/>
            <wp:positionH relativeFrom="column">
              <wp:posOffset>-176207</wp:posOffset>
            </wp:positionH>
            <wp:positionV relativeFrom="paragraph">
              <wp:posOffset>86180</wp:posOffset>
            </wp:positionV>
            <wp:extent cx="2506980" cy="388620"/>
            <wp:effectExtent l="0" t="0" r="0" b="0"/>
            <wp:wrapNone/>
            <wp:docPr id="1334600442" name="Imagen 133460044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00442" name="Imagen 1334600442"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14:paraId="21BBBF13" w14:textId="77777777" w:rsidR="00826D84" w:rsidRPr="00826D84" w:rsidRDefault="00826D84" w:rsidP="00826D84">
      <w:pPr>
        <w:rPr>
          <w:rFonts w:ascii="Arial" w:hAnsi="Arial" w:cs="Arial"/>
          <w:sz w:val="24"/>
          <w:lang w:val="pt-BR"/>
        </w:rPr>
      </w:pPr>
    </w:p>
    <w:p w14:paraId="3A9E0B41" w14:textId="77777777" w:rsidR="00826D84" w:rsidRPr="00826D84" w:rsidRDefault="00826D84" w:rsidP="00826D84">
      <w:pPr>
        <w:rPr>
          <w:rFonts w:ascii="Arial" w:hAnsi="Arial" w:cs="Arial"/>
          <w:sz w:val="24"/>
          <w:lang w:val="pt-BR"/>
        </w:rPr>
      </w:pPr>
    </w:p>
    <w:p w14:paraId="5C227DCD" w14:textId="77777777" w:rsidR="00826D84" w:rsidRPr="00826D84" w:rsidRDefault="00826D84" w:rsidP="00826D84">
      <w:pPr>
        <w:rPr>
          <w:rFonts w:ascii="Arial" w:hAnsi="Arial" w:cs="Arial"/>
          <w:sz w:val="24"/>
          <w:lang w:val="pt-BR"/>
        </w:rPr>
      </w:pPr>
      <w:r w:rsidRPr="00826D84">
        <w:rPr>
          <w:rFonts w:ascii="Arial" w:hAnsi="Arial" w:cs="Arial"/>
          <w:sz w:val="24"/>
          <w:lang w:val="pt-BR"/>
        </w:rPr>
        <w:t>Joaquín Vargas Guerrero</w:t>
      </w:r>
    </w:p>
    <w:p w14:paraId="3240FC5D" w14:textId="77777777" w:rsidR="00826D84" w:rsidRPr="00826D84" w:rsidRDefault="00826D84" w:rsidP="00826D84">
      <w:pPr>
        <w:rPr>
          <w:rFonts w:ascii="Arial" w:hAnsi="Arial" w:cs="Arial"/>
          <w:b/>
          <w:sz w:val="24"/>
          <w:lang w:val="pt-BR"/>
        </w:rPr>
      </w:pPr>
      <w:r w:rsidRPr="00826D84">
        <w:rPr>
          <w:rFonts w:ascii="Arial" w:hAnsi="Arial" w:cs="Arial"/>
          <w:b/>
          <w:sz w:val="24"/>
          <w:lang w:val="pt-BR"/>
        </w:rPr>
        <w:t>Auditor Interno</w:t>
      </w:r>
    </w:p>
    <w:p w14:paraId="021E3BEE" w14:textId="77777777" w:rsidR="00826D84" w:rsidRPr="00826D84" w:rsidRDefault="00826D84" w:rsidP="00826D84">
      <w:pPr>
        <w:rPr>
          <w:rFonts w:ascii="Arial" w:hAnsi="Arial" w:cs="Arial"/>
          <w:lang w:val="pt-BR"/>
        </w:rPr>
      </w:pPr>
    </w:p>
    <w:p w14:paraId="5CEDB927" w14:textId="470009DC" w:rsidR="00826D84" w:rsidRPr="00826D84" w:rsidRDefault="00826D84" w:rsidP="00826D84">
      <w:pPr>
        <w:pStyle w:val="CC"/>
      </w:pPr>
      <w:bookmarkStart w:id="3" w:name="_Hlk175152186"/>
      <w:r w:rsidRPr="00826D84">
        <w:t>C</w:t>
      </w:r>
      <w:r>
        <w:t>c</w:t>
      </w:r>
      <w:r w:rsidRPr="00826D84">
        <w:t>.</w:t>
      </w:r>
      <w:r w:rsidRPr="00826D84">
        <w:tab/>
        <w:t xml:space="preserve">División </w:t>
      </w:r>
      <w:bookmarkEnd w:id="3"/>
      <w:r w:rsidRPr="00826D84">
        <w:t>Económica</w:t>
      </w:r>
    </w:p>
    <w:p w14:paraId="26E50701" w14:textId="77777777" w:rsidR="00826D84" w:rsidRPr="00826D84" w:rsidRDefault="00826D84" w:rsidP="00826D84">
      <w:pPr>
        <w:pStyle w:val="CC"/>
      </w:pPr>
      <w:r w:rsidRPr="00826D84">
        <w:tab/>
        <w:t>División Gestión de Activos y Pasivos</w:t>
      </w:r>
    </w:p>
    <w:p w14:paraId="3B4A892E" w14:textId="77777777" w:rsidR="00826D84" w:rsidRPr="00826D84" w:rsidRDefault="00826D84" w:rsidP="00826D84">
      <w:pPr>
        <w:pStyle w:val="CC"/>
      </w:pPr>
      <w:r w:rsidRPr="00826D84">
        <w:tab/>
        <w:t>División Servicios Compartidos</w:t>
      </w:r>
    </w:p>
    <w:p w14:paraId="63645735" w14:textId="6787053A" w:rsidR="00A26E9E" w:rsidRPr="002307FE" w:rsidRDefault="00826D84" w:rsidP="00826D84">
      <w:pPr>
        <w:pStyle w:val="CC"/>
      </w:pPr>
      <w:r w:rsidRPr="00826D84">
        <w:tab/>
        <w:t>Departamento Finanzas y Contabilidad</w:t>
      </w:r>
      <w:r w:rsidRPr="00826D84">
        <w:tab/>
      </w:r>
    </w:p>
    <w:sectPr w:rsidR="00A26E9E" w:rsidRPr="002307FE" w:rsidSect="00826D84">
      <w:headerReference w:type="default" r:id="rId15"/>
      <w:footerReference w:type="even" r:id="rId16"/>
      <w:footerReference w:type="default" r:id="rId17"/>
      <w:headerReference w:type="first" r:id="rId18"/>
      <w:footerReference w:type="first" r:id="rId19"/>
      <w:type w:val="continuous"/>
      <w:pgSz w:w="12240" w:h="15840" w:code="1"/>
      <w:pgMar w:top="1702" w:right="1412" w:bottom="1418" w:left="1701"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BA67" w14:textId="77777777" w:rsidR="00826D84" w:rsidRDefault="00826D84" w:rsidP="00D43D57">
      <w:r>
        <w:separator/>
      </w:r>
    </w:p>
  </w:endnote>
  <w:endnote w:type="continuationSeparator" w:id="0">
    <w:p w14:paraId="48C63D76" w14:textId="77777777" w:rsidR="00826D84" w:rsidRDefault="00826D84"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144F" w14:textId="15069A49" w:rsidR="00826D84" w:rsidRDefault="00826D84">
    <w:pPr>
      <w:pStyle w:val="Piedepgina"/>
    </w:pPr>
    <w:r>
      <w:rPr>
        <w:noProof/>
      </w:rPr>
      <mc:AlternateContent>
        <mc:Choice Requires="wps">
          <w:drawing>
            <wp:anchor distT="0" distB="0" distL="0" distR="0" simplePos="0" relativeHeight="251698176" behindDoc="0" locked="0" layoutInCell="1" allowOverlap="1" wp14:anchorId="39599852" wp14:editId="1AD2E1AC">
              <wp:simplePos x="635" y="635"/>
              <wp:positionH relativeFrom="page">
                <wp:align>center</wp:align>
              </wp:positionH>
              <wp:positionV relativeFrom="page">
                <wp:align>bottom</wp:align>
              </wp:positionV>
              <wp:extent cx="1083945" cy="345440"/>
              <wp:effectExtent l="0" t="0" r="1905" b="0"/>
              <wp:wrapNone/>
              <wp:docPr id="853394902"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6D8717DD" w14:textId="72AB7151"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99852"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6D8717DD" w14:textId="72AB7151"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5A05" w14:textId="4ECB44AA" w:rsidR="002307FE" w:rsidRDefault="00826D84"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671605F2" wp14:editId="6DE0B12E">
              <wp:simplePos x="1079500" y="9258300"/>
              <wp:positionH relativeFrom="page">
                <wp:align>center</wp:align>
              </wp:positionH>
              <wp:positionV relativeFrom="page">
                <wp:align>bottom</wp:align>
              </wp:positionV>
              <wp:extent cx="1083945" cy="345440"/>
              <wp:effectExtent l="0" t="0" r="1905" b="0"/>
              <wp:wrapNone/>
              <wp:docPr id="1362844759"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6170521" w14:textId="2C2C8F7E"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1605F2"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36170521" w14:textId="2C2C8F7E"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85E6213F4220468C98C9294B04CC6FBA"/>
        </w:placeholder>
        <w:text/>
      </w:sdtPr>
      <w:sdtEndPr/>
      <w:sdtContent>
        <w:r>
          <w:rPr>
            <w:color w:val="004990"/>
            <w:sz w:val="16"/>
            <w:szCs w:val="16"/>
          </w:rPr>
          <w:t>AI-0046-2026</w:t>
        </w:r>
      </w:sdtContent>
    </w:sdt>
  </w:p>
  <w:p w14:paraId="5968704B"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6A8DE77"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10D068FB" wp14:editId="265820AE">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0D5D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C87989A"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78F63870" w14:textId="77777777" w:rsidR="00D2424F" w:rsidRDefault="00D2424F" w:rsidP="00FA54DF">
                          <w:pPr>
                            <w:rPr>
                              <w:color w:val="003A68"/>
                              <w:sz w:val="14"/>
                              <w:szCs w:val="14"/>
                            </w:rPr>
                          </w:pPr>
                          <w:r w:rsidRPr="00FA54DF">
                            <w:rPr>
                              <w:color w:val="003A68"/>
                              <w:sz w:val="14"/>
                              <w:szCs w:val="14"/>
                            </w:rPr>
                            <w:t>Apdo. 10058-1000</w:t>
                          </w:r>
                        </w:p>
                        <w:p w14:paraId="18E0217E" w14:textId="77777777" w:rsidR="00D2424F" w:rsidRDefault="00D2424F" w:rsidP="00FA54DF">
                          <w:pPr>
                            <w:rPr>
                              <w:color w:val="003A68"/>
                              <w:sz w:val="14"/>
                              <w:szCs w:val="14"/>
                            </w:rPr>
                          </w:pPr>
                          <w:r w:rsidRPr="00FA54DF">
                            <w:rPr>
                              <w:color w:val="003A68"/>
                              <w:sz w:val="14"/>
                              <w:szCs w:val="14"/>
                            </w:rPr>
                            <w:t>Av. 1 y Central, Calles 2 y 4</w:t>
                          </w:r>
                        </w:p>
                        <w:p w14:paraId="69719B8A"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068FB"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5030D5D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C87989A"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78F63870" w14:textId="77777777" w:rsidR="00D2424F" w:rsidRDefault="00D2424F" w:rsidP="00FA54DF">
                    <w:pPr>
                      <w:rPr>
                        <w:color w:val="003A68"/>
                        <w:sz w:val="14"/>
                        <w:szCs w:val="14"/>
                      </w:rPr>
                    </w:pPr>
                    <w:r w:rsidRPr="00FA54DF">
                      <w:rPr>
                        <w:color w:val="003A68"/>
                        <w:sz w:val="14"/>
                        <w:szCs w:val="14"/>
                      </w:rPr>
                      <w:t>Apdo. 10058-1000</w:t>
                    </w:r>
                  </w:p>
                  <w:p w14:paraId="18E0217E" w14:textId="77777777" w:rsidR="00D2424F" w:rsidRDefault="00D2424F" w:rsidP="00FA54DF">
                    <w:pPr>
                      <w:rPr>
                        <w:color w:val="003A68"/>
                        <w:sz w:val="14"/>
                        <w:szCs w:val="14"/>
                      </w:rPr>
                    </w:pPr>
                    <w:r w:rsidRPr="00FA54DF">
                      <w:rPr>
                        <w:color w:val="003A68"/>
                        <w:sz w:val="14"/>
                        <w:szCs w:val="14"/>
                      </w:rPr>
                      <w:t>Av. 1 y Central, Calles 2 y 4</w:t>
                    </w:r>
                  </w:p>
                  <w:p w14:paraId="69719B8A"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1DEA6F3B" wp14:editId="45B9F0DE">
          <wp:simplePos x="0" y="0"/>
          <wp:positionH relativeFrom="column">
            <wp:posOffset>4550781</wp:posOffset>
          </wp:positionH>
          <wp:positionV relativeFrom="paragraph">
            <wp:posOffset>-190500</wp:posOffset>
          </wp:positionV>
          <wp:extent cx="8890" cy="431165"/>
          <wp:effectExtent l="0" t="0" r="0" b="0"/>
          <wp:wrapNone/>
          <wp:docPr id="188848805" name="Imagen 188848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8995" w14:textId="511F6F80" w:rsidR="00F64992" w:rsidRDefault="00826D84"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3E05600F" wp14:editId="6FE8FE0F">
              <wp:simplePos x="635" y="635"/>
              <wp:positionH relativeFrom="page">
                <wp:align>center</wp:align>
              </wp:positionH>
              <wp:positionV relativeFrom="page">
                <wp:align>bottom</wp:align>
              </wp:positionV>
              <wp:extent cx="1083945" cy="345440"/>
              <wp:effectExtent l="0" t="0" r="1905" b="0"/>
              <wp:wrapNone/>
              <wp:docPr id="1729014736"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6820B912" w14:textId="4A68E20C"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05600F"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6820B912" w14:textId="4A68E20C" w:rsidR="00826D84" w:rsidRPr="00826D84" w:rsidRDefault="00826D84" w:rsidP="00826D84">
                    <w:pPr>
                      <w:rPr>
                        <w:rFonts w:ascii="Aptos" w:eastAsia="Aptos" w:hAnsi="Aptos" w:cs="Aptos"/>
                        <w:noProof/>
                        <w:color w:val="000000"/>
                        <w:sz w:val="20"/>
                        <w:szCs w:val="20"/>
                      </w:rPr>
                    </w:pPr>
                    <w:r w:rsidRPr="00826D84">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3D3A10A" wp14:editId="18D5EB28">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4EB9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35DEFF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5CCC6B5" w14:textId="77777777" w:rsidR="00D2424F" w:rsidRDefault="00D2424F">
                          <w:pPr>
                            <w:rPr>
                              <w:color w:val="003A68"/>
                              <w:sz w:val="14"/>
                              <w:szCs w:val="14"/>
                            </w:rPr>
                          </w:pPr>
                          <w:r w:rsidRPr="00FA54DF">
                            <w:rPr>
                              <w:color w:val="003A68"/>
                              <w:sz w:val="14"/>
                              <w:szCs w:val="14"/>
                            </w:rPr>
                            <w:t>Apdo. 10058-1000</w:t>
                          </w:r>
                        </w:p>
                        <w:p w14:paraId="1BEFC2A8" w14:textId="77777777" w:rsidR="00B65442" w:rsidRDefault="00B65442" w:rsidP="00B65442">
                          <w:pPr>
                            <w:rPr>
                              <w:color w:val="003A68"/>
                              <w:sz w:val="14"/>
                              <w:szCs w:val="14"/>
                            </w:rPr>
                          </w:pPr>
                          <w:r w:rsidRPr="00FA54DF">
                            <w:rPr>
                              <w:color w:val="003A68"/>
                              <w:sz w:val="14"/>
                              <w:szCs w:val="14"/>
                            </w:rPr>
                            <w:t>Av. 1 y Central, Calles 2 y 4</w:t>
                          </w:r>
                        </w:p>
                        <w:p w14:paraId="580B63A6"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3A10A"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40D4EB9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35DEFF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5CCC6B5" w14:textId="77777777" w:rsidR="00D2424F" w:rsidRDefault="00D2424F">
                    <w:pPr>
                      <w:rPr>
                        <w:color w:val="003A68"/>
                        <w:sz w:val="14"/>
                        <w:szCs w:val="14"/>
                      </w:rPr>
                    </w:pPr>
                    <w:r w:rsidRPr="00FA54DF">
                      <w:rPr>
                        <w:color w:val="003A68"/>
                        <w:sz w:val="14"/>
                        <w:szCs w:val="14"/>
                      </w:rPr>
                      <w:t>Apdo. 10058-1000</w:t>
                    </w:r>
                  </w:p>
                  <w:p w14:paraId="1BEFC2A8" w14:textId="77777777" w:rsidR="00B65442" w:rsidRDefault="00B65442" w:rsidP="00B65442">
                    <w:pPr>
                      <w:rPr>
                        <w:color w:val="003A68"/>
                        <w:sz w:val="14"/>
                        <w:szCs w:val="14"/>
                      </w:rPr>
                    </w:pPr>
                    <w:r w:rsidRPr="00FA54DF">
                      <w:rPr>
                        <w:color w:val="003A68"/>
                        <w:sz w:val="14"/>
                        <w:szCs w:val="14"/>
                      </w:rPr>
                      <w:t>Av. 1 y Central, Calles 2 y 4</w:t>
                    </w:r>
                  </w:p>
                  <w:p w14:paraId="580B63A6"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61AB0E02" wp14:editId="7A455091">
          <wp:simplePos x="0" y="0"/>
          <wp:positionH relativeFrom="column">
            <wp:posOffset>4553585</wp:posOffset>
          </wp:positionH>
          <wp:positionV relativeFrom="paragraph">
            <wp:posOffset>8687</wp:posOffset>
          </wp:positionV>
          <wp:extent cx="8890" cy="431165"/>
          <wp:effectExtent l="0" t="0" r="0" b="0"/>
          <wp:wrapNone/>
          <wp:docPr id="1916674339" name="Imagen 191667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30C4B"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280B7A21"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C9E7" w14:textId="77777777" w:rsidR="00826D84" w:rsidRDefault="00826D84" w:rsidP="00D43D57">
      <w:r>
        <w:separator/>
      </w:r>
    </w:p>
  </w:footnote>
  <w:footnote w:type="continuationSeparator" w:id="0">
    <w:p w14:paraId="1F730E58" w14:textId="77777777" w:rsidR="00826D84" w:rsidRDefault="00826D84" w:rsidP="00D43D57">
      <w:r>
        <w:continuationSeparator/>
      </w:r>
    </w:p>
  </w:footnote>
  <w:footnote w:id="1">
    <w:p w14:paraId="33BB2930" w14:textId="77777777" w:rsidR="00826D84" w:rsidRPr="00AF6CFC" w:rsidRDefault="00826D84" w:rsidP="00826D84">
      <w:pPr>
        <w:pStyle w:val="Textonotapie"/>
      </w:pPr>
      <w:r>
        <w:rPr>
          <w:rStyle w:val="Refdenotaalpie"/>
        </w:rPr>
        <w:footnoteRef/>
      </w:r>
      <w:r>
        <w:t xml:space="preserve"> </w:t>
      </w:r>
      <w:r w:rsidRPr="00AF6CFC">
        <w:rPr>
          <w:rFonts w:ascii="Arial" w:hAnsi="Arial" w:cs="Arial"/>
          <w:sz w:val="16"/>
          <w:szCs w:val="16"/>
        </w:rPr>
        <w:t>La Auditoría Interna evaluó el cumplimiento de las disposiciones aplicables a las operaciones diferidas a plazo aprobadas de noviembre del 2020 a febrero del 2021 y comunicó los resultados en el informe AI-0094-2021 del 27 de mayo del 2021.</w:t>
      </w:r>
      <w:r>
        <w:t xml:space="preserve"> </w:t>
      </w:r>
    </w:p>
  </w:footnote>
  <w:footnote w:id="2">
    <w:p w14:paraId="2E27F5AC" w14:textId="77777777" w:rsidR="00826D84" w:rsidRPr="001D6405" w:rsidRDefault="00826D84" w:rsidP="00826D84">
      <w:pPr>
        <w:pStyle w:val="Textonotapie"/>
        <w:rPr>
          <w:rFonts w:ascii="Arial" w:hAnsi="Arial" w:cs="Arial"/>
          <w:sz w:val="16"/>
          <w:szCs w:val="16"/>
        </w:rPr>
      </w:pPr>
      <w:r w:rsidRPr="001D6405">
        <w:rPr>
          <w:rStyle w:val="Refdenotaalpie"/>
          <w:rFonts w:ascii="Arial" w:hAnsi="Arial" w:cs="Arial"/>
          <w:sz w:val="16"/>
          <w:szCs w:val="16"/>
        </w:rPr>
        <w:footnoteRef/>
      </w:r>
      <w:r w:rsidRPr="001D6405">
        <w:rPr>
          <w:rFonts w:ascii="Arial" w:hAnsi="Arial" w:cs="Arial"/>
          <w:sz w:val="16"/>
          <w:szCs w:val="16"/>
        </w:rPr>
        <w:t xml:space="preserve"> Aprobadas en la sesión 5955-2020, artículo 5, del 02-09-2020, con modificaciones parciales aprobadas en las sesiones: 5968-2020, artículo 4, del 05-11-2020; 5979-2021, artículo 9, del 04-01-2021 y 5986-2021, artículo 9, del 24-02-2021.</w:t>
      </w:r>
    </w:p>
  </w:footnote>
  <w:footnote w:id="3">
    <w:p w14:paraId="4E089C27" w14:textId="77777777" w:rsidR="00826D84" w:rsidRPr="001D6405" w:rsidRDefault="00826D84" w:rsidP="00826D84">
      <w:pPr>
        <w:pStyle w:val="Textonotapie"/>
        <w:rPr>
          <w:rFonts w:ascii="Arial" w:hAnsi="Arial" w:cs="Arial"/>
          <w:sz w:val="16"/>
          <w:szCs w:val="16"/>
        </w:rPr>
      </w:pPr>
      <w:r w:rsidRPr="001D6405">
        <w:rPr>
          <w:rStyle w:val="Refdenotaalpie"/>
          <w:rFonts w:ascii="Arial" w:hAnsi="Arial" w:cs="Arial"/>
          <w:sz w:val="16"/>
          <w:szCs w:val="16"/>
        </w:rPr>
        <w:footnoteRef/>
      </w:r>
      <w:r w:rsidRPr="001D6405">
        <w:rPr>
          <w:rFonts w:ascii="Arial" w:hAnsi="Arial" w:cs="Arial"/>
          <w:sz w:val="16"/>
          <w:szCs w:val="16"/>
        </w:rPr>
        <w:t xml:space="preserve"> </w:t>
      </w:r>
      <w:r>
        <w:rPr>
          <w:rFonts w:ascii="Arial" w:hAnsi="Arial" w:cs="Arial"/>
          <w:sz w:val="16"/>
          <w:szCs w:val="16"/>
        </w:rPr>
        <w:t>D</w:t>
      </w:r>
      <w:r w:rsidRPr="001D6405">
        <w:rPr>
          <w:rFonts w:ascii="Arial" w:hAnsi="Arial" w:cs="Arial"/>
          <w:sz w:val="16"/>
          <w:szCs w:val="16"/>
        </w:rPr>
        <w:t xml:space="preserve">esembolso efectivo por ¢826.251 millones, con redención anticipada </w:t>
      </w:r>
      <w:r>
        <w:rPr>
          <w:rFonts w:ascii="Arial" w:hAnsi="Arial" w:cs="Arial"/>
          <w:sz w:val="16"/>
          <w:szCs w:val="16"/>
        </w:rPr>
        <w:t>de entidad</w:t>
      </w:r>
      <w:r w:rsidRPr="001D6405">
        <w:rPr>
          <w:rFonts w:ascii="Arial" w:hAnsi="Arial" w:cs="Arial"/>
          <w:sz w:val="16"/>
          <w:szCs w:val="16"/>
        </w:rPr>
        <w:t xml:space="preserve"> por ¢104 millones.</w:t>
      </w:r>
    </w:p>
  </w:footnote>
  <w:footnote w:id="4">
    <w:p w14:paraId="3B5B67C0" w14:textId="77777777" w:rsidR="00826D84" w:rsidRPr="001D6405" w:rsidRDefault="00826D84" w:rsidP="00826D84">
      <w:pPr>
        <w:pStyle w:val="Textonotapie"/>
        <w:rPr>
          <w:rFonts w:ascii="Arial" w:hAnsi="Arial" w:cs="Arial"/>
        </w:rPr>
      </w:pPr>
      <w:r w:rsidRPr="001D6405">
        <w:rPr>
          <w:rStyle w:val="Refdenotaalpie"/>
          <w:rFonts w:ascii="Arial" w:hAnsi="Arial" w:cs="Arial"/>
          <w:sz w:val="16"/>
          <w:szCs w:val="16"/>
        </w:rPr>
        <w:footnoteRef/>
      </w:r>
      <w:r w:rsidRPr="001D6405">
        <w:rPr>
          <w:rFonts w:ascii="Arial" w:hAnsi="Arial" w:cs="Arial"/>
          <w:sz w:val="16"/>
          <w:szCs w:val="16"/>
        </w:rPr>
        <w:t xml:space="preserve"> La diferencia entre el desembolso efectivo y el monto aprobado (¢16.636 millones) se debió a que: i) </w:t>
      </w:r>
      <w:r>
        <w:rPr>
          <w:rFonts w:ascii="Arial" w:hAnsi="Arial" w:cs="Arial"/>
          <w:sz w:val="16"/>
          <w:szCs w:val="16"/>
        </w:rPr>
        <w:t>Dos entidades</w:t>
      </w:r>
      <w:r w:rsidRPr="001D6405">
        <w:rPr>
          <w:rFonts w:ascii="Arial" w:hAnsi="Arial" w:cs="Arial"/>
          <w:sz w:val="16"/>
          <w:szCs w:val="16"/>
        </w:rPr>
        <w:t xml:space="preserve"> desistieron de participar de la ODP, a pesar de que ya contaban con un </w:t>
      </w:r>
      <w:r>
        <w:rPr>
          <w:rFonts w:ascii="Arial" w:hAnsi="Arial" w:cs="Arial"/>
          <w:sz w:val="16"/>
          <w:szCs w:val="16"/>
        </w:rPr>
        <w:t>p</w:t>
      </w:r>
      <w:r w:rsidRPr="001D6405">
        <w:rPr>
          <w:rFonts w:ascii="Arial" w:hAnsi="Arial" w:cs="Arial"/>
          <w:sz w:val="16"/>
          <w:szCs w:val="16"/>
        </w:rPr>
        <w:t>lan aprobado</w:t>
      </w:r>
      <w:r>
        <w:rPr>
          <w:rFonts w:ascii="Arial" w:hAnsi="Arial" w:cs="Arial"/>
          <w:sz w:val="16"/>
          <w:szCs w:val="16"/>
        </w:rPr>
        <w:t>.</w:t>
      </w:r>
      <w:r w:rsidRPr="001D6405">
        <w:rPr>
          <w:rFonts w:ascii="Arial" w:hAnsi="Arial" w:cs="Arial"/>
          <w:sz w:val="16"/>
          <w:szCs w:val="16"/>
        </w:rPr>
        <w:t xml:space="preserve"> </w:t>
      </w:r>
      <w:r>
        <w:rPr>
          <w:rFonts w:ascii="Arial" w:hAnsi="Arial" w:cs="Arial"/>
          <w:sz w:val="16"/>
          <w:szCs w:val="16"/>
        </w:rPr>
        <w:t>i</w:t>
      </w:r>
      <w:r w:rsidRPr="001D6405">
        <w:rPr>
          <w:rFonts w:ascii="Arial" w:hAnsi="Arial" w:cs="Arial"/>
          <w:sz w:val="16"/>
          <w:szCs w:val="16"/>
        </w:rPr>
        <w:t xml:space="preserve">i) </w:t>
      </w:r>
      <w:r>
        <w:rPr>
          <w:rFonts w:ascii="Arial" w:hAnsi="Arial" w:cs="Arial"/>
          <w:sz w:val="16"/>
          <w:szCs w:val="16"/>
        </w:rPr>
        <w:t>Una entidad</w:t>
      </w:r>
      <w:r w:rsidRPr="001D6405">
        <w:rPr>
          <w:rFonts w:ascii="Arial" w:hAnsi="Arial" w:cs="Arial"/>
          <w:sz w:val="16"/>
          <w:szCs w:val="16"/>
        </w:rPr>
        <w:t xml:space="preserve"> solicitó que no se le diera el último desembolso programado y adicionalmente, realizó una redención anticipada</w:t>
      </w:r>
      <w:r>
        <w:rPr>
          <w:rFonts w:ascii="Arial" w:hAnsi="Arial" w:cs="Arial"/>
          <w:sz w:val="16"/>
          <w:szCs w:val="16"/>
        </w:rPr>
        <w:t>.</w:t>
      </w:r>
      <w:r w:rsidRPr="001D6405">
        <w:rPr>
          <w:rFonts w:ascii="Arial" w:hAnsi="Arial" w:cs="Arial"/>
          <w:sz w:val="16"/>
          <w:szCs w:val="16"/>
        </w:rPr>
        <w:t xml:space="preserve"> </w:t>
      </w:r>
      <w:r>
        <w:rPr>
          <w:rFonts w:ascii="Arial" w:hAnsi="Arial" w:cs="Arial"/>
          <w:sz w:val="16"/>
          <w:szCs w:val="16"/>
        </w:rPr>
        <w:t>iii</w:t>
      </w:r>
      <w:r w:rsidRPr="001D6405">
        <w:rPr>
          <w:rFonts w:ascii="Arial" w:hAnsi="Arial" w:cs="Arial"/>
          <w:sz w:val="16"/>
          <w:szCs w:val="16"/>
        </w:rPr>
        <w:t>) Algun</w:t>
      </w:r>
      <w:r>
        <w:rPr>
          <w:rFonts w:ascii="Arial" w:hAnsi="Arial" w:cs="Arial"/>
          <w:sz w:val="16"/>
          <w:szCs w:val="16"/>
        </w:rPr>
        <w:t>a</w:t>
      </w:r>
      <w:r w:rsidRPr="001D6405">
        <w:rPr>
          <w:rFonts w:ascii="Arial" w:hAnsi="Arial" w:cs="Arial"/>
          <w:sz w:val="16"/>
          <w:szCs w:val="16"/>
        </w:rPr>
        <w:t xml:space="preserve">s </w:t>
      </w:r>
      <w:r>
        <w:rPr>
          <w:rFonts w:ascii="Arial" w:hAnsi="Arial" w:cs="Arial"/>
          <w:sz w:val="16"/>
          <w:szCs w:val="16"/>
        </w:rPr>
        <w:t>entidades</w:t>
      </w:r>
      <w:r w:rsidRPr="001D6405">
        <w:rPr>
          <w:rFonts w:ascii="Arial" w:hAnsi="Arial" w:cs="Arial"/>
          <w:sz w:val="16"/>
          <w:szCs w:val="16"/>
        </w:rPr>
        <w:t xml:space="preserve"> demandaron un monto inferior al solicitado inicialmente en la segunda ronda de distribución de recursos.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DC40"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268C4203" wp14:editId="6DCD2D4D">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952424964" name="Imagen 195242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734FD65C" wp14:editId="58DF7D22">
          <wp:simplePos x="0" y="0"/>
          <wp:positionH relativeFrom="column">
            <wp:posOffset>4470400</wp:posOffset>
          </wp:positionH>
          <wp:positionV relativeFrom="paragraph">
            <wp:posOffset>298450</wp:posOffset>
          </wp:positionV>
          <wp:extent cx="941070" cy="424815"/>
          <wp:effectExtent l="0" t="0" r="0" b="0"/>
          <wp:wrapNone/>
          <wp:docPr id="120094696" name="Imagen 12009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2909"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095A449A" wp14:editId="6706742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63791301" name="Imagen 26379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7DA2DC73" wp14:editId="6BF01146">
          <wp:simplePos x="0" y="0"/>
          <wp:positionH relativeFrom="column">
            <wp:posOffset>4602480</wp:posOffset>
          </wp:positionH>
          <wp:positionV relativeFrom="paragraph">
            <wp:posOffset>187960</wp:posOffset>
          </wp:positionV>
          <wp:extent cx="857250" cy="424815"/>
          <wp:effectExtent l="0" t="0" r="6350" b="0"/>
          <wp:wrapNone/>
          <wp:docPr id="389751660" name="Imagen 38975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C320023"/>
    <w:multiLevelType w:val="hybridMultilevel"/>
    <w:tmpl w:val="ECBED1E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249854462">
    <w:abstractNumId w:val="10"/>
  </w:num>
  <w:num w:numId="2" w16cid:durableId="1145388292">
    <w:abstractNumId w:val="12"/>
  </w:num>
  <w:num w:numId="3" w16cid:durableId="646712842">
    <w:abstractNumId w:val="9"/>
  </w:num>
  <w:num w:numId="4" w16cid:durableId="1022051428">
    <w:abstractNumId w:val="7"/>
  </w:num>
  <w:num w:numId="5" w16cid:durableId="1009601679">
    <w:abstractNumId w:val="6"/>
  </w:num>
  <w:num w:numId="6" w16cid:durableId="1550917496">
    <w:abstractNumId w:val="5"/>
  </w:num>
  <w:num w:numId="7" w16cid:durableId="847788860">
    <w:abstractNumId w:val="4"/>
  </w:num>
  <w:num w:numId="8" w16cid:durableId="1038622894">
    <w:abstractNumId w:val="8"/>
  </w:num>
  <w:num w:numId="9" w16cid:durableId="1161042315">
    <w:abstractNumId w:val="3"/>
  </w:num>
  <w:num w:numId="10" w16cid:durableId="1802966204">
    <w:abstractNumId w:val="2"/>
  </w:num>
  <w:num w:numId="11" w16cid:durableId="1828012045">
    <w:abstractNumId w:val="1"/>
  </w:num>
  <w:num w:numId="12" w16cid:durableId="641469916">
    <w:abstractNumId w:val="0"/>
  </w:num>
  <w:num w:numId="13" w16cid:durableId="2145535272">
    <w:abstractNumId w:val="11"/>
  </w:num>
  <w:num w:numId="14" w16cid:durableId="1931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84"/>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C3F32"/>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26D84"/>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C5BA9"/>
    <w:rsid w:val="00AD0649"/>
    <w:rsid w:val="00AE3929"/>
    <w:rsid w:val="00AF45B7"/>
    <w:rsid w:val="00B079EC"/>
    <w:rsid w:val="00B1318C"/>
    <w:rsid w:val="00B2005E"/>
    <w:rsid w:val="00B464F6"/>
    <w:rsid w:val="00B65442"/>
    <w:rsid w:val="00B77CF0"/>
    <w:rsid w:val="00B80284"/>
    <w:rsid w:val="00B84E87"/>
    <w:rsid w:val="00B93539"/>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057F1"/>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2E5B8"/>
  <w15:docId w15:val="{F7BA10D1-83A3-4344-9A92-E3D30A78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Car1,fn,texto de nota al pie,Texto nota pie Car Car Car Car Car Car Car Car,Texto nota pie Car Car Car,Footnote Text Char Char Char Char Char Char,Texto nota pie Car Car Car Car Car"/>
    <w:basedOn w:val="Normal"/>
    <w:link w:val="TextonotapieCar"/>
    <w:uiPriority w:val="99"/>
    <w:unhideWhenUsed/>
    <w:qFormat/>
    <w:locked/>
    <w:rsid w:val="00826D84"/>
    <w:rPr>
      <w:sz w:val="20"/>
      <w:szCs w:val="20"/>
    </w:rPr>
  </w:style>
  <w:style w:type="character" w:customStyle="1" w:styleId="TextonotapieCar">
    <w:name w:val="Texto nota pie Car"/>
    <w:aliases w:val=" Car Car Car,Car Car Car, Car Char Car,Car Car1,Car Char Car, Car Car1,Car1 Car,fn Car,texto de nota al pie Car,Texto nota pie Car Car Car Car Car Car Car Car Car,Texto nota pie Car Car Car Car,Texto nota pie Car Car Car Car Car Car"/>
    <w:basedOn w:val="Fuentedeprrafopredeter"/>
    <w:link w:val="Textonotapie"/>
    <w:uiPriority w:val="99"/>
    <w:qFormat/>
    <w:rsid w:val="00826D84"/>
    <w:rPr>
      <w:rFonts w:eastAsia="Times New Roman"/>
      <w:lang w:val="es-ES" w:eastAsia="en-US"/>
    </w:rPr>
  </w:style>
  <w:style w:type="character" w:styleId="Refdenotaalpie">
    <w:name w:val="footnote reference"/>
    <w:aliases w:val="FC,ftref,referencia nota al pie,Ref,de nota al pie,16 Point,Superscript 6 Point,BVI fnr,Footnote Reference Number,Footnote Reference_LVL6,Footnote Reference_LVL61,Footnote Reference_LVL62,Footnote Reference_LVL63,fr,Char Char1,titulo"/>
    <w:basedOn w:val="Fuentedeprrafopredeter"/>
    <w:uiPriority w:val="99"/>
    <w:unhideWhenUsed/>
    <w:qFormat/>
    <w:locked/>
    <w:rsid w:val="00826D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E6213F4220468C98C9294B04CC6FBA"/>
        <w:category>
          <w:name w:val="General"/>
          <w:gallery w:val="placeholder"/>
        </w:category>
        <w:types>
          <w:type w:val="bbPlcHdr"/>
        </w:types>
        <w:behaviors>
          <w:behavior w:val="content"/>
        </w:behaviors>
        <w:guid w:val="{1DCA4F5B-C5F2-466C-848C-F5B979EF014D}"/>
      </w:docPartPr>
      <w:docPartBody>
        <w:p w:rsidR="00783596" w:rsidRDefault="00783596">
          <w:pPr>
            <w:pStyle w:val="85E6213F4220468C98C9294B04CC6FBA"/>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96"/>
    <w:rsid w:val="005C3F32"/>
    <w:rsid w:val="00783596"/>
    <w:rsid w:val="00B9353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5E6213F4220468C98C9294B04CC6FBA">
    <w:name w:val="85E6213F4220468C98C9294B04CC6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A3zIkKPfv3SIlsamUzRaF4yPm3anl1pujd0eotBO13E=</DigestValue>
    </Reference>
    <Reference Type="http://uri.etsi.org/01903#SignedProperties" URI="#idSignedProperties">
      <Transforms>
        <Transform Algorithm="http://www.w3.org/TR/2001/REC-xml-c14n-20010315"/>
      </Transforms>
      <DigestMethod Algorithm="http://www.w3.org/2001/04/xmlenc#sha256"/>
      <DigestValue>4VU7mQQTnrHbxnNkuqgHt2Hk6GVQqRfO3W5xmVw/pic=</DigestValue>
    </Reference>
  </SignedInfo>
  <SignatureValue>k7b/2Qa0XQvGtUD9+JDlHquIpq3gAbITQM/Kzj8zGpS+WitnoCLaAYf+lps9//UWr90gmd5dGrJPHtKCou6dpIgIpNALMFtaVilQEXe/AEW3l9d+lZJddeQ1zRZjTcKwgWpJrPpXn9pQL56Efi8bUvunoAvwPrNf1lvIPrPVn7D+26U3FWQJJKm8GkDJVfq+RmWIblttBrNasTWADHk+4DrliVjc3EVpIPfnUEn3J9uJCWiluA1sv3DsyAch91Khg09quTy30dPQDv/ZnZYGU3qZfwJvHz2A6/fzYxu8WpXvlbehJk07xEZ3CiolzZrlcJ8hG3guJyzL6GFwoMeFl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USCGEZidu4Pus0zsdkHFh1E3CUYlnnAKv2gIwofs4Io=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document.xml?ContentType=application/vnd.openxmlformats-officedocument.wordprocessingml.document.main+xml">
        <DigestMethod Algorithm="http://www.w3.org/2001/04/xmlenc#sha256"/>
        <DigestValue>WaivjREL7mbISeNd4CVZCZ/vGD5QvY93Ll/Jjspu6hI=</DigestValue>
      </Reference>
      <Reference URI="/word/numbering.xml?ContentType=application/vnd.openxmlformats-officedocument.wordprocessingml.numbering+xml">
        <DigestMethod Algorithm="http://www.w3.org/2001/04/xmlenc#sha256"/>
        <DigestValue>THIume+3fZnO8mrs6hCBQzRcPj0qSWsmZ6kWVrISWUM=</DigestValue>
      </Reference>
      <Reference URI="/word/endnotes.xml?ContentType=application/vnd.openxmlformats-officedocument.wordprocessingml.endnotes+xml">
        <DigestMethod Algorithm="http://www.w3.org/2001/04/xmlenc#sha256"/>
        <DigestValue>xbMHTwUyGW9faP4sQaaRstgoNPmieqzhoaVoIFAx3nk=</DigestValue>
      </Reference>
      <Reference URI="/word/header2.xml?ContentType=application/vnd.openxmlformats-officedocument.wordprocessingml.header+xml">
        <DigestMethod Algorithm="http://www.w3.org/2001/04/xmlenc#sha256"/>
        <DigestValue>f6lfoahLvagGf3TgaUxPXTuI+KjvlCLtJ9PdIniW/jM=</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glossary/document.xml?ContentType=application/vnd.openxmlformats-officedocument.wordprocessingml.document.glossary+xml">
        <DigestMethod Algorithm="http://www.w3.org/2001/04/xmlenc#sha256"/>
        <DigestValue>VTMKDgqc7JALWaYoRvk9EdPKkx7vpW4HiTBrdBzlC1M=</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LZvrNs8Q5plFti4DGsDtjG4iWV+5WvOH4lISLT5IMN4=</DigestValue>
      </Reference>
      <Reference URI="/word/glossary/styles.xml?ContentType=application/vnd.openxmlformats-officedocument.wordprocessingml.styles+xml">
        <DigestMethod Algorithm="http://www.w3.org/2001/04/xmlenc#sha256"/>
        <DigestValue>2zNsqUwyojxqqfkoyM/8BZKQPc0rq0MD6ZSzz4OZ6ME=</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footnotes.xml?ContentType=application/vnd.openxmlformats-officedocument.wordprocessingml.footnotes+xml">
        <DigestMethod Algorithm="http://www.w3.org/2001/04/xmlenc#sha256"/>
        <DigestValue>XVIp6kr2pC9B6K0D2f885XpLyV9GENLyl8JwMzUv6H4=</DigestValue>
      </Reference>
      <Reference URI="/word/footer2.xml?ContentType=application/vnd.openxmlformats-officedocument.wordprocessingml.footer+xml">
        <DigestMethod Algorithm="http://www.w3.org/2001/04/xmlenc#sha256"/>
        <DigestValue>sFvzJtSx5trzmDTLpIxZQvlRXJQ8evhSeGlEDuiXoi0=</DigestValue>
      </Reference>
      <Reference URI="/word/media/image4.emf?ContentType=image/x-emf">
        <DigestMethod Algorithm="http://www.w3.org/2001/04/xmlenc#sha256"/>
        <DigestValue>EQeoPcoPPD0NqMiDPGouQJEQEnlO/w+Td37NCcMaesM=</DigestValue>
      </Reference>
      <Reference URI="/word/footer1.xml?ContentType=application/vnd.openxmlformats-officedocument.wordprocessingml.footer+xml">
        <DigestMethod Algorithm="http://www.w3.org/2001/04/xmlenc#sha256"/>
        <DigestValue>b4epM4UC5PA4vHpH0hdDlq9lwzIX2sq8oYOX1ZbYMt0=</DigestValue>
      </Reference>
      <Reference URI="/word/fontTable.xml?ContentType=application/vnd.openxmlformats-officedocument.wordprocessingml.fontTable+xml">
        <DigestMethod Algorithm="http://www.w3.org/2001/04/xmlenc#sha256"/>
        <DigestValue>9LohzOh/qtj/e6K9MPwDZpkeepAcKI4l+4Ir0umf7sk=</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yHzCgvgmZ6DAUXk22PsauVUN0+elDwiAnzS3GW/T8+U=</DigestValue>
      </Reference>
      <Reference URI="/word/settings.xml?ContentType=application/vnd.openxmlformats-officedocument.wordprocessingml.settings+xml">
        <DigestMethod Algorithm="http://www.w3.org/2001/04/xmlenc#sha256"/>
        <DigestValue>6alN1pm8oEfiT/SQ0kMzSuAPvu41pld7VPMhLGidVDU=</DigestValue>
      </Reference>
      <Reference URI="/word/footer3.xml?ContentType=application/vnd.openxmlformats-officedocument.wordprocessingml.footer+xml">
        <DigestMethod Algorithm="http://www.w3.org/2001/04/xmlenc#sha256"/>
        <DigestValue>MsbkUAkvdaZ/IRqH4xa0Ao9VdJ8SlP0k07yc20hIhOg=</DigestValue>
      </Reference>
      <Reference URI="/word/styles.xml?ContentType=application/vnd.openxmlformats-officedocument.wordprocessingml.styles+xml">
        <DigestMethod Algorithm="http://www.w3.org/2001/04/xmlenc#sha256"/>
        <DigestValue>dfCu/lqEfHdRasvrOF0Z9Rz3PqTXH+EwOraiS8AGqf4=</DigestValue>
      </Reference>
      <Reference URI="/word/media/image1.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Manifest>
    <SignatureProperties>
      <SignatureProperty Id="idSignatureTime" Target="#idPackageSignature">
        <mdssi:SignatureTime xmlns:mdssi="http://schemas.openxmlformats.org/package/2006/digital-signature">
          <mdssi:Format>YYYY-MM-DDThh:mm:ssTZD</mdssi:Format>
          <mdssi:Value>2026-02-12T18:07:45Z</mdssi:Value>
        </mdssi:SignatureTime>
      </SignatureProperty>
    </SignatureProperties>
  </Object>
  <Object>
    <xd:QualifyingProperties xmlns:xd="http://uri.etsi.org/01903/v1.3.2#" Target="#idPackageSignature">
      <xd:SignedProperties Id="idSignedProperties">
        <xd:SignedSignatureProperties>
          <xd:SigningTime>2026-02-12T18:07:45Z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iso/oKJVXl9D0sOf1Zp0aalf8CiU/BKgwfxXY3ZtH70CBCq5/g4YDzIwMjYwMjEyMTgwNzU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WzVLlHTX/VhcaRQZcrA1TPmRaGA=</xd:ByKey>
                  </xd:ResponderID>
                  <xd:ProducedAt>2026-02-12T18:07:57Z</xd:ProducedAt>
                </xd:OCSPIdentifier>
                <xd:DigestAlgAndValue>
                  <DigestMethod Algorithm="http://www.w3.org/2001/04/xmlenc#sha256"/>
                  <DigestValue>Yqfe942KgeSOnd1I02eNaDflbVeY+BuYYc0zYeoE0aY=</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BKBkBGIwYAIBAQYIYIE8AQEBAQUwMTANBglghkgBZQMEAgEFAAQgLVkXjjlpcOtkDaYJkg1VApoH
JdlASphJKpJv43KfEHACBCq5/hEYDzIwMjYwMjEyMTgwNzU3WjAEgAIB9AEB/6CCB8Iwgge+MIIF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CSqGSIb3DQEJAzENBgsqhkiG9w0BCRABBDAcBgkqhkiG9w0BCQUxDxcNMjYwMjEyMTgwNzU3WjAv
BgkqhkiG9w0BCQQxIgQgs+7wT2IrQwSI/ZnNeM8M8S5dVadS7EteMKPhhs7qq3IwNwYLKoZIhvcN
AQkQAi8xKDAmMCQwIgQgrKszXYj6Q2nTJpWV/NZakemXG2IrBO983WoSsYOW808wDQYJKoZIhvcN
AQEBBQAEggEARUosh5H3Z7AYTVyXT1OfiNPX/iuIfNL26CKH47rwd/cfMgFioGZNr9Syr6DTK3Hn
oMajoqTfMDJoXdbxHgyfAtKxxFos4TEonPWckOeCrbX3z8KSDRh+ULfxWc9n59XRgLEJNmYSn3lU
AcNMGTNmbaVkDAj17SQ3SFJRmC+NOcE4PcZ+8Geze2aMIZ9AJvtQ6Qw6sBOOWjTP0qjOTuJBmFrI
DoCyj/vIza3sNO1GEw0h3+KXIIqN5PKkAyA644qbu5TK6V/4D8XoaU5Fx61IHrGsqMr28xnxX6Pb
NjGU2ME1jdrrXrIhcgWY2Z24pRGA0CobZo2M8/3gckRlT/US2g==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AE48-B96B-466F-B2FE-0E70FB8B6888}"/>
</file>

<file path=customXml/itemProps2.xml><?xml version="1.0" encoding="utf-8"?>
<ds:datastoreItem xmlns:ds="http://schemas.openxmlformats.org/officeDocument/2006/customXml" ds:itemID="{65A0E779-86BA-43A6-862B-A515A0769FA5}"/>
</file>

<file path=customXml/itemProps3.xml><?xml version="1.0" encoding="utf-8"?>
<ds:datastoreItem xmlns:ds="http://schemas.openxmlformats.org/officeDocument/2006/customXml" ds:itemID="{B6487926-C67E-4095-9054-541D05D039A3}"/>
</file>

<file path=customXml/itemProps4.xml><?xml version="1.0" encoding="utf-8"?>
<ds:datastoreItem xmlns:ds="http://schemas.openxmlformats.org/officeDocument/2006/customXml" ds:itemID="{283BF82E-1A70-4392-8CF2-7DEAFF1953AE}">
  <ds:schemaRefs>
    <ds:schemaRef ds:uri="http://purl.org/dc/terms/"/>
    <ds:schemaRef ds:uri="b875e23b-67d9-4b2e-bdec-edacbf90b326"/>
    <ds:schemaRef ds:uri="http://schemas.microsoft.com/office/infopath/2007/PartnerControls"/>
    <ds:schemaRef ds:uri="http://schemas.openxmlformats.org/package/2006/metadata/core-properties"/>
    <ds:schemaRef ds:uri="http://schemas.microsoft.com/office/2006/documentManagement/types"/>
    <ds:schemaRef ds:uri="62db5286-48a0-4e17-a672-7c89f7b8ca75"/>
    <ds:schemaRef ds:uri="http://www.w3.org/XML/1998/namespace"/>
    <ds:schemaRef ds:uri="http://purl.org/dc/dcmitype/"/>
    <ds:schemaRef ds:uri="http://schemas.microsoft.com/sharepoint/v3"/>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6.xml><?xml version="1.0" encoding="utf-8"?>
<ds:datastoreItem xmlns:ds="http://schemas.openxmlformats.org/officeDocument/2006/customXml" ds:itemID="{BCC3AB96-7E7F-4079-9BF9-18821D9D8EAF}">
  <ds:schemaRefs>
    <ds:schemaRef ds:uri="office.server.policy"/>
  </ds:schemaRefs>
</ds:datastoreItem>
</file>

<file path=customXml/itemProps7.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plantilla-DAI</Template>
  <TotalTime>23</TotalTime>
  <Pages>4</Pages>
  <Words>1309</Words>
  <Characters>7386</Characters>
  <Application>Microsoft Office Word</Application>
  <DocSecurity>0</DocSecurity>
  <Lines>150</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AI-0046-2026</dc:title>
  <dc:subject/>
  <dc:creator>BERROCAL MEZA MELISSA</dc:creator>
  <cp:keywords/>
  <dc:description/>
  <cp:lastModifiedBy>VARGAS GUERRERO JOSE JOAQUIN</cp:lastModifiedBy>
  <cp:revision>2</cp:revision>
  <cp:lastPrinted>2011-05-05T20:16:00Z</cp:lastPrinted>
  <dcterms:created xsi:type="dcterms:W3CDTF">2026-02-12T16:38:00Z</dcterms:created>
  <dcterms:modified xsi:type="dcterms:W3CDTF">2026-02-12T18:06:00Z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Gerencia|7f4773cf-2cb9-48b6-88d2-9e4750a72616;#89;#DEC - División Económica|88d34465-63cf-4747-b2dc-a00bbbd7edf4;#88;#DGAP - División Gestión Activos y Pasivos|e5e58ded-9fa6-4fc5-8d69-304036a9a722;#1026;#DSC - División Servicios Compartidos|39bf63db-793f-4ef3-91b9-d7ea899416c1;#1022;#Departamento Finanzas y Contabilidad (FCO)|2f0eb1a6-5465-4d4b-abbe-c762d3feb23e</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670eabd0,32ddc5d6,513b5c57</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2026-02-12T16:48:13Z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a081166b-1937-4904-bd25-d3baa4e3b1b6</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3598ac08-66e4-4258-9916-e672c2905e74,8;1afe6994-8faf-447a-9c55-27a860d20fdf,12;cf7072bc-9575-4d0b-b529-251f6b43b02b,13;cf7072bc-9575-4d0b-b529-251f6b43b02b,13;</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02/28/2026 23:48:35</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