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23E4" w:rsidR="003554C5" w:rsidP="00E123E4" w:rsidRDefault="00E123E4" w14:paraId="7F6F2462" w14:textId="13513C85">
      <w:pPr>
        <w:rPr>
          <w:rFonts w:ascii="Arial" w:hAnsi="Arial" w:cs="Arial"/>
          <w:sz w:val="24"/>
        </w:rPr>
      </w:pPr>
      <w:r w:rsidRPr="00E123E4">
        <w:rPr>
          <w:rFonts w:ascii="Arial" w:hAnsi="Arial" w:cs="Arial"/>
          <w:sz w:val="24"/>
        </w:rPr>
        <w:t>16 de enero del 2026</w:t>
      </w:r>
    </w:p>
    <w:sdt>
      <w:sdtPr>
        <w:alias w:val="Consecutivo"/>
        <w:tag w:val="Consecutivo"/>
        <w:id w:val="867724263"/>
        <w:placeholder>
          <w:docPart w:val="9479C8E8D19B4B68B6DD0F45674A2EC0"/>
        </w:placeholder>
        <w:text/>
      </w:sdtPr>
      <w:sdtEndPr/>
      <w:sdtContent>
        <w:p w:rsidR="003554C5" w:rsidP="0085692C" w:rsidRDefault="00BF4EBD" w14:paraId="65D3B2A5" w14:textId="77777777">
          <w:r>
            <w:rPr>
              <w:rStyle w:val="Textodelmarcadordeposicin"/>
              <w:rFonts w:eastAsia="Calibri"/>
            </w:rPr>
            <w:t>AI-0019-2026</w:t>
          </w:r>
        </w:p>
      </w:sdtContent>
    </w:sdt>
    <w:p w:rsidRPr="00F835F3" w:rsidR="00BF4EBD" w:rsidP="0085692C" w:rsidRDefault="00BF4EBD" w14:paraId="05794547" w14:textId="77777777"/>
    <w:p w:rsidRPr="00E123E4" w:rsidR="00E123E4" w:rsidP="00E123E4" w:rsidRDefault="00E123E4" w14:paraId="740A374C" w14:textId="77777777">
      <w:pPr>
        <w:rPr>
          <w:rFonts w:ascii="Arial" w:hAnsi="Arial" w:cs="Arial"/>
          <w:sz w:val="24"/>
        </w:rPr>
      </w:pPr>
      <w:r w:rsidRPr="00E123E4">
        <w:rPr>
          <w:rFonts w:ascii="Arial" w:hAnsi="Arial" w:cs="Arial"/>
          <w:sz w:val="24"/>
        </w:rPr>
        <w:t xml:space="preserve">Señor </w:t>
      </w:r>
    </w:p>
    <w:p w:rsidRPr="00E123E4" w:rsidR="00E123E4" w:rsidP="00E123E4" w:rsidRDefault="00E123E4" w14:paraId="46F84350" w14:textId="77777777">
      <w:pPr>
        <w:rPr>
          <w:rFonts w:ascii="Arial" w:hAnsi="Arial" w:cs="Arial"/>
          <w:sz w:val="24"/>
          <w:lang w:val="es-CR"/>
        </w:rPr>
      </w:pPr>
      <w:r w:rsidRPr="00E123E4">
        <w:rPr>
          <w:rFonts w:ascii="Arial" w:hAnsi="Arial" w:cs="Arial"/>
          <w:sz w:val="24"/>
          <w:lang w:val="es-CR"/>
        </w:rPr>
        <w:t>Pablo Villalobos González, Gerente</w:t>
      </w:r>
    </w:p>
    <w:p w:rsidRPr="00E123E4" w:rsidR="00E123E4" w:rsidP="00E123E4" w:rsidRDefault="00E123E4" w14:paraId="3D3B32B3" w14:textId="77777777">
      <w:pPr>
        <w:rPr>
          <w:rFonts w:ascii="Arial" w:hAnsi="Arial" w:cs="Arial"/>
          <w:b/>
          <w:color w:val="1C4063" w:themeColor="accent1" w:themeShade="80"/>
          <w:sz w:val="24"/>
          <w:lang w:val="es-CR"/>
        </w:rPr>
      </w:pPr>
      <w:r w:rsidRPr="00E123E4">
        <w:rPr>
          <w:rFonts w:ascii="Arial" w:hAnsi="Arial" w:cs="Arial"/>
          <w:b/>
          <w:color w:val="1C4063" w:themeColor="accent1" w:themeShade="80"/>
          <w:sz w:val="24"/>
          <w:lang w:val="es-CR"/>
        </w:rPr>
        <w:t>BANCO CENTRAL DE COSTA RICA</w:t>
      </w:r>
    </w:p>
    <w:p w:rsidRPr="00E123E4" w:rsidR="00E123E4" w:rsidP="00E123E4" w:rsidRDefault="00E123E4" w14:paraId="2314C051" w14:textId="77777777">
      <w:pPr>
        <w:rPr>
          <w:rFonts w:ascii="Arial" w:hAnsi="Arial" w:cs="Arial"/>
          <w:b/>
          <w:sz w:val="24"/>
          <w:lang w:val="es-CR"/>
        </w:rPr>
      </w:pPr>
    </w:p>
    <w:p w:rsidRPr="00E123E4" w:rsidR="00E123E4" w:rsidP="00E123E4" w:rsidRDefault="00E123E4" w14:paraId="6E229B3F" w14:textId="77777777">
      <w:pPr>
        <w:widowControl w:val="0"/>
        <w:autoSpaceDE w:val="0"/>
        <w:autoSpaceDN w:val="0"/>
        <w:rPr>
          <w:rFonts w:ascii="Arial" w:hAnsi="Arial" w:cs="Arial"/>
          <w:sz w:val="24"/>
          <w:lang w:val="es-CR"/>
        </w:rPr>
      </w:pPr>
    </w:p>
    <w:p w:rsidRPr="00E123E4" w:rsidR="00E123E4" w:rsidP="00E123E4" w:rsidRDefault="00E123E4" w14:paraId="40AAA617" w14:textId="77777777">
      <w:pPr>
        <w:ind w:right="50"/>
        <w:rPr>
          <w:rFonts w:ascii="Arial" w:hAnsi="Arial" w:eastAsia="Calibri" w:cs="Arial"/>
          <w:b/>
          <w:bCs/>
          <w:color w:val="000000"/>
          <w:sz w:val="24"/>
          <w:lang w:eastAsia="es-CR"/>
        </w:rPr>
      </w:pPr>
      <w:r w:rsidRPr="00E123E4">
        <w:rPr>
          <w:rFonts w:ascii="Arial" w:hAnsi="Arial" w:eastAsia="Calibri" w:cs="Arial"/>
          <w:b/>
          <w:bCs/>
          <w:color w:val="000000"/>
          <w:sz w:val="24"/>
          <w:lang w:eastAsia="es-CR"/>
        </w:rPr>
        <w:t>Ref. Informe de advertencia sobre reprogramación de recomendaciones del informe de auditoría AI-0162-2021</w:t>
      </w:r>
    </w:p>
    <w:p w:rsidRPr="00E123E4" w:rsidR="00E123E4" w:rsidP="00E123E4" w:rsidRDefault="00E123E4" w14:paraId="6DB290E7" w14:textId="77777777">
      <w:pPr>
        <w:ind w:right="50"/>
        <w:rPr>
          <w:rFonts w:ascii="Arial" w:hAnsi="Arial" w:eastAsia="Calibri" w:cs="Arial"/>
          <w:color w:val="000000"/>
          <w:sz w:val="24"/>
          <w:lang w:eastAsia="es-CR"/>
        </w:rPr>
      </w:pPr>
    </w:p>
    <w:p w:rsidRPr="00E123E4" w:rsidR="00E123E4" w:rsidP="00E123E4" w:rsidRDefault="00E123E4" w14:paraId="766DD1DF" w14:textId="77777777">
      <w:pPr>
        <w:rPr>
          <w:rFonts w:ascii="Arial" w:hAnsi="Arial" w:cs="Arial"/>
          <w:sz w:val="24"/>
          <w:lang w:val="es-CR"/>
        </w:rPr>
      </w:pPr>
      <w:r w:rsidRPr="00E123E4">
        <w:rPr>
          <w:rFonts w:ascii="Arial" w:hAnsi="Arial" w:cs="Arial"/>
          <w:sz w:val="24"/>
          <w:lang w:val="es-CR"/>
        </w:rPr>
        <w:t xml:space="preserve">Estimado señor: </w:t>
      </w:r>
    </w:p>
    <w:p w:rsidRPr="00E123E4" w:rsidR="00E123E4" w:rsidP="00E123E4" w:rsidRDefault="00E123E4" w14:paraId="6E193DD6" w14:textId="77777777">
      <w:pPr>
        <w:ind w:right="50"/>
        <w:rPr>
          <w:rFonts w:ascii="Arial" w:hAnsi="Arial" w:eastAsia="Calibri" w:cs="Arial"/>
          <w:color w:val="000000"/>
          <w:sz w:val="24"/>
          <w:lang w:eastAsia="es-CR"/>
        </w:rPr>
      </w:pPr>
    </w:p>
    <w:p w:rsidRPr="00E123E4" w:rsidR="00E123E4" w:rsidP="00E123E4" w:rsidRDefault="00E123E4" w14:paraId="59663540" w14:textId="77777777">
      <w:pPr>
        <w:ind w:right="50"/>
        <w:rPr>
          <w:rFonts w:ascii="Arial" w:hAnsi="Arial" w:cs="Arial"/>
          <w:sz w:val="24"/>
        </w:rPr>
      </w:pPr>
      <w:r w:rsidRPr="00E123E4">
        <w:rPr>
          <w:rFonts w:ascii="Arial" w:hAnsi="Arial" w:eastAsia="Calibri" w:cs="Arial"/>
          <w:color w:val="000000"/>
          <w:sz w:val="24"/>
          <w:lang w:eastAsia="es-CR"/>
        </w:rPr>
        <w:t>La Ley General de Control Interno No. 8292, artículo 22, inciso d), establece como parte de las competencias de las auditorías internas “(…) advertir a los órganos pasivos que fiscaliza sobre las posibles consecuencias de determinadas conductas o decisiones, cuando sean de su conocimiento”. Por lo anterior, se brinda este</w:t>
      </w:r>
      <w:r w:rsidRPr="00E123E4">
        <w:rPr>
          <w:rFonts w:ascii="Arial" w:hAnsi="Arial" w:cs="Arial"/>
          <w:sz w:val="24"/>
        </w:rPr>
        <w:t xml:space="preserve"> servicio preventivo sin perjuicio de las competencias de seguimiento y </w:t>
      </w:r>
      <w:r w:rsidRPr="00E123E4">
        <w:rPr>
          <w:rFonts w:ascii="Arial" w:hAnsi="Arial" w:eastAsia="Calibri" w:cs="Arial"/>
          <w:color w:val="000000"/>
          <w:sz w:val="24"/>
          <w:lang w:eastAsia="es-CR"/>
        </w:rPr>
        <w:t>atención</w:t>
      </w:r>
      <w:r w:rsidRPr="00E123E4">
        <w:rPr>
          <w:rFonts w:ascii="Arial" w:hAnsi="Arial" w:cs="Arial"/>
          <w:sz w:val="24"/>
        </w:rPr>
        <w:t xml:space="preserve"> posterior que le competen a esta Auditoría Interna, conforme a la </w:t>
      </w:r>
      <w:r w:rsidRPr="00E123E4">
        <w:rPr>
          <w:rFonts w:ascii="Arial" w:hAnsi="Arial" w:eastAsia="Calibri" w:cs="Arial"/>
          <w:color w:val="000000"/>
          <w:sz w:val="24"/>
          <w:lang w:eastAsia="es-CR"/>
        </w:rPr>
        <w:t>Ley General de Control Interno</w:t>
      </w:r>
      <w:r w:rsidRPr="00E123E4">
        <w:rPr>
          <w:rFonts w:ascii="Arial" w:hAnsi="Arial" w:cs="Arial"/>
          <w:sz w:val="24"/>
        </w:rPr>
        <w:t xml:space="preserve">. </w:t>
      </w:r>
    </w:p>
    <w:p w:rsidRPr="00E123E4" w:rsidR="00E123E4" w:rsidP="00E123E4" w:rsidRDefault="00E123E4" w14:paraId="4115B17D" w14:textId="77777777">
      <w:pPr>
        <w:ind w:right="50"/>
        <w:rPr>
          <w:rFonts w:ascii="Arial" w:hAnsi="Arial" w:cs="Arial"/>
          <w:sz w:val="24"/>
        </w:rPr>
      </w:pPr>
    </w:p>
    <w:p w:rsidRPr="00E123E4" w:rsidR="00E123E4" w:rsidP="00E123E4" w:rsidRDefault="00E123E4" w14:paraId="7846EF0F" w14:textId="77777777">
      <w:pPr>
        <w:numPr>
          <w:ilvl w:val="0"/>
          <w:numId w:val="13"/>
        </w:numPr>
        <w:ind w:right="50"/>
        <w:contextualSpacing/>
        <w:rPr>
          <w:rFonts w:ascii="Arial" w:hAnsi="Arial" w:cs="Arial"/>
          <w:sz w:val="24"/>
        </w:rPr>
      </w:pPr>
      <w:r w:rsidRPr="00E123E4">
        <w:rPr>
          <w:rFonts w:ascii="Arial" w:hAnsi="Arial" w:eastAsia="Calibri" w:cs="Arial"/>
          <w:b/>
          <w:bCs/>
          <w:color w:val="000000"/>
          <w:sz w:val="24"/>
          <w:lang w:eastAsia="es-CR"/>
        </w:rPr>
        <w:t>Antecedentes</w:t>
      </w:r>
    </w:p>
    <w:p w:rsidRPr="00E123E4" w:rsidR="00E123E4" w:rsidP="00E123E4" w:rsidRDefault="00E123E4" w14:paraId="544E0CCE" w14:textId="77777777">
      <w:pPr>
        <w:ind w:right="50"/>
        <w:rPr>
          <w:rFonts w:ascii="Arial" w:hAnsi="Arial" w:cs="Arial"/>
          <w:iCs/>
          <w:sz w:val="24"/>
        </w:rPr>
      </w:pPr>
    </w:p>
    <w:p w:rsidRPr="00E123E4" w:rsidR="00E123E4" w:rsidP="00E123E4" w:rsidRDefault="00E123E4" w14:paraId="514E2C80" w14:textId="77777777">
      <w:pPr>
        <w:ind w:right="50"/>
        <w:rPr>
          <w:rFonts w:ascii="Arial" w:hAnsi="Arial" w:cs="Arial"/>
          <w:sz w:val="24"/>
          <w:lang w:val="es-CR"/>
        </w:rPr>
      </w:pPr>
      <w:r w:rsidRPr="00E123E4">
        <w:rPr>
          <w:rFonts w:ascii="Arial" w:hAnsi="Arial" w:cs="Arial"/>
          <w:sz w:val="24"/>
        </w:rPr>
        <w:t>Según lo dispuesto en las Normas para el Ejercicio de la Auditoría Interna en el Sector Público, emitidas por la Contraloría General de la República, la Auditoría Interna debe realizar un seguimiento de las recomendaciones para asegurarse que las acciones establecidas por las instancias competentes se hayan implementado eficazmente y dentro de los plazos definidos</w:t>
      </w:r>
      <w:r w:rsidRPr="00E123E4">
        <w:rPr>
          <w:rFonts w:ascii="Arial" w:hAnsi="Arial" w:cs="Arial"/>
          <w:sz w:val="24"/>
          <w:vertAlign w:val="superscript"/>
        </w:rPr>
        <w:footnoteReference w:id="1"/>
      </w:r>
      <w:r w:rsidRPr="00E123E4">
        <w:rPr>
          <w:rFonts w:ascii="Arial" w:hAnsi="Arial" w:cs="Arial"/>
          <w:sz w:val="24"/>
        </w:rPr>
        <w:t xml:space="preserve">. </w:t>
      </w:r>
    </w:p>
    <w:p w:rsidRPr="00E123E4" w:rsidR="00E123E4" w:rsidP="00E123E4" w:rsidRDefault="00E123E4" w14:paraId="3F0E1965" w14:textId="77777777">
      <w:pPr>
        <w:tabs>
          <w:tab w:val="left" w:pos="1418"/>
        </w:tabs>
        <w:rPr>
          <w:rFonts w:ascii="Arial" w:hAnsi="Arial" w:cs="Arial"/>
          <w:sz w:val="24"/>
          <w:lang w:eastAsia="es-ES"/>
        </w:rPr>
      </w:pPr>
    </w:p>
    <w:p w:rsidRPr="00E123E4" w:rsidR="00E123E4" w:rsidP="00E123E4" w:rsidRDefault="00E123E4" w14:paraId="1AF10AF0" w14:textId="77777777">
      <w:pPr>
        <w:numPr>
          <w:ilvl w:val="0"/>
          <w:numId w:val="13"/>
        </w:numPr>
        <w:ind w:right="50"/>
        <w:contextualSpacing/>
        <w:rPr>
          <w:rFonts w:ascii="Arial" w:hAnsi="Arial" w:cs="Arial"/>
          <w:sz w:val="24"/>
          <w:lang w:eastAsia="es-ES"/>
        </w:rPr>
      </w:pPr>
      <w:r w:rsidRPr="00E123E4">
        <w:rPr>
          <w:rFonts w:ascii="Arial" w:hAnsi="Arial" w:cs="Arial"/>
          <w:b/>
          <w:bCs/>
          <w:sz w:val="24"/>
          <w:lang w:eastAsia="es-ES"/>
        </w:rPr>
        <w:t>Criterios normativos</w:t>
      </w:r>
    </w:p>
    <w:p w:rsidRPr="00E123E4" w:rsidR="00E123E4" w:rsidP="00E123E4" w:rsidRDefault="00E123E4" w14:paraId="2C3D6B76" w14:textId="77777777">
      <w:pPr>
        <w:ind w:right="50"/>
        <w:rPr>
          <w:rFonts w:ascii="Arial" w:hAnsi="Arial" w:cs="Arial"/>
          <w:sz w:val="24"/>
          <w:lang w:eastAsia="es-ES"/>
        </w:rPr>
      </w:pPr>
    </w:p>
    <w:p w:rsidRPr="00E123E4" w:rsidR="00E123E4" w:rsidP="00E123E4" w:rsidRDefault="00E123E4" w14:paraId="4B505247" w14:textId="77777777">
      <w:pPr>
        <w:ind w:right="50"/>
        <w:rPr>
          <w:rFonts w:ascii="Arial" w:hAnsi="Arial" w:cs="Arial"/>
          <w:sz w:val="24"/>
          <w:lang w:eastAsia="es-ES"/>
        </w:rPr>
      </w:pPr>
      <w:r w:rsidRPr="00E123E4">
        <w:rPr>
          <w:rFonts w:ascii="Arial" w:hAnsi="Arial" w:cs="Arial"/>
          <w:sz w:val="24"/>
          <w:lang w:eastAsia="es-ES"/>
        </w:rPr>
        <w:t>Los criterios normativos que fundamentan la presente advertencia corresponden a los siguientes:</w:t>
      </w:r>
    </w:p>
    <w:p w:rsidRPr="00E123E4" w:rsidR="00E123E4" w:rsidP="00E123E4" w:rsidRDefault="00E123E4" w14:paraId="63714169" w14:textId="77777777">
      <w:pPr>
        <w:ind w:right="50"/>
        <w:rPr>
          <w:rFonts w:ascii="Arial" w:hAnsi="Arial" w:cs="Arial"/>
          <w:sz w:val="24"/>
          <w:lang w:eastAsia="es-ES"/>
        </w:rPr>
      </w:pPr>
    </w:p>
    <w:p w:rsidRPr="00E123E4" w:rsidR="00E123E4" w:rsidP="00E123E4" w:rsidRDefault="00E123E4" w14:paraId="0AE74E43" w14:textId="77777777">
      <w:pPr>
        <w:numPr>
          <w:ilvl w:val="0"/>
          <w:numId w:val="14"/>
        </w:numPr>
        <w:ind w:right="50"/>
        <w:contextualSpacing/>
        <w:rPr>
          <w:rFonts w:ascii="Arial" w:hAnsi="Arial" w:cs="Arial"/>
          <w:sz w:val="24"/>
          <w:lang w:val="es-CR"/>
        </w:rPr>
      </w:pPr>
      <w:bookmarkStart w:name="_Hlk207305995" w:id="0"/>
      <w:r w:rsidRPr="00E123E4">
        <w:rPr>
          <w:rFonts w:ascii="Arial" w:hAnsi="Arial" w:eastAsia="Calibri" w:cs="Arial"/>
          <w:color w:val="000000"/>
          <w:sz w:val="24"/>
          <w:lang w:eastAsia="es-CR"/>
        </w:rPr>
        <w:t xml:space="preserve">Ley General </w:t>
      </w:r>
      <w:r w:rsidRPr="00E123E4">
        <w:rPr>
          <w:rFonts w:ascii="Arial" w:hAnsi="Arial" w:cs="Arial"/>
          <w:sz w:val="24"/>
          <w:lang w:val="es-CR"/>
        </w:rPr>
        <w:t>de Control Interno No. 8292</w:t>
      </w:r>
      <w:bookmarkEnd w:id="0"/>
      <w:r w:rsidRPr="00E123E4">
        <w:rPr>
          <w:rFonts w:ascii="Arial" w:hAnsi="Arial" w:cs="Arial"/>
          <w:sz w:val="24"/>
          <w:lang w:val="es-CR"/>
        </w:rPr>
        <w:t xml:space="preserve">: </w:t>
      </w:r>
    </w:p>
    <w:p w:rsidRPr="00E123E4" w:rsidR="00E123E4" w:rsidP="00E123E4" w:rsidRDefault="00E123E4" w14:paraId="66B21024" w14:textId="77777777">
      <w:pPr>
        <w:ind w:left="360" w:right="50"/>
        <w:contextualSpacing/>
        <w:rPr>
          <w:rFonts w:ascii="Arial" w:hAnsi="Arial" w:cs="Arial"/>
          <w:sz w:val="24"/>
          <w:lang w:val="es-CR"/>
        </w:rPr>
      </w:pPr>
    </w:p>
    <w:p w:rsidRPr="00E123E4" w:rsidR="00E123E4" w:rsidP="00E123E4" w:rsidRDefault="00E123E4" w14:paraId="582230EF" w14:textId="77777777">
      <w:pPr>
        <w:numPr>
          <w:ilvl w:val="0"/>
          <w:numId w:val="16"/>
        </w:numPr>
        <w:ind w:left="720" w:right="50"/>
        <w:contextualSpacing/>
        <w:rPr>
          <w:rFonts w:ascii="Arial" w:hAnsi="Arial" w:cs="Arial"/>
          <w:i/>
          <w:iCs/>
          <w:sz w:val="24"/>
          <w:lang w:val="es-CR"/>
        </w:rPr>
      </w:pPr>
      <w:r w:rsidRPr="00E123E4">
        <w:rPr>
          <w:rFonts w:ascii="Arial" w:hAnsi="Arial" w:cs="Arial"/>
          <w:i/>
          <w:iCs/>
          <w:sz w:val="24"/>
          <w:lang w:val="es-CR"/>
        </w:rPr>
        <w:lastRenderedPageBreak/>
        <w:t>Artículo 12.-Deberes del jerarca y de los titulares subordinados en el sistema de control interno. En materia de control interno, al jerarca y los titulares subordinados les corresponderá cumplir, entre otros, los siguientes deberes: (…) c) Analizar e implantar, de inmediato, las observaciones, recomendaciones y disposiciones formuladas por la auditoría interna, la Contraloría General de la República, la auditoría externa y las demás instituciones de control y fiscalización que correspondan. (…)</w:t>
      </w:r>
    </w:p>
    <w:p w:rsidRPr="00E123E4" w:rsidR="00E123E4" w:rsidP="00E123E4" w:rsidRDefault="00E123E4" w14:paraId="32BC2455" w14:textId="77777777">
      <w:pPr>
        <w:ind w:left="1080" w:right="50"/>
        <w:contextualSpacing/>
        <w:rPr>
          <w:rFonts w:ascii="Arial" w:hAnsi="Arial" w:cs="Arial"/>
          <w:i/>
          <w:iCs/>
          <w:sz w:val="24"/>
          <w:lang w:val="es-CR"/>
        </w:rPr>
      </w:pPr>
    </w:p>
    <w:p w:rsidRPr="00E123E4" w:rsidR="00E123E4" w:rsidP="00E123E4" w:rsidRDefault="00E123E4" w14:paraId="76CA8CBE" w14:textId="77777777">
      <w:pPr>
        <w:numPr>
          <w:ilvl w:val="0"/>
          <w:numId w:val="16"/>
        </w:numPr>
        <w:ind w:left="720" w:right="50"/>
        <w:contextualSpacing/>
        <w:rPr>
          <w:rFonts w:ascii="Arial" w:hAnsi="Arial" w:cs="Arial"/>
          <w:i/>
          <w:iCs/>
          <w:sz w:val="24"/>
          <w:lang w:val="es-CR"/>
        </w:rPr>
      </w:pPr>
      <w:r w:rsidRPr="00E123E4">
        <w:rPr>
          <w:rFonts w:ascii="Arial" w:hAnsi="Arial" w:cs="Arial"/>
          <w:i/>
          <w:iCs/>
          <w:sz w:val="24"/>
          <w:lang w:val="es-CR"/>
        </w:rPr>
        <w:t>Artículo 39.-Causales de responsabilidad administrativa. (…) Igualmente, cabrá responsabilidad administrativa contra los funcionarios públicos que injustificadamente incumplan los deberes y las funciones que en materia de control interno les asigne el jerarca o el titular subordinado, incluso las acciones para instaurar las recomendaciones emitidas por la auditoría interna, sin perjuicio de las responsabilidades que les puedan ser imputadas civil y penalmente. (…)</w:t>
      </w:r>
    </w:p>
    <w:p w:rsidRPr="00E123E4" w:rsidR="00E123E4" w:rsidP="00E123E4" w:rsidRDefault="00E123E4" w14:paraId="53865A3F" w14:textId="77777777">
      <w:pPr>
        <w:ind w:left="360" w:right="50"/>
        <w:contextualSpacing/>
        <w:rPr>
          <w:rFonts w:ascii="Arial" w:hAnsi="Arial" w:cs="Arial"/>
          <w:sz w:val="24"/>
          <w:lang w:val="es-CR"/>
        </w:rPr>
      </w:pPr>
    </w:p>
    <w:p w:rsidRPr="00E123E4" w:rsidR="00E123E4" w:rsidP="00E123E4" w:rsidRDefault="00E123E4" w14:paraId="6440FB3A" w14:textId="77777777">
      <w:pPr>
        <w:numPr>
          <w:ilvl w:val="0"/>
          <w:numId w:val="14"/>
        </w:numPr>
        <w:ind w:right="50"/>
        <w:contextualSpacing/>
        <w:rPr>
          <w:rFonts w:ascii="Arial" w:hAnsi="Arial" w:cs="Arial"/>
          <w:sz w:val="24"/>
          <w:lang w:val="es-CR"/>
        </w:rPr>
      </w:pPr>
      <w:r w:rsidRPr="00E123E4">
        <w:rPr>
          <w:rFonts w:ascii="Arial" w:hAnsi="Arial" w:cs="Arial"/>
          <w:sz w:val="24"/>
          <w:lang w:val="es-CR"/>
        </w:rPr>
        <w:t>Normas de Control Interno para el Sector Público, emitidas por la Contraloría General de la República:</w:t>
      </w:r>
    </w:p>
    <w:p w:rsidRPr="00E123E4" w:rsidR="00E123E4" w:rsidP="00E123E4" w:rsidRDefault="00E123E4" w14:paraId="2BF2BFD5" w14:textId="77777777">
      <w:pPr>
        <w:ind w:left="360" w:right="50"/>
        <w:contextualSpacing/>
        <w:rPr>
          <w:rFonts w:ascii="Arial" w:hAnsi="Arial" w:cs="Arial"/>
          <w:sz w:val="24"/>
          <w:lang w:val="es-CR"/>
        </w:rPr>
      </w:pPr>
    </w:p>
    <w:p w:rsidRPr="00E123E4" w:rsidR="00E123E4" w:rsidP="00E123E4" w:rsidRDefault="00E123E4" w14:paraId="1AB6071A" w14:textId="77777777">
      <w:pPr>
        <w:numPr>
          <w:ilvl w:val="0"/>
          <w:numId w:val="16"/>
        </w:numPr>
        <w:ind w:left="720" w:right="50"/>
        <w:contextualSpacing/>
        <w:rPr>
          <w:rFonts w:ascii="Arial" w:hAnsi="Arial" w:cs="Arial"/>
          <w:i/>
          <w:iCs/>
          <w:sz w:val="24"/>
          <w:lang w:val="es-CR"/>
        </w:rPr>
      </w:pPr>
      <w:r w:rsidRPr="00E123E4">
        <w:rPr>
          <w:rFonts w:ascii="Arial" w:hAnsi="Arial" w:cs="Arial"/>
          <w:i/>
          <w:iCs/>
          <w:sz w:val="24"/>
          <w:lang w:val="es-CR"/>
        </w:rPr>
        <w:t xml:space="preserve">1.4. Responsabilidad del jerarca y los titulares subordinados sobre el SCI. (…) g. Una pronta atención a las recomendaciones, disposiciones y observaciones que los distintos órganos de control y fiscalización emitan sobre el particular. </w:t>
      </w:r>
    </w:p>
    <w:p w:rsidRPr="00E123E4" w:rsidR="00E123E4" w:rsidP="00E123E4" w:rsidRDefault="00E123E4" w14:paraId="543B372D" w14:textId="77777777">
      <w:pPr>
        <w:ind w:left="720" w:right="50"/>
        <w:contextualSpacing/>
        <w:rPr>
          <w:rFonts w:ascii="Arial" w:hAnsi="Arial" w:cs="Arial"/>
          <w:i/>
          <w:iCs/>
          <w:sz w:val="24"/>
          <w:lang w:val="es-CR"/>
        </w:rPr>
      </w:pPr>
    </w:p>
    <w:p w:rsidRPr="00E123E4" w:rsidR="00E123E4" w:rsidP="00E123E4" w:rsidRDefault="00E123E4" w14:paraId="7EC0A52A" w14:textId="77777777">
      <w:pPr>
        <w:numPr>
          <w:ilvl w:val="0"/>
          <w:numId w:val="16"/>
        </w:numPr>
        <w:ind w:left="720" w:right="50"/>
        <w:contextualSpacing/>
        <w:rPr>
          <w:rFonts w:ascii="Arial" w:hAnsi="Arial" w:cs="Arial"/>
          <w:i/>
          <w:iCs/>
          <w:sz w:val="24"/>
          <w:lang w:val="es-CR"/>
        </w:rPr>
      </w:pPr>
      <w:r w:rsidRPr="00E123E4">
        <w:rPr>
          <w:rFonts w:ascii="Arial" w:hAnsi="Arial" w:cs="Arial"/>
          <w:i/>
          <w:iCs/>
          <w:sz w:val="24"/>
          <w:lang w:val="es-CR"/>
        </w:rPr>
        <w:t xml:space="preserve">2.2. Compromiso superior. El jerarca y los titulares subordinados, según sus competencias, deben apoyar constantemente el SCI, al menos por los siguientes medios: (…) e) La pronta atención de las recomendaciones, disposiciones y observaciones de los distintos órganos de control y fiscalización para el fortalecimiento del SCI. </w:t>
      </w:r>
    </w:p>
    <w:p w:rsidRPr="00E123E4" w:rsidR="00E123E4" w:rsidP="00E123E4" w:rsidRDefault="00E123E4" w14:paraId="3F8D4B12" w14:textId="77777777">
      <w:pPr>
        <w:ind w:left="1440"/>
        <w:contextualSpacing/>
        <w:rPr>
          <w:rFonts w:ascii="Arial" w:hAnsi="Arial" w:cs="Arial"/>
          <w:i/>
          <w:iCs/>
          <w:sz w:val="24"/>
          <w:lang w:val="es-CR"/>
        </w:rPr>
      </w:pPr>
    </w:p>
    <w:p w:rsidRPr="00E123E4" w:rsidR="00E123E4" w:rsidP="00E123E4" w:rsidRDefault="00E123E4" w14:paraId="2A85D379" w14:textId="77777777">
      <w:pPr>
        <w:numPr>
          <w:ilvl w:val="0"/>
          <w:numId w:val="16"/>
        </w:numPr>
        <w:ind w:left="720" w:right="50"/>
        <w:contextualSpacing/>
        <w:rPr>
          <w:rFonts w:ascii="Arial" w:hAnsi="Arial" w:cs="Arial"/>
          <w:i/>
          <w:iCs/>
          <w:sz w:val="24"/>
          <w:lang w:val="es-CR"/>
        </w:rPr>
      </w:pPr>
      <w:r w:rsidRPr="00E123E4">
        <w:rPr>
          <w:rFonts w:ascii="Arial" w:hAnsi="Arial" w:cs="Arial"/>
          <w:i/>
          <w:iCs/>
          <w:sz w:val="24"/>
          <w:lang w:val="es-CR"/>
        </w:rPr>
        <w:t>6.4. Acciones para el fortalecimiento del SCI. (…) En el caso de las disposiciones, recomendaciones y observaciones emitidas por los órganos de control y fiscalización, la instancia a la cual éstas son dirigidas debe emprender de manera efectiva las acciones pertinentes dentro de los plazos establecidos.</w:t>
      </w:r>
    </w:p>
    <w:p w:rsidRPr="00E123E4" w:rsidR="00E123E4" w:rsidP="00E123E4" w:rsidRDefault="00E123E4" w14:paraId="6B0E8BF1" w14:textId="77777777">
      <w:pPr>
        <w:rPr>
          <w:rFonts w:ascii="Arial" w:hAnsi="Arial" w:cs="Arial"/>
          <w:sz w:val="24"/>
          <w:lang w:val="es-CR"/>
        </w:rPr>
      </w:pPr>
    </w:p>
    <w:p w:rsidRPr="00E123E4" w:rsidR="00E123E4" w:rsidP="00E123E4" w:rsidRDefault="00E123E4" w14:paraId="281B853A" w14:textId="77777777">
      <w:pPr>
        <w:numPr>
          <w:ilvl w:val="0"/>
          <w:numId w:val="13"/>
        </w:numPr>
        <w:ind w:right="50"/>
        <w:contextualSpacing/>
        <w:rPr>
          <w:rFonts w:ascii="Arial" w:hAnsi="Arial" w:eastAsia="Calibri" w:cs="Arial"/>
          <w:color w:val="000000"/>
          <w:sz w:val="24"/>
          <w:lang w:eastAsia="es-CR"/>
        </w:rPr>
      </w:pPr>
      <w:r w:rsidRPr="00E123E4">
        <w:rPr>
          <w:rFonts w:ascii="Arial" w:hAnsi="Arial" w:eastAsia="Calibri" w:cs="Arial"/>
          <w:b/>
          <w:bCs/>
          <w:color w:val="000000"/>
          <w:sz w:val="24"/>
          <w:lang w:eastAsia="es-CR"/>
        </w:rPr>
        <w:t xml:space="preserve">Exposición a riesgos </w:t>
      </w:r>
    </w:p>
    <w:p w:rsidRPr="00E123E4" w:rsidR="00E123E4" w:rsidP="00E123E4" w:rsidRDefault="00E123E4" w14:paraId="42D2D278" w14:textId="77777777">
      <w:pPr>
        <w:ind w:left="360" w:right="50"/>
        <w:contextualSpacing/>
        <w:rPr>
          <w:rFonts w:ascii="Arial" w:hAnsi="Arial" w:cs="Arial"/>
          <w:sz w:val="24"/>
          <w:lang w:eastAsia="es-ES"/>
        </w:rPr>
      </w:pPr>
    </w:p>
    <w:p w:rsidRPr="00E123E4" w:rsidR="00E123E4" w:rsidP="00E123E4" w:rsidRDefault="00E123E4" w14:paraId="2CE11B9D" w14:textId="77777777">
      <w:pPr>
        <w:ind w:right="50"/>
        <w:rPr>
          <w:rFonts w:ascii="Arial" w:hAnsi="Arial" w:cs="Arial"/>
          <w:sz w:val="24"/>
          <w:lang w:eastAsia="es-ES"/>
        </w:rPr>
      </w:pPr>
      <w:r w:rsidRPr="00E123E4">
        <w:rPr>
          <w:rFonts w:ascii="Arial" w:hAnsi="Arial" w:cs="Arial"/>
          <w:sz w:val="24"/>
          <w:lang w:eastAsia="es-ES"/>
        </w:rPr>
        <w:t>Los r</w:t>
      </w:r>
      <w:r w:rsidRPr="00E123E4">
        <w:rPr>
          <w:rFonts w:ascii="Arial" w:hAnsi="Arial" w:eastAsia="Calibri" w:cs="Arial"/>
          <w:color w:val="000000"/>
          <w:sz w:val="24"/>
          <w:lang w:eastAsia="es-CR"/>
        </w:rPr>
        <w:t xml:space="preserve">iesgos a los que se expone la Administración Activa en relación con los aspectos comentados en la presente advertencia son </w:t>
      </w:r>
      <w:r w:rsidRPr="00E123E4">
        <w:rPr>
          <w:rFonts w:ascii="Arial" w:hAnsi="Arial" w:cs="Arial"/>
          <w:sz w:val="24"/>
          <w:lang w:eastAsia="es-ES"/>
        </w:rPr>
        <w:t>los siguientes:</w:t>
      </w:r>
    </w:p>
    <w:p w:rsidRPr="00E123E4" w:rsidR="00E123E4" w:rsidP="00E123E4" w:rsidRDefault="00E123E4" w14:paraId="52ED1D97" w14:textId="77777777">
      <w:pPr>
        <w:ind w:left="360" w:right="50"/>
        <w:contextualSpacing/>
        <w:rPr>
          <w:rFonts w:ascii="Arial" w:hAnsi="Arial" w:eastAsia="Calibri" w:cs="Arial"/>
          <w:color w:val="000000"/>
          <w:sz w:val="24"/>
          <w:lang w:eastAsia="es-CR"/>
        </w:rPr>
      </w:pPr>
    </w:p>
    <w:p w:rsidRPr="00E123E4" w:rsidR="00E123E4" w:rsidP="00E123E4" w:rsidRDefault="00E123E4" w14:paraId="6D95159A" w14:textId="77777777">
      <w:pPr>
        <w:ind w:left="360" w:right="50"/>
        <w:rPr>
          <w:rFonts w:ascii="Arial" w:hAnsi="Arial" w:eastAsia="Calibri" w:cs="Arial"/>
          <w:i/>
          <w:iCs/>
          <w:color w:val="000000"/>
          <w:sz w:val="24"/>
          <w:lang w:eastAsia="es-CR"/>
        </w:rPr>
      </w:pPr>
      <w:r w:rsidRPr="00E123E4">
        <w:rPr>
          <w:rFonts w:ascii="Arial" w:hAnsi="Arial" w:eastAsia="Calibri" w:cs="Arial"/>
          <w:b/>
          <w:bCs/>
          <w:i/>
          <w:iCs/>
          <w:color w:val="000000"/>
          <w:sz w:val="24"/>
          <w:lang w:eastAsia="es-CR"/>
        </w:rPr>
        <w:lastRenderedPageBreak/>
        <w:t>a. Riesgo reputacional</w:t>
      </w:r>
      <w:r w:rsidRPr="00E123E4">
        <w:rPr>
          <w:rFonts w:ascii="Arial" w:hAnsi="Arial" w:eastAsia="Calibri" w:cs="Arial"/>
          <w:i/>
          <w:iCs/>
          <w:color w:val="000000"/>
          <w:sz w:val="24"/>
          <w:lang w:eastAsia="es-CR"/>
        </w:rPr>
        <w:t>: la posibilidad de afectación del prestigio del Banco por cualquier evento externo, actuaciones de sus funcionarios, así como por fallas de comunicación internas hechas públicas, o estar involucrada en transacciones o relaciones con negocios ilícitos, que puedan generar pérdidas y ocasionar deterioro de la situación de la entidad. (…)</w:t>
      </w:r>
    </w:p>
    <w:p w:rsidRPr="00E123E4" w:rsidR="00E123E4" w:rsidP="00E123E4" w:rsidRDefault="00E123E4" w14:paraId="0B6A966E" w14:textId="77777777">
      <w:pPr>
        <w:ind w:left="360" w:right="50"/>
        <w:rPr>
          <w:rFonts w:ascii="Arial" w:hAnsi="Arial" w:eastAsia="Calibri" w:cs="Arial"/>
          <w:i/>
          <w:iCs/>
          <w:color w:val="000000"/>
          <w:sz w:val="24"/>
          <w:lang w:eastAsia="es-CR"/>
        </w:rPr>
      </w:pPr>
    </w:p>
    <w:p w:rsidRPr="00E123E4" w:rsidR="00E123E4" w:rsidP="00E123E4" w:rsidRDefault="00E123E4" w14:paraId="1319B994" w14:textId="77777777">
      <w:pPr>
        <w:ind w:left="360" w:right="50"/>
        <w:rPr>
          <w:rFonts w:ascii="Arial" w:hAnsi="Arial" w:eastAsia="Calibri" w:cs="Arial"/>
          <w:i/>
          <w:iCs/>
          <w:color w:val="000000"/>
          <w:sz w:val="24"/>
          <w:lang w:eastAsia="es-CR"/>
        </w:rPr>
      </w:pPr>
      <w:r w:rsidRPr="00E123E4">
        <w:rPr>
          <w:rFonts w:ascii="Arial" w:hAnsi="Arial" w:eastAsia="Calibri" w:cs="Arial"/>
          <w:b/>
          <w:bCs/>
          <w:i/>
          <w:iCs/>
          <w:color w:val="000000"/>
          <w:sz w:val="24"/>
          <w:lang w:eastAsia="es-CR"/>
        </w:rPr>
        <w:t>c. Riesgo legal</w:t>
      </w:r>
      <w:r w:rsidRPr="00E123E4">
        <w:rPr>
          <w:rFonts w:ascii="Arial" w:hAnsi="Arial" w:eastAsia="Calibri" w:cs="Arial"/>
          <w:i/>
          <w:iCs/>
          <w:color w:val="000000"/>
          <w:sz w:val="24"/>
          <w:lang w:eastAsia="es-CR"/>
        </w:rPr>
        <w:t>: la posibilidad de que el Banco sufra pérdidas directas o indirectas debido a error, negligencia, impericia, imprudencia o dolo, que deriven de la inobservancia, incorrecta o inoportuna de la aplicación de disposiciones legales, reglamentarias, normativas o contractuales, sentencias o resoluciones jurisdiccionales o administrativas adversas; o de la deficiente redacción de los textos producto del servicio de asesoría brindado. (…)</w:t>
      </w:r>
    </w:p>
    <w:p w:rsidRPr="00E123E4" w:rsidR="00E123E4" w:rsidP="00E123E4" w:rsidRDefault="00E123E4" w14:paraId="5CF11E68" w14:textId="77777777">
      <w:pPr>
        <w:ind w:left="360" w:right="50"/>
        <w:rPr>
          <w:rFonts w:ascii="Arial" w:hAnsi="Arial" w:eastAsia="Calibri" w:cs="Arial"/>
          <w:i/>
          <w:iCs/>
          <w:color w:val="000000"/>
          <w:sz w:val="24"/>
          <w:lang w:eastAsia="es-CR"/>
        </w:rPr>
      </w:pPr>
    </w:p>
    <w:p w:rsidRPr="00E123E4" w:rsidR="00E123E4" w:rsidP="00E123E4" w:rsidRDefault="00E123E4" w14:paraId="29286C1A" w14:textId="77777777">
      <w:pPr>
        <w:ind w:left="360" w:right="50"/>
        <w:rPr>
          <w:rFonts w:ascii="Arial" w:hAnsi="Arial" w:eastAsia="Calibri" w:cs="Arial"/>
          <w:i/>
          <w:iCs/>
          <w:color w:val="000000"/>
          <w:sz w:val="24"/>
          <w:lang w:eastAsia="es-CR"/>
        </w:rPr>
      </w:pPr>
      <w:r w:rsidRPr="00E123E4">
        <w:rPr>
          <w:rFonts w:ascii="Arial" w:hAnsi="Arial" w:eastAsia="Calibri" w:cs="Arial"/>
          <w:b/>
          <w:bCs/>
          <w:i/>
          <w:iCs/>
          <w:color w:val="000000"/>
          <w:sz w:val="24"/>
          <w:lang w:eastAsia="es-CR"/>
        </w:rPr>
        <w:t>e. Riesgo operacional</w:t>
      </w:r>
      <w:r w:rsidRPr="00E123E4">
        <w:rPr>
          <w:rFonts w:ascii="Arial" w:hAnsi="Arial" w:eastAsia="Calibri" w:cs="Arial"/>
          <w:i/>
          <w:iCs/>
          <w:color w:val="000000"/>
          <w:sz w:val="24"/>
          <w:lang w:eastAsia="es-CR"/>
        </w:rPr>
        <w:t>: la posibilidad de que se produzcan pérdidas debido a eventos originados en fallas o insuficiencia de procesos, personas, sistemas internos, y en la presencia de eventos externos imprevistos. Agrupa una variedad de riesgos relacionados con deficiencias de control interno; sistemas, procesos y procedimientos inadecuados; errores humanos y fraudes; ocurrencia de eventos externos o internos adversos, es decir, aquellos que afectan la capacidad de la organización para responder por sus compromisos de manera oportuna, o comprometa sus intereses.</w:t>
      </w:r>
      <w:r w:rsidRPr="00E123E4">
        <w:rPr>
          <w:rFonts w:ascii="Arial" w:hAnsi="Arial" w:eastAsia="Calibri" w:cs="Arial"/>
          <w:i/>
          <w:iCs/>
          <w:color w:val="000000"/>
          <w:sz w:val="24"/>
          <w:vertAlign w:val="superscript"/>
          <w:lang w:eastAsia="es-CR"/>
        </w:rPr>
        <w:footnoteReference w:id="2"/>
      </w:r>
    </w:p>
    <w:p w:rsidRPr="00E123E4" w:rsidR="00E123E4" w:rsidP="00E123E4" w:rsidRDefault="00E123E4" w14:paraId="0EC7DFA4" w14:textId="77777777">
      <w:pPr>
        <w:ind w:right="50"/>
        <w:rPr>
          <w:rFonts w:ascii="Arial" w:hAnsi="Arial" w:eastAsia="Calibri" w:cs="Arial"/>
          <w:color w:val="000000"/>
          <w:sz w:val="24"/>
          <w:lang w:eastAsia="es-CR"/>
        </w:rPr>
      </w:pPr>
    </w:p>
    <w:p w:rsidRPr="00E123E4" w:rsidR="00E123E4" w:rsidP="00E123E4" w:rsidRDefault="00E123E4" w14:paraId="24DB40EA" w14:textId="77777777">
      <w:pPr>
        <w:numPr>
          <w:ilvl w:val="0"/>
          <w:numId w:val="13"/>
        </w:numPr>
        <w:ind w:right="50"/>
        <w:contextualSpacing/>
        <w:rPr>
          <w:rFonts w:ascii="Arial" w:hAnsi="Arial" w:cs="Arial"/>
          <w:sz w:val="24"/>
        </w:rPr>
      </w:pPr>
      <w:r w:rsidRPr="00E123E4">
        <w:rPr>
          <w:rFonts w:ascii="Arial" w:hAnsi="Arial" w:cs="Arial"/>
          <w:b/>
          <w:bCs/>
          <w:sz w:val="24"/>
          <w:lang w:eastAsia="es-ES"/>
        </w:rPr>
        <w:t>Advertencia</w:t>
      </w:r>
    </w:p>
    <w:p w:rsidRPr="00E123E4" w:rsidR="00E123E4" w:rsidP="00E123E4" w:rsidRDefault="00E123E4" w14:paraId="0A561C8A" w14:textId="77777777">
      <w:pPr>
        <w:rPr>
          <w:rFonts w:ascii="Arial" w:hAnsi="Arial" w:cs="Arial"/>
          <w:sz w:val="24"/>
        </w:rPr>
      </w:pPr>
    </w:p>
    <w:p w:rsidRPr="00E123E4" w:rsidR="00E123E4" w:rsidP="00E123E4" w:rsidRDefault="00E123E4" w14:paraId="24919135" w14:textId="77777777">
      <w:pPr>
        <w:rPr>
          <w:rFonts w:ascii="Arial" w:hAnsi="Arial" w:cs="Arial"/>
          <w:sz w:val="24"/>
        </w:rPr>
      </w:pPr>
      <w:r w:rsidRPr="00E123E4">
        <w:rPr>
          <w:rFonts w:ascii="Arial" w:hAnsi="Arial" w:cs="Arial"/>
          <w:sz w:val="24"/>
        </w:rPr>
        <w:t>Con fundamento en los criterios y riesgos indicados, se advierte sobre la postergación reiterada de las acciones requeridas para instaurar recomendaciones emitidas por la Auditoría Interna</w:t>
      </w:r>
      <w:r w:rsidRPr="00E123E4">
        <w:rPr>
          <w:rFonts w:ascii="Arial" w:hAnsi="Arial" w:eastAsia="Calibri" w:cs="Arial"/>
          <w:color w:val="000000"/>
          <w:sz w:val="24"/>
          <w:lang w:eastAsia="es-CR"/>
        </w:rPr>
        <w:t xml:space="preserve">, según se comenta a continuación: </w:t>
      </w:r>
    </w:p>
    <w:p w:rsidRPr="00E123E4" w:rsidR="00E123E4" w:rsidP="00E123E4" w:rsidRDefault="00E123E4" w14:paraId="7F7C6522" w14:textId="77777777">
      <w:pPr>
        <w:rPr>
          <w:rFonts w:ascii="Arial" w:hAnsi="Arial" w:cs="Arial"/>
          <w:sz w:val="24"/>
        </w:rPr>
      </w:pPr>
    </w:p>
    <w:p w:rsidRPr="00E123E4" w:rsidR="00E123E4" w:rsidP="00E123E4" w:rsidRDefault="00E123E4" w14:paraId="6240C31C" w14:textId="77777777">
      <w:pPr>
        <w:numPr>
          <w:ilvl w:val="0"/>
          <w:numId w:val="15"/>
        </w:numPr>
        <w:contextualSpacing/>
        <w:rPr>
          <w:rFonts w:ascii="Arial" w:hAnsi="Arial" w:cs="Arial"/>
          <w:sz w:val="24"/>
          <w:lang w:val="es-CR"/>
        </w:rPr>
      </w:pPr>
      <w:r w:rsidRPr="00E123E4">
        <w:rPr>
          <w:rFonts w:ascii="Arial" w:hAnsi="Arial" w:cs="Arial"/>
          <w:sz w:val="24"/>
          <w:lang w:val="es-CR"/>
        </w:rPr>
        <w:t>Mediante oficio AI-0162-2021 del 31-08-2021 (</w:t>
      </w:r>
      <w:hyperlink w:history="1" w:anchor="anexo1">
        <w:r w:rsidRPr="00E123E4">
          <w:rPr>
            <w:rFonts w:ascii="Arial" w:hAnsi="Arial" w:cs="Arial"/>
            <w:color w:val="4F81BD" w:themeColor="hyperlink"/>
            <w:sz w:val="24"/>
            <w:u w:val="single"/>
            <w:lang w:val="es-CR"/>
          </w:rPr>
          <w:t>anexo 1</w:t>
        </w:r>
      </w:hyperlink>
      <w:r w:rsidRPr="00E123E4">
        <w:rPr>
          <w:rFonts w:ascii="Arial" w:hAnsi="Arial" w:cs="Arial"/>
          <w:sz w:val="24"/>
          <w:lang w:val="es-CR"/>
        </w:rPr>
        <w:t xml:space="preserve">), la Auditoría Interna comunicó los resultados de una auditoría de carácter especial sobre la regulación y fijación de las comisiones máximas del sistema de tarjetas de pago, considerando las obligaciones establecidas para el BCCR en la Ley de Comisiones Máximas del Sistema de Tarjetas No. 9831. </w:t>
      </w:r>
    </w:p>
    <w:p w:rsidRPr="00E123E4" w:rsidR="00E123E4" w:rsidP="00E123E4" w:rsidRDefault="00E123E4" w14:paraId="6989E974" w14:textId="77777777">
      <w:pPr>
        <w:ind w:left="360"/>
        <w:contextualSpacing/>
        <w:rPr>
          <w:rFonts w:ascii="Arial" w:hAnsi="Arial" w:cs="Arial"/>
          <w:sz w:val="24"/>
          <w:lang w:val="es-CR"/>
        </w:rPr>
      </w:pPr>
    </w:p>
    <w:p w:rsidRPr="00E123E4" w:rsidR="00E123E4" w:rsidP="00E123E4" w:rsidRDefault="00E123E4" w14:paraId="6ACDF0A3" w14:textId="77777777">
      <w:pPr>
        <w:numPr>
          <w:ilvl w:val="0"/>
          <w:numId w:val="15"/>
        </w:numPr>
        <w:contextualSpacing/>
        <w:rPr>
          <w:rFonts w:ascii="Arial" w:hAnsi="Arial" w:cs="Arial"/>
          <w:sz w:val="24"/>
          <w:lang w:val="es-CR"/>
        </w:rPr>
      </w:pPr>
      <w:r w:rsidRPr="00E123E4">
        <w:rPr>
          <w:rFonts w:ascii="Arial" w:hAnsi="Arial" w:cs="Arial"/>
          <w:sz w:val="24"/>
          <w:lang w:val="es-CR"/>
        </w:rPr>
        <w:t>En el informe se emitieron cinco recomendaciones, de las cuales dos fueron atendidas por la Administración y verificadas por la Auditoría Interna; se mantienen pendientes las siguientes tres:</w:t>
      </w:r>
    </w:p>
    <w:p w:rsidRPr="00E123E4" w:rsidR="00E123E4" w:rsidP="00E123E4" w:rsidRDefault="00E123E4" w14:paraId="799593D3" w14:textId="77777777">
      <w:pPr>
        <w:ind w:left="720"/>
        <w:contextualSpacing/>
        <w:rPr>
          <w:rFonts w:ascii="Arial" w:hAnsi="Arial" w:cs="Arial"/>
          <w:sz w:val="24"/>
          <w:lang w:val="es-CR"/>
        </w:rPr>
      </w:pPr>
    </w:p>
    <w:p w:rsidRPr="00E123E4" w:rsidR="00E123E4" w:rsidP="00E123E4" w:rsidRDefault="00E123E4" w14:paraId="7A54F42B" w14:textId="77777777">
      <w:pPr>
        <w:numPr>
          <w:ilvl w:val="0"/>
          <w:numId w:val="17"/>
        </w:numPr>
        <w:ind w:left="720"/>
        <w:contextualSpacing/>
        <w:rPr>
          <w:rFonts w:ascii="Arial" w:hAnsi="Arial" w:cs="Arial"/>
          <w:i/>
          <w:iCs/>
          <w:sz w:val="24"/>
          <w:lang w:val="es-CR"/>
        </w:rPr>
      </w:pPr>
      <w:r w:rsidRPr="00E123E4">
        <w:rPr>
          <w:rFonts w:ascii="Arial" w:hAnsi="Arial" w:cs="Arial"/>
          <w:i/>
          <w:iCs/>
          <w:sz w:val="24"/>
          <w:lang w:val="es-CR"/>
        </w:rPr>
        <w:lastRenderedPageBreak/>
        <w:t xml:space="preserve">R.3 (Prioridad 2) Implementar las actividades requeridas para cumplir con la obligación asignada al Banco Central de Costa Rica en el artículo 1 de la Ley de Comisiones máximas del sistema de tarjetas No. 9831, sobre la vigilancia del cumplimiento de dicha ley. Fecha de atención: Agosto-2022. (Recomendación 202138003). </w:t>
      </w:r>
    </w:p>
    <w:p w:rsidRPr="00E123E4" w:rsidR="00E123E4" w:rsidP="00E123E4" w:rsidRDefault="00E123E4" w14:paraId="282812D4" w14:textId="77777777">
      <w:pPr>
        <w:contextualSpacing/>
        <w:rPr>
          <w:rFonts w:ascii="Arial" w:hAnsi="Arial" w:cs="Arial"/>
          <w:i/>
          <w:iCs/>
          <w:sz w:val="24"/>
          <w:lang w:val="es-CR"/>
        </w:rPr>
      </w:pPr>
    </w:p>
    <w:p w:rsidRPr="00E123E4" w:rsidR="00E123E4" w:rsidP="00E123E4" w:rsidRDefault="00E123E4" w14:paraId="24671693" w14:textId="77777777">
      <w:pPr>
        <w:numPr>
          <w:ilvl w:val="0"/>
          <w:numId w:val="17"/>
        </w:numPr>
        <w:ind w:left="720"/>
        <w:contextualSpacing/>
        <w:rPr>
          <w:rFonts w:ascii="Arial" w:hAnsi="Arial" w:cs="Arial"/>
          <w:i/>
          <w:iCs/>
          <w:sz w:val="24"/>
          <w:lang w:val="es-CR"/>
        </w:rPr>
      </w:pPr>
      <w:r w:rsidRPr="00E123E4">
        <w:rPr>
          <w:rFonts w:ascii="Arial" w:hAnsi="Arial" w:cs="Arial"/>
          <w:i/>
          <w:iCs/>
          <w:sz w:val="24"/>
        </w:rPr>
        <w:t>R.4 (Prioridad 2) Elaborar y remitir al nivel competente, la propuesta de asignación de recursos humanos y materiales para atender las responsabilidades asignadas al Banco Central de Costa Rica en la Ley de Comisiones máximas del sistema de tarjetas No. 9831, con respecto al desarrollo y vigilancia del sistema de tarjetas, de conformidad con lo dispuesto por la Junta Directiva en el artículo 6 de la sesión 5949-2020. Fecha de atención: Diciembre-2022.</w:t>
      </w:r>
      <w:r w:rsidRPr="00E123E4">
        <w:rPr>
          <w:rFonts w:ascii="Arial" w:hAnsi="Arial" w:cs="Arial"/>
          <w:i/>
          <w:iCs/>
          <w:sz w:val="24"/>
          <w:lang w:val="es-CR"/>
        </w:rPr>
        <w:t xml:space="preserve"> (Recomendación 202138004). </w:t>
      </w:r>
    </w:p>
    <w:p w:rsidRPr="00E123E4" w:rsidR="00E123E4" w:rsidP="00E123E4" w:rsidRDefault="00E123E4" w14:paraId="21D9CACA" w14:textId="77777777">
      <w:pPr>
        <w:contextualSpacing/>
        <w:rPr>
          <w:rFonts w:ascii="Arial" w:hAnsi="Arial" w:cs="Arial"/>
          <w:i/>
          <w:iCs/>
          <w:sz w:val="24"/>
        </w:rPr>
      </w:pPr>
    </w:p>
    <w:p w:rsidRPr="00E123E4" w:rsidR="00E123E4" w:rsidP="00E123E4" w:rsidRDefault="00E123E4" w14:paraId="3B456280" w14:textId="77777777">
      <w:pPr>
        <w:numPr>
          <w:ilvl w:val="0"/>
          <w:numId w:val="17"/>
        </w:numPr>
        <w:ind w:left="720"/>
        <w:contextualSpacing/>
        <w:rPr>
          <w:rFonts w:ascii="Arial" w:hAnsi="Arial" w:cs="Arial"/>
          <w:i/>
          <w:iCs/>
          <w:sz w:val="24"/>
          <w:lang w:val="es-CR"/>
        </w:rPr>
      </w:pPr>
      <w:r w:rsidRPr="00E123E4">
        <w:rPr>
          <w:rFonts w:ascii="Arial" w:hAnsi="Arial" w:cs="Arial"/>
          <w:i/>
          <w:iCs/>
          <w:sz w:val="24"/>
        </w:rPr>
        <w:t>R.5 (Prioridad 2) Documentar los procedimientos operativos requeridos para garantizar el cumplimiento de las obligaciones asignadas al Banco Central de Costa Rica en la Ley No. 9831 y en el Reglamento del Sistema de Tarjetas de Pago, relacionadas con la determinación de las comisiones máximas del sistema de tarjetas; la revisión y actualización periódica de la regulación y con la vigilancia del cumplimiento regulatorio. Fecha de atención: Agosto-2022.</w:t>
      </w:r>
      <w:r w:rsidRPr="00E123E4">
        <w:rPr>
          <w:rFonts w:ascii="Arial" w:hAnsi="Arial" w:cs="Arial"/>
          <w:i/>
          <w:iCs/>
          <w:sz w:val="24"/>
          <w:lang w:val="es-CR"/>
        </w:rPr>
        <w:t xml:space="preserve"> (Recomendación 202138005). </w:t>
      </w:r>
    </w:p>
    <w:p w:rsidRPr="00E123E4" w:rsidR="00E123E4" w:rsidP="00E123E4" w:rsidRDefault="00E123E4" w14:paraId="6FE0AE66" w14:textId="77777777">
      <w:pPr>
        <w:ind w:left="360"/>
        <w:contextualSpacing/>
        <w:rPr>
          <w:rFonts w:ascii="Arial" w:hAnsi="Arial" w:cs="Arial"/>
          <w:sz w:val="24"/>
          <w:lang w:val="es-CR"/>
        </w:rPr>
      </w:pPr>
    </w:p>
    <w:p w:rsidRPr="00E123E4" w:rsidR="00E123E4" w:rsidP="00E123E4" w:rsidRDefault="00E123E4" w14:paraId="198F8075" w14:textId="77777777">
      <w:pPr>
        <w:numPr>
          <w:ilvl w:val="0"/>
          <w:numId w:val="15"/>
        </w:numPr>
        <w:contextualSpacing/>
        <w:rPr>
          <w:rFonts w:ascii="Arial" w:hAnsi="Arial" w:cs="Arial"/>
          <w:sz w:val="24"/>
          <w:lang w:val="es-CR"/>
        </w:rPr>
      </w:pPr>
      <w:r w:rsidRPr="00E123E4">
        <w:rPr>
          <w:rFonts w:ascii="Arial" w:hAnsi="Arial" w:cs="Arial"/>
          <w:sz w:val="24"/>
          <w:lang w:val="es-CR"/>
        </w:rPr>
        <w:t xml:space="preserve">Las tres recomendaciones pendientes debían ser atendidas entre agosto y diciembre del 2022, de acuerdo con los plazos originales establecidos por la Administración. No obstante, tuvieron varias reprogramaciones autorizadas en su momento por la Gerencia: </w:t>
      </w:r>
    </w:p>
    <w:p w:rsidRPr="00E123E4" w:rsidR="00E123E4" w:rsidP="00E123E4" w:rsidRDefault="00E123E4" w14:paraId="313FD6A8" w14:textId="77777777">
      <w:pPr>
        <w:ind w:left="360"/>
        <w:contextualSpacing/>
        <w:rPr>
          <w:rFonts w:ascii="Arial" w:hAnsi="Arial" w:cs="Arial"/>
          <w:sz w:val="24"/>
          <w:lang w:val="es-CR"/>
        </w:rPr>
      </w:pPr>
    </w:p>
    <w:tbl>
      <w:tblPr>
        <w:tblStyle w:val="Correspondencia1"/>
        <w:tblW w:w="8287" w:type="dxa"/>
        <w:tblInd w:w="360" w:type="dxa"/>
        <w:tblLook w:val="04A0" w:firstRow="1" w:lastRow="0" w:firstColumn="1" w:lastColumn="0" w:noHBand="0" w:noVBand="1"/>
      </w:tblPr>
      <w:tblGrid>
        <w:gridCol w:w="1916"/>
        <w:gridCol w:w="1410"/>
        <w:gridCol w:w="4961"/>
      </w:tblGrid>
      <w:tr w:rsidRPr="00E123E4" w:rsidR="00E123E4" w:rsidTr="00037A1B" w14:paraId="368D22DA" w14:textId="77777777">
        <w:trPr>
          <w:cnfStyle w:val="100000000000" w:firstRow="1" w:lastRow="0" w:firstColumn="0" w:lastColumn="0" w:oddVBand="0" w:evenVBand="0" w:oddHBand="0" w:evenHBand="0" w:firstRowFirstColumn="0" w:firstRowLastColumn="0" w:lastRowFirstColumn="0" w:lastRowLastColumn="0"/>
        </w:trPr>
        <w:tc>
          <w:tcPr>
            <w:tcW w:w="1916" w:type="dxa"/>
          </w:tcPr>
          <w:p w:rsidRPr="00E123E4" w:rsidR="00E123E4" w:rsidP="00E123E4" w:rsidRDefault="00E123E4" w14:paraId="791AAFD0" w14:textId="77777777">
            <w:pPr>
              <w:contextualSpacing/>
              <w:jc w:val="center"/>
              <w:rPr>
                <w:rFonts w:ascii="Arial" w:hAnsi="Arial" w:cs="Arial"/>
                <w:szCs w:val="22"/>
                <w:lang w:val="es-CR"/>
              </w:rPr>
            </w:pPr>
            <w:r w:rsidRPr="00E123E4">
              <w:rPr>
                <w:rFonts w:ascii="Arial" w:hAnsi="Arial" w:cs="Arial"/>
                <w:szCs w:val="22"/>
                <w:lang w:val="es-CR"/>
              </w:rPr>
              <w:t>Recomendación</w:t>
            </w:r>
          </w:p>
        </w:tc>
        <w:tc>
          <w:tcPr>
            <w:tcW w:w="1410" w:type="dxa"/>
          </w:tcPr>
          <w:p w:rsidRPr="00E123E4" w:rsidR="00E123E4" w:rsidP="00E123E4" w:rsidRDefault="00E123E4" w14:paraId="0FD7B507" w14:textId="77777777">
            <w:pPr>
              <w:contextualSpacing/>
              <w:jc w:val="center"/>
              <w:rPr>
                <w:rFonts w:ascii="Arial" w:hAnsi="Arial" w:cs="Arial"/>
                <w:szCs w:val="22"/>
                <w:lang w:val="es-CR"/>
              </w:rPr>
            </w:pPr>
            <w:r w:rsidRPr="00E123E4">
              <w:rPr>
                <w:rFonts w:ascii="Arial" w:hAnsi="Arial" w:cs="Arial"/>
                <w:szCs w:val="22"/>
                <w:lang w:val="es-CR"/>
              </w:rPr>
              <w:t>Prórrogas aprobadas</w:t>
            </w:r>
          </w:p>
        </w:tc>
        <w:tc>
          <w:tcPr>
            <w:tcW w:w="4961" w:type="dxa"/>
          </w:tcPr>
          <w:p w:rsidRPr="00E123E4" w:rsidR="00E123E4" w:rsidP="00E123E4" w:rsidRDefault="00E123E4" w14:paraId="614887C3" w14:textId="77777777">
            <w:pPr>
              <w:contextualSpacing/>
              <w:jc w:val="center"/>
              <w:rPr>
                <w:rFonts w:ascii="Arial" w:hAnsi="Arial" w:cs="Arial"/>
                <w:szCs w:val="22"/>
                <w:lang w:val="es-CR"/>
              </w:rPr>
            </w:pPr>
            <w:r w:rsidRPr="00E123E4">
              <w:rPr>
                <w:rFonts w:ascii="Arial" w:hAnsi="Arial" w:cs="Arial"/>
                <w:szCs w:val="22"/>
                <w:lang w:val="es-CR"/>
              </w:rPr>
              <w:t>Fechas de aprobación</w:t>
            </w:r>
          </w:p>
        </w:tc>
      </w:tr>
      <w:tr w:rsidRPr="00E123E4" w:rsidR="00E123E4" w:rsidTr="00037A1B" w14:paraId="16949837" w14:textId="77777777">
        <w:trPr>
          <w:cnfStyle w:val="000000100000" w:firstRow="0" w:lastRow="0" w:firstColumn="0" w:lastColumn="0" w:oddVBand="0" w:evenVBand="0" w:oddHBand="1" w:evenHBand="0" w:firstRowFirstColumn="0" w:firstRowLastColumn="0" w:lastRowFirstColumn="0" w:lastRowLastColumn="0"/>
        </w:trPr>
        <w:tc>
          <w:tcPr>
            <w:tcW w:w="1916" w:type="dxa"/>
          </w:tcPr>
          <w:p w:rsidRPr="00E123E4" w:rsidR="00E123E4" w:rsidP="00E123E4" w:rsidRDefault="00E123E4" w14:paraId="5F7EC4F5" w14:textId="77777777">
            <w:pPr>
              <w:contextualSpacing/>
              <w:jc w:val="center"/>
              <w:rPr>
                <w:rFonts w:ascii="Arial" w:hAnsi="Arial" w:cs="Arial"/>
                <w:szCs w:val="22"/>
                <w:lang w:val="es-CR"/>
              </w:rPr>
            </w:pPr>
            <w:r w:rsidRPr="00E123E4">
              <w:rPr>
                <w:rFonts w:ascii="Arial" w:hAnsi="Arial" w:cs="Arial"/>
                <w:i/>
                <w:iCs/>
                <w:szCs w:val="22"/>
                <w:lang w:val="es-CR"/>
              </w:rPr>
              <w:t>202138003</w:t>
            </w:r>
          </w:p>
        </w:tc>
        <w:tc>
          <w:tcPr>
            <w:tcW w:w="1410" w:type="dxa"/>
          </w:tcPr>
          <w:p w:rsidRPr="00E123E4" w:rsidR="00E123E4" w:rsidP="00E123E4" w:rsidRDefault="00E123E4" w14:paraId="1D56DAF3" w14:textId="77777777">
            <w:pPr>
              <w:contextualSpacing/>
              <w:jc w:val="center"/>
              <w:rPr>
                <w:rFonts w:ascii="Arial" w:hAnsi="Arial" w:cs="Arial"/>
                <w:szCs w:val="22"/>
                <w:lang w:val="es-CR"/>
              </w:rPr>
            </w:pPr>
            <w:r w:rsidRPr="00E123E4">
              <w:rPr>
                <w:rFonts w:ascii="Arial" w:hAnsi="Arial" w:cs="Arial"/>
                <w:szCs w:val="22"/>
                <w:lang w:val="es-CR"/>
              </w:rPr>
              <w:t>3</w:t>
            </w:r>
          </w:p>
        </w:tc>
        <w:tc>
          <w:tcPr>
            <w:tcW w:w="4961" w:type="dxa"/>
          </w:tcPr>
          <w:p w:rsidRPr="00E123E4" w:rsidR="00E123E4" w:rsidP="00E123E4" w:rsidRDefault="00E123E4" w14:paraId="281A5DFE" w14:textId="77777777">
            <w:pPr>
              <w:contextualSpacing/>
              <w:rPr>
                <w:rFonts w:ascii="Arial" w:hAnsi="Arial" w:cs="Arial"/>
                <w:szCs w:val="22"/>
                <w:lang w:val="es-CR"/>
              </w:rPr>
            </w:pPr>
            <w:r w:rsidRPr="00E123E4">
              <w:rPr>
                <w:rFonts w:ascii="Arial" w:hAnsi="Arial" w:cs="Arial"/>
                <w:szCs w:val="22"/>
                <w:lang w:val="es-CR"/>
              </w:rPr>
              <w:t xml:space="preserve">Agosto 2022. Julio 2023. Agosto 2024. </w:t>
            </w:r>
          </w:p>
        </w:tc>
      </w:tr>
      <w:tr w:rsidRPr="00E123E4" w:rsidR="00E123E4" w:rsidTr="00037A1B" w14:paraId="0BDD3F72" w14:textId="77777777">
        <w:trPr>
          <w:cnfStyle w:val="000000010000" w:firstRow="0" w:lastRow="0" w:firstColumn="0" w:lastColumn="0" w:oddVBand="0" w:evenVBand="0" w:oddHBand="0" w:evenHBand="1" w:firstRowFirstColumn="0" w:firstRowLastColumn="0" w:lastRowFirstColumn="0" w:lastRowLastColumn="0"/>
        </w:trPr>
        <w:tc>
          <w:tcPr>
            <w:tcW w:w="1916" w:type="dxa"/>
          </w:tcPr>
          <w:p w:rsidRPr="00E123E4" w:rsidR="00E123E4" w:rsidP="00E123E4" w:rsidRDefault="00E123E4" w14:paraId="5DA03FA2" w14:textId="77777777">
            <w:pPr>
              <w:contextualSpacing/>
              <w:jc w:val="center"/>
              <w:rPr>
                <w:rFonts w:ascii="Arial" w:hAnsi="Arial" w:cs="Arial"/>
                <w:szCs w:val="22"/>
                <w:lang w:val="es-CR"/>
              </w:rPr>
            </w:pPr>
            <w:r w:rsidRPr="00E123E4">
              <w:rPr>
                <w:rFonts w:ascii="Arial" w:hAnsi="Arial" w:cs="Arial"/>
                <w:i/>
                <w:iCs/>
                <w:szCs w:val="22"/>
                <w:lang w:val="es-CR"/>
              </w:rPr>
              <w:t>202138004</w:t>
            </w:r>
          </w:p>
        </w:tc>
        <w:tc>
          <w:tcPr>
            <w:tcW w:w="1410" w:type="dxa"/>
          </w:tcPr>
          <w:p w:rsidRPr="00E123E4" w:rsidR="00E123E4" w:rsidP="00E123E4" w:rsidRDefault="00E123E4" w14:paraId="67B618E5" w14:textId="77777777">
            <w:pPr>
              <w:contextualSpacing/>
              <w:jc w:val="center"/>
              <w:rPr>
                <w:rFonts w:ascii="Arial" w:hAnsi="Arial" w:cs="Arial"/>
                <w:szCs w:val="22"/>
                <w:lang w:val="es-CR"/>
              </w:rPr>
            </w:pPr>
            <w:r w:rsidRPr="00E123E4">
              <w:rPr>
                <w:rFonts w:ascii="Arial" w:hAnsi="Arial" w:cs="Arial"/>
                <w:szCs w:val="22"/>
                <w:lang w:val="es-CR"/>
              </w:rPr>
              <w:t>4</w:t>
            </w:r>
          </w:p>
        </w:tc>
        <w:tc>
          <w:tcPr>
            <w:tcW w:w="4961" w:type="dxa"/>
          </w:tcPr>
          <w:p w:rsidRPr="00E123E4" w:rsidR="00E123E4" w:rsidP="00E123E4" w:rsidRDefault="00E123E4" w14:paraId="4FE5EA5F" w14:textId="77777777">
            <w:pPr>
              <w:contextualSpacing/>
              <w:rPr>
                <w:rFonts w:ascii="Arial" w:hAnsi="Arial" w:cs="Arial"/>
                <w:szCs w:val="22"/>
                <w:lang w:val="es-CR"/>
              </w:rPr>
            </w:pPr>
            <w:r w:rsidRPr="00E123E4">
              <w:rPr>
                <w:rFonts w:ascii="Arial" w:hAnsi="Arial" w:cs="Arial"/>
                <w:szCs w:val="22"/>
                <w:lang w:val="es-CR"/>
              </w:rPr>
              <w:t xml:space="preserve">Mayo 2022. Julio 2023. Diciembre 2023. </w:t>
            </w:r>
          </w:p>
          <w:p w:rsidRPr="00E123E4" w:rsidR="00E123E4" w:rsidP="00E123E4" w:rsidRDefault="00E123E4" w14:paraId="425D2EE8" w14:textId="77777777">
            <w:pPr>
              <w:contextualSpacing/>
              <w:rPr>
                <w:rFonts w:ascii="Arial" w:hAnsi="Arial" w:cs="Arial"/>
                <w:szCs w:val="22"/>
                <w:lang w:val="es-CR"/>
              </w:rPr>
            </w:pPr>
            <w:r w:rsidRPr="00E123E4">
              <w:rPr>
                <w:rFonts w:ascii="Arial" w:hAnsi="Arial" w:cs="Arial"/>
                <w:szCs w:val="22"/>
                <w:lang w:val="es-CR"/>
              </w:rPr>
              <w:t>Agosto 2024.</w:t>
            </w:r>
          </w:p>
        </w:tc>
      </w:tr>
      <w:tr w:rsidRPr="00E123E4" w:rsidR="00E123E4" w:rsidTr="00037A1B" w14:paraId="60DB7786" w14:textId="77777777">
        <w:trPr>
          <w:cnfStyle w:val="000000100000" w:firstRow="0" w:lastRow="0" w:firstColumn="0" w:lastColumn="0" w:oddVBand="0" w:evenVBand="0" w:oddHBand="1" w:evenHBand="0" w:firstRowFirstColumn="0" w:firstRowLastColumn="0" w:lastRowFirstColumn="0" w:lastRowLastColumn="0"/>
        </w:trPr>
        <w:tc>
          <w:tcPr>
            <w:tcW w:w="1916" w:type="dxa"/>
          </w:tcPr>
          <w:p w:rsidRPr="00E123E4" w:rsidR="00E123E4" w:rsidP="00E123E4" w:rsidRDefault="00E123E4" w14:paraId="41D79EA1" w14:textId="77777777">
            <w:pPr>
              <w:contextualSpacing/>
              <w:jc w:val="center"/>
              <w:rPr>
                <w:rFonts w:ascii="Arial" w:hAnsi="Arial" w:cs="Arial"/>
                <w:szCs w:val="22"/>
                <w:lang w:val="es-CR"/>
              </w:rPr>
            </w:pPr>
            <w:r w:rsidRPr="00E123E4">
              <w:rPr>
                <w:rFonts w:ascii="Arial" w:hAnsi="Arial" w:cs="Arial"/>
                <w:i/>
                <w:iCs/>
                <w:szCs w:val="22"/>
                <w:lang w:val="es-CR"/>
              </w:rPr>
              <w:t>202138005</w:t>
            </w:r>
          </w:p>
        </w:tc>
        <w:tc>
          <w:tcPr>
            <w:tcW w:w="1410" w:type="dxa"/>
          </w:tcPr>
          <w:p w:rsidRPr="00E123E4" w:rsidR="00E123E4" w:rsidP="00E123E4" w:rsidRDefault="00E123E4" w14:paraId="07ED5265" w14:textId="77777777">
            <w:pPr>
              <w:contextualSpacing/>
              <w:jc w:val="center"/>
              <w:rPr>
                <w:rFonts w:ascii="Arial" w:hAnsi="Arial" w:cs="Arial"/>
                <w:szCs w:val="22"/>
                <w:lang w:val="es-CR"/>
              </w:rPr>
            </w:pPr>
            <w:r w:rsidRPr="00E123E4">
              <w:rPr>
                <w:rFonts w:ascii="Arial" w:hAnsi="Arial" w:cs="Arial"/>
                <w:szCs w:val="22"/>
                <w:lang w:val="es-CR"/>
              </w:rPr>
              <w:t>4</w:t>
            </w:r>
          </w:p>
        </w:tc>
        <w:tc>
          <w:tcPr>
            <w:tcW w:w="4961" w:type="dxa"/>
          </w:tcPr>
          <w:p w:rsidRPr="00E123E4" w:rsidR="00E123E4" w:rsidP="00E123E4" w:rsidRDefault="00E123E4" w14:paraId="367EA03E" w14:textId="77777777">
            <w:pPr>
              <w:contextualSpacing/>
              <w:rPr>
                <w:rFonts w:ascii="Arial" w:hAnsi="Arial" w:cs="Arial"/>
                <w:szCs w:val="22"/>
                <w:lang w:val="es-CR"/>
              </w:rPr>
            </w:pPr>
            <w:r w:rsidRPr="00E123E4">
              <w:rPr>
                <w:rFonts w:ascii="Arial" w:hAnsi="Arial" w:cs="Arial"/>
                <w:szCs w:val="22"/>
                <w:lang w:val="es-CR"/>
              </w:rPr>
              <w:t xml:space="preserve">Abril 2023. Julio 2023. Diciembre 2023. </w:t>
            </w:r>
          </w:p>
          <w:p w:rsidRPr="00E123E4" w:rsidR="00E123E4" w:rsidP="00E123E4" w:rsidRDefault="00E123E4" w14:paraId="32D6432A" w14:textId="77777777">
            <w:pPr>
              <w:contextualSpacing/>
              <w:rPr>
                <w:rFonts w:ascii="Arial" w:hAnsi="Arial" w:cs="Arial"/>
                <w:szCs w:val="22"/>
                <w:lang w:val="es-CR"/>
              </w:rPr>
            </w:pPr>
            <w:r w:rsidRPr="00E123E4">
              <w:rPr>
                <w:rFonts w:ascii="Arial" w:hAnsi="Arial" w:cs="Arial"/>
                <w:szCs w:val="22"/>
                <w:lang w:val="es-CR"/>
              </w:rPr>
              <w:t>Agosto 2024.</w:t>
            </w:r>
          </w:p>
        </w:tc>
      </w:tr>
    </w:tbl>
    <w:p w:rsidRPr="00E123E4" w:rsidR="00E123E4" w:rsidP="00E123E4" w:rsidRDefault="00E123E4" w14:paraId="5E8544A4" w14:textId="77777777">
      <w:pPr>
        <w:ind w:left="360"/>
        <w:contextualSpacing/>
        <w:rPr>
          <w:rFonts w:ascii="Arial" w:hAnsi="Arial" w:cs="Arial"/>
          <w:sz w:val="24"/>
          <w:lang w:val="es-CR"/>
        </w:rPr>
      </w:pPr>
    </w:p>
    <w:p w:rsidRPr="00E123E4" w:rsidR="00E123E4" w:rsidP="00E123E4" w:rsidRDefault="00E123E4" w14:paraId="39A7362C" w14:textId="77777777">
      <w:pPr>
        <w:numPr>
          <w:ilvl w:val="0"/>
          <w:numId w:val="15"/>
        </w:numPr>
        <w:contextualSpacing/>
        <w:rPr>
          <w:rFonts w:ascii="Arial" w:hAnsi="Arial" w:cs="Arial"/>
          <w:sz w:val="24"/>
          <w:lang w:val="es-CR"/>
        </w:rPr>
      </w:pPr>
      <w:r w:rsidRPr="00E123E4">
        <w:rPr>
          <w:rFonts w:ascii="Arial" w:hAnsi="Arial" w:cs="Arial"/>
          <w:sz w:val="24"/>
          <w:lang w:val="es-CR"/>
        </w:rPr>
        <w:t xml:space="preserve">En la justificación de las últimas prórrogas aprobadas (agosto 2024) se indicó que se había establecido un plan de trabajo para atender de forma integral la valoración de la estructura, recursos y procesos requeridos para atender las tareas derivadas de la Ley 9831, pero que había sido postergado por motivos de carga de trabajo. </w:t>
      </w:r>
    </w:p>
    <w:p w:rsidRPr="00E123E4" w:rsidR="00E123E4" w:rsidP="00E123E4" w:rsidRDefault="00E123E4" w14:paraId="5ED613B8" w14:textId="77777777">
      <w:pPr>
        <w:numPr>
          <w:ilvl w:val="0"/>
          <w:numId w:val="15"/>
        </w:numPr>
        <w:contextualSpacing/>
        <w:rPr>
          <w:rFonts w:ascii="Arial" w:hAnsi="Arial" w:cs="Arial"/>
          <w:sz w:val="24"/>
          <w:lang w:val="es-CR"/>
        </w:rPr>
      </w:pPr>
      <w:r w:rsidRPr="00E123E4">
        <w:rPr>
          <w:rFonts w:ascii="Arial" w:hAnsi="Arial" w:cs="Arial"/>
          <w:sz w:val="24"/>
          <w:lang w:val="es-CR"/>
        </w:rPr>
        <w:lastRenderedPageBreak/>
        <w:t>La Auditoría Interna recibió nuevas solicitudes de ampliación de plazo</w:t>
      </w:r>
      <w:r w:rsidRPr="00E123E4">
        <w:rPr>
          <w:rFonts w:ascii="Arial" w:hAnsi="Arial" w:cs="Arial"/>
          <w:sz w:val="24"/>
          <w:vertAlign w:val="superscript"/>
          <w:lang w:val="es-CR"/>
        </w:rPr>
        <w:footnoteReference w:id="3"/>
      </w:r>
      <w:r w:rsidRPr="00E123E4">
        <w:rPr>
          <w:rFonts w:ascii="Arial" w:hAnsi="Arial" w:cs="Arial"/>
          <w:sz w:val="24"/>
          <w:lang w:val="es-CR"/>
        </w:rPr>
        <w:t xml:space="preserve"> de estas recomendaciones el 27-11-2025, las cuales fueron rechazadas</w:t>
      </w:r>
      <w:r w:rsidRPr="00E123E4">
        <w:rPr>
          <w:rFonts w:ascii="Arial" w:hAnsi="Arial" w:cs="Arial"/>
          <w:sz w:val="24"/>
          <w:vertAlign w:val="superscript"/>
          <w:lang w:val="es-CR"/>
        </w:rPr>
        <w:footnoteReference w:id="4"/>
      </w:r>
      <w:r w:rsidRPr="00E123E4">
        <w:rPr>
          <w:rFonts w:ascii="Arial" w:hAnsi="Arial" w:cs="Arial"/>
          <w:sz w:val="24"/>
          <w:lang w:val="es-CR"/>
        </w:rPr>
        <w:t xml:space="preserve">, considerando su antigüedad, el avance reportado, la extensión de la prórroga solicitada y la reiteración de los mismos motivos de justificación de las prórrogas anteriores: </w:t>
      </w:r>
    </w:p>
    <w:p w:rsidRPr="00E123E4" w:rsidR="00E123E4" w:rsidP="00E123E4" w:rsidRDefault="00E123E4" w14:paraId="55BF5C99" w14:textId="77777777">
      <w:pPr>
        <w:rPr>
          <w:rFonts w:ascii="Arial" w:hAnsi="Arial" w:cs="Arial"/>
          <w:sz w:val="24"/>
          <w:lang w:val="es-CR"/>
        </w:rPr>
      </w:pPr>
    </w:p>
    <w:tbl>
      <w:tblPr>
        <w:tblStyle w:val="Correspondencia1"/>
        <w:tblW w:w="8251" w:type="dxa"/>
        <w:tblInd w:w="360" w:type="dxa"/>
        <w:tblLook w:val="04A0" w:firstRow="1" w:lastRow="0" w:firstColumn="1" w:lastColumn="0" w:noHBand="0" w:noVBand="1"/>
      </w:tblPr>
      <w:tblGrid>
        <w:gridCol w:w="1916"/>
        <w:gridCol w:w="1476"/>
        <w:gridCol w:w="1362"/>
        <w:gridCol w:w="2116"/>
        <w:gridCol w:w="1381"/>
      </w:tblGrid>
      <w:tr w:rsidRPr="00E123E4" w:rsidR="00E123E4" w:rsidTr="00037A1B" w14:paraId="2410B6B8" w14:textId="77777777">
        <w:trPr>
          <w:cnfStyle w:val="100000000000" w:firstRow="1" w:lastRow="0" w:firstColumn="0" w:lastColumn="0" w:oddVBand="0" w:evenVBand="0" w:oddHBand="0" w:evenHBand="0" w:firstRowFirstColumn="0" w:firstRowLastColumn="0" w:lastRowFirstColumn="0" w:lastRowLastColumn="0"/>
        </w:trPr>
        <w:tc>
          <w:tcPr>
            <w:tcW w:w="1916" w:type="dxa"/>
          </w:tcPr>
          <w:p w:rsidRPr="00E123E4" w:rsidR="00E123E4" w:rsidP="00E123E4" w:rsidRDefault="00E123E4" w14:paraId="295042DC" w14:textId="77777777">
            <w:pPr>
              <w:contextualSpacing/>
              <w:jc w:val="center"/>
              <w:rPr>
                <w:rFonts w:ascii="Arial" w:hAnsi="Arial" w:cs="Arial"/>
                <w:szCs w:val="22"/>
                <w:lang w:val="es-CR"/>
              </w:rPr>
            </w:pPr>
            <w:r w:rsidRPr="00E123E4">
              <w:rPr>
                <w:rFonts w:ascii="Arial" w:hAnsi="Arial" w:cs="Arial"/>
                <w:szCs w:val="22"/>
                <w:lang w:val="es-CR"/>
              </w:rPr>
              <w:t>Recomendación</w:t>
            </w:r>
          </w:p>
        </w:tc>
        <w:tc>
          <w:tcPr>
            <w:tcW w:w="1476" w:type="dxa"/>
          </w:tcPr>
          <w:p w:rsidRPr="00E123E4" w:rsidR="00E123E4" w:rsidP="00E123E4" w:rsidRDefault="00E123E4" w14:paraId="0721AD45" w14:textId="77777777">
            <w:pPr>
              <w:contextualSpacing/>
              <w:jc w:val="center"/>
              <w:rPr>
                <w:rFonts w:ascii="Arial" w:hAnsi="Arial" w:cs="Arial"/>
                <w:szCs w:val="22"/>
                <w:lang w:val="es-CR"/>
              </w:rPr>
            </w:pPr>
            <w:r w:rsidRPr="00E123E4">
              <w:rPr>
                <w:rFonts w:ascii="Arial" w:hAnsi="Arial" w:cs="Arial"/>
                <w:szCs w:val="22"/>
                <w:lang w:val="es-CR"/>
              </w:rPr>
              <w:t xml:space="preserve">Solicitud prórroga </w:t>
            </w:r>
          </w:p>
        </w:tc>
        <w:tc>
          <w:tcPr>
            <w:tcW w:w="1362" w:type="dxa"/>
          </w:tcPr>
          <w:p w:rsidRPr="00E123E4" w:rsidR="00E123E4" w:rsidP="00E123E4" w:rsidRDefault="00E123E4" w14:paraId="3200DE26" w14:textId="77777777">
            <w:pPr>
              <w:contextualSpacing/>
              <w:jc w:val="center"/>
              <w:rPr>
                <w:rFonts w:ascii="Arial" w:hAnsi="Arial" w:cs="Arial"/>
                <w:szCs w:val="22"/>
                <w:lang w:val="es-CR"/>
              </w:rPr>
            </w:pPr>
            <w:r w:rsidRPr="00E123E4">
              <w:rPr>
                <w:rFonts w:ascii="Arial" w:hAnsi="Arial" w:cs="Arial"/>
                <w:szCs w:val="22"/>
                <w:lang w:val="es-CR"/>
              </w:rPr>
              <w:t>Avance atención</w:t>
            </w:r>
          </w:p>
        </w:tc>
        <w:tc>
          <w:tcPr>
            <w:tcW w:w="2116" w:type="dxa"/>
          </w:tcPr>
          <w:p w:rsidRPr="00E123E4" w:rsidR="00E123E4" w:rsidP="00E123E4" w:rsidRDefault="00E123E4" w14:paraId="6657267A" w14:textId="77777777">
            <w:pPr>
              <w:contextualSpacing/>
              <w:jc w:val="center"/>
              <w:rPr>
                <w:rFonts w:ascii="Arial" w:hAnsi="Arial" w:cs="Arial"/>
                <w:szCs w:val="22"/>
                <w:lang w:val="es-CR"/>
              </w:rPr>
            </w:pPr>
            <w:r w:rsidRPr="00E123E4">
              <w:rPr>
                <w:rFonts w:ascii="Arial" w:hAnsi="Arial" w:cs="Arial"/>
                <w:szCs w:val="22"/>
                <w:lang w:val="es-CR"/>
              </w:rPr>
              <w:t xml:space="preserve">Fecha de prórroga </w:t>
            </w:r>
          </w:p>
        </w:tc>
        <w:tc>
          <w:tcPr>
            <w:tcW w:w="1381" w:type="dxa"/>
          </w:tcPr>
          <w:p w:rsidRPr="00E123E4" w:rsidR="00E123E4" w:rsidP="00E123E4" w:rsidRDefault="00E123E4" w14:paraId="386C0BE2" w14:textId="77777777">
            <w:pPr>
              <w:contextualSpacing/>
              <w:jc w:val="center"/>
              <w:rPr>
                <w:rFonts w:ascii="Arial" w:hAnsi="Arial" w:cs="Arial"/>
                <w:szCs w:val="22"/>
                <w:lang w:val="es-CR"/>
              </w:rPr>
            </w:pPr>
            <w:r w:rsidRPr="00E123E4">
              <w:rPr>
                <w:rFonts w:ascii="Arial" w:hAnsi="Arial" w:cs="Arial"/>
                <w:szCs w:val="22"/>
                <w:lang w:val="es-CR"/>
              </w:rPr>
              <w:t>Estado solicitud</w:t>
            </w:r>
          </w:p>
        </w:tc>
      </w:tr>
      <w:tr w:rsidRPr="00E123E4" w:rsidR="00E123E4" w:rsidTr="00037A1B" w14:paraId="6C0F7551" w14:textId="77777777">
        <w:trPr>
          <w:cnfStyle w:val="000000100000" w:firstRow="0" w:lastRow="0" w:firstColumn="0" w:lastColumn="0" w:oddVBand="0" w:evenVBand="0" w:oddHBand="1" w:evenHBand="0" w:firstRowFirstColumn="0" w:firstRowLastColumn="0" w:lastRowFirstColumn="0" w:lastRowLastColumn="0"/>
        </w:trPr>
        <w:tc>
          <w:tcPr>
            <w:tcW w:w="1916" w:type="dxa"/>
          </w:tcPr>
          <w:p w:rsidRPr="00E123E4" w:rsidR="00E123E4" w:rsidP="00E123E4" w:rsidRDefault="00E123E4" w14:paraId="303E6D9D" w14:textId="77777777">
            <w:pPr>
              <w:contextualSpacing/>
              <w:jc w:val="center"/>
              <w:rPr>
                <w:rFonts w:ascii="Arial" w:hAnsi="Arial" w:cs="Arial"/>
                <w:szCs w:val="22"/>
                <w:lang w:val="es-CR"/>
              </w:rPr>
            </w:pPr>
            <w:r w:rsidRPr="00E123E4">
              <w:rPr>
                <w:rFonts w:ascii="Arial" w:hAnsi="Arial" w:cs="Arial"/>
                <w:i/>
                <w:iCs/>
                <w:szCs w:val="22"/>
                <w:lang w:val="es-CR"/>
              </w:rPr>
              <w:t>202138003</w:t>
            </w:r>
          </w:p>
        </w:tc>
        <w:tc>
          <w:tcPr>
            <w:tcW w:w="1476" w:type="dxa"/>
          </w:tcPr>
          <w:p w:rsidRPr="00E123E4" w:rsidR="00E123E4" w:rsidP="00E123E4" w:rsidRDefault="00E123E4" w14:paraId="65FFDF6C" w14:textId="77777777">
            <w:pPr>
              <w:contextualSpacing/>
              <w:jc w:val="center"/>
              <w:rPr>
                <w:rFonts w:ascii="Arial" w:hAnsi="Arial" w:cs="Arial"/>
                <w:szCs w:val="22"/>
                <w:lang w:val="es-CR"/>
              </w:rPr>
            </w:pPr>
            <w:r w:rsidRPr="00E123E4">
              <w:rPr>
                <w:rFonts w:ascii="Arial" w:hAnsi="Arial" w:cs="Arial"/>
                <w:szCs w:val="22"/>
                <w:lang w:val="es-CR"/>
              </w:rPr>
              <w:t>No. 4</w:t>
            </w:r>
          </w:p>
        </w:tc>
        <w:tc>
          <w:tcPr>
            <w:tcW w:w="1362" w:type="dxa"/>
          </w:tcPr>
          <w:p w:rsidRPr="00E123E4" w:rsidR="00E123E4" w:rsidP="00E123E4" w:rsidRDefault="00E123E4" w14:paraId="242B25B3" w14:textId="77777777">
            <w:pPr>
              <w:contextualSpacing/>
              <w:jc w:val="center"/>
              <w:rPr>
                <w:rFonts w:ascii="Arial" w:hAnsi="Arial" w:cs="Arial"/>
                <w:szCs w:val="22"/>
                <w:lang w:val="es-CR"/>
              </w:rPr>
            </w:pPr>
            <w:r w:rsidRPr="00E123E4">
              <w:rPr>
                <w:rFonts w:ascii="Arial" w:hAnsi="Arial" w:cs="Arial"/>
                <w:szCs w:val="22"/>
                <w:lang w:val="es-CR"/>
              </w:rPr>
              <w:t>0%</w:t>
            </w:r>
          </w:p>
        </w:tc>
        <w:tc>
          <w:tcPr>
            <w:tcW w:w="2116" w:type="dxa"/>
          </w:tcPr>
          <w:p w:rsidRPr="00E123E4" w:rsidR="00E123E4" w:rsidP="00E123E4" w:rsidRDefault="00E123E4" w14:paraId="26521A59" w14:textId="77777777">
            <w:pPr>
              <w:contextualSpacing/>
              <w:rPr>
                <w:rFonts w:ascii="Arial" w:hAnsi="Arial" w:cs="Arial"/>
                <w:szCs w:val="22"/>
                <w:lang w:val="es-CR"/>
              </w:rPr>
            </w:pPr>
            <w:r w:rsidRPr="00E123E4">
              <w:rPr>
                <w:rFonts w:ascii="Arial" w:hAnsi="Arial" w:cs="Arial"/>
                <w:szCs w:val="22"/>
                <w:lang w:val="es-CR"/>
              </w:rPr>
              <w:t>Agosto 2027</w:t>
            </w:r>
          </w:p>
        </w:tc>
        <w:tc>
          <w:tcPr>
            <w:tcW w:w="1381" w:type="dxa"/>
          </w:tcPr>
          <w:p w:rsidRPr="00E123E4" w:rsidR="00E123E4" w:rsidP="00E123E4" w:rsidRDefault="00E123E4" w14:paraId="36C98566" w14:textId="77777777">
            <w:pPr>
              <w:contextualSpacing/>
              <w:rPr>
                <w:rFonts w:ascii="Arial" w:hAnsi="Arial" w:cs="Arial"/>
                <w:szCs w:val="22"/>
                <w:lang w:val="es-CR"/>
              </w:rPr>
            </w:pPr>
            <w:r w:rsidRPr="00E123E4">
              <w:rPr>
                <w:rFonts w:ascii="Arial" w:hAnsi="Arial" w:cs="Arial"/>
                <w:szCs w:val="22"/>
                <w:lang w:val="es-CR"/>
              </w:rPr>
              <w:t>Rechazada</w:t>
            </w:r>
          </w:p>
        </w:tc>
      </w:tr>
      <w:tr w:rsidRPr="00E123E4" w:rsidR="00E123E4" w:rsidTr="00037A1B" w14:paraId="22A383EA" w14:textId="77777777">
        <w:trPr>
          <w:cnfStyle w:val="000000010000" w:firstRow="0" w:lastRow="0" w:firstColumn="0" w:lastColumn="0" w:oddVBand="0" w:evenVBand="0" w:oddHBand="0" w:evenHBand="1" w:firstRowFirstColumn="0" w:firstRowLastColumn="0" w:lastRowFirstColumn="0" w:lastRowLastColumn="0"/>
        </w:trPr>
        <w:tc>
          <w:tcPr>
            <w:tcW w:w="1916" w:type="dxa"/>
          </w:tcPr>
          <w:p w:rsidRPr="00E123E4" w:rsidR="00E123E4" w:rsidP="00E123E4" w:rsidRDefault="00E123E4" w14:paraId="28148768" w14:textId="77777777">
            <w:pPr>
              <w:contextualSpacing/>
              <w:jc w:val="center"/>
              <w:rPr>
                <w:rFonts w:ascii="Arial" w:hAnsi="Arial" w:cs="Arial"/>
                <w:szCs w:val="22"/>
                <w:lang w:val="es-CR"/>
              </w:rPr>
            </w:pPr>
            <w:r w:rsidRPr="00E123E4">
              <w:rPr>
                <w:rFonts w:ascii="Arial" w:hAnsi="Arial" w:cs="Arial"/>
                <w:i/>
                <w:iCs/>
                <w:szCs w:val="22"/>
                <w:lang w:val="es-CR"/>
              </w:rPr>
              <w:t>202138004</w:t>
            </w:r>
          </w:p>
        </w:tc>
        <w:tc>
          <w:tcPr>
            <w:tcW w:w="1476" w:type="dxa"/>
          </w:tcPr>
          <w:p w:rsidRPr="00E123E4" w:rsidR="00E123E4" w:rsidP="00E123E4" w:rsidRDefault="00E123E4" w14:paraId="369B78AC" w14:textId="77777777">
            <w:pPr>
              <w:contextualSpacing/>
              <w:jc w:val="center"/>
              <w:rPr>
                <w:rFonts w:ascii="Arial" w:hAnsi="Arial" w:cs="Arial"/>
                <w:szCs w:val="22"/>
                <w:lang w:val="es-CR"/>
              </w:rPr>
            </w:pPr>
            <w:r w:rsidRPr="00E123E4">
              <w:rPr>
                <w:rFonts w:ascii="Arial" w:hAnsi="Arial" w:cs="Arial"/>
                <w:szCs w:val="22"/>
                <w:lang w:val="es-CR"/>
              </w:rPr>
              <w:t>No. 5</w:t>
            </w:r>
          </w:p>
        </w:tc>
        <w:tc>
          <w:tcPr>
            <w:tcW w:w="1362" w:type="dxa"/>
          </w:tcPr>
          <w:p w:rsidRPr="00E123E4" w:rsidR="00E123E4" w:rsidP="00E123E4" w:rsidRDefault="00E123E4" w14:paraId="05713ACD" w14:textId="77777777">
            <w:pPr>
              <w:contextualSpacing/>
              <w:jc w:val="center"/>
              <w:rPr>
                <w:rFonts w:ascii="Arial" w:hAnsi="Arial" w:cs="Arial"/>
                <w:szCs w:val="22"/>
                <w:lang w:val="es-CR"/>
              </w:rPr>
            </w:pPr>
            <w:r w:rsidRPr="00E123E4">
              <w:rPr>
                <w:rFonts w:ascii="Arial" w:hAnsi="Arial" w:cs="Arial"/>
                <w:szCs w:val="22"/>
                <w:lang w:val="es-CR"/>
              </w:rPr>
              <w:t>50%</w:t>
            </w:r>
          </w:p>
        </w:tc>
        <w:tc>
          <w:tcPr>
            <w:tcW w:w="2116" w:type="dxa"/>
          </w:tcPr>
          <w:p w:rsidRPr="00E123E4" w:rsidR="00E123E4" w:rsidP="00E123E4" w:rsidRDefault="00E123E4" w14:paraId="63E9758E" w14:textId="77777777">
            <w:pPr>
              <w:contextualSpacing/>
              <w:rPr>
                <w:rFonts w:ascii="Arial" w:hAnsi="Arial" w:cs="Arial"/>
                <w:szCs w:val="22"/>
                <w:lang w:val="es-CR"/>
              </w:rPr>
            </w:pPr>
            <w:r w:rsidRPr="00E123E4">
              <w:rPr>
                <w:rFonts w:ascii="Arial" w:hAnsi="Arial" w:cs="Arial"/>
                <w:szCs w:val="22"/>
                <w:lang w:val="es-CR"/>
              </w:rPr>
              <w:t>Mayo 2026</w:t>
            </w:r>
          </w:p>
        </w:tc>
        <w:tc>
          <w:tcPr>
            <w:tcW w:w="1381" w:type="dxa"/>
          </w:tcPr>
          <w:p w:rsidRPr="00E123E4" w:rsidR="00E123E4" w:rsidP="00E123E4" w:rsidRDefault="00E123E4" w14:paraId="0E4FB370" w14:textId="77777777">
            <w:pPr>
              <w:contextualSpacing/>
              <w:rPr>
                <w:rFonts w:ascii="Arial" w:hAnsi="Arial" w:cs="Arial"/>
                <w:szCs w:val="22"/>
                <w:lang w:val="es-CR"/>
              </w:rPr>
            </w:pPr>
            <w:r w:rsidRPr="00E123E4">
              <w:rPr>
                <w:rFonts w:ascii="Arial" w:hAnsi="Arial" w:cs="Arial"/>
                <w:szCs w:val="22"/>
                <w:lang w:val="es-CR"/>
              </w:rPr>
              <w:t>Rechazada</w:t>
            </w:r>
          </w:p>
        </w:tc>
      </w:tr>
      <w:tr w:rsidRPr="00E123E4" w:rsidR="00E123E4" w:rsidTr="00037A1B" w14:paraId="575088D6" w14:textId="77777777">
        <w:trPr>
          <w:cnfStyle w:val="000000100000" w:firstRow="0" w:lastRow="0" w:firstColumn="0" w:lastColumn="0" w:oddVBand="0" w:evenVBand="0" w:oddHBand="1" w:evenHBand="0" w:firstRowFirstColumn="0" w:firstRowLastColumn="0" w:lastRowFirstColumn="0" w:lastRowLastColumn="0"/>
        </w:trPr>
        <w:tc>
          <w:tcPr>
            <w:tcW w:w="1916" w:type="dxa"/>
          </w:tcPr>
          <w:p w:rsidRPr="00E123E4" w:rsidR="00E123E4" w:rsidP="00E123E4" w:rsidRDefault="00E123E4" w14:paraId="760872A2" w14:textId="77777777">
            <w:pPr>
              <w:contextualSpacing/>
              <w:jc w:val="center"/>
              <w:rPr>
                <w:rFonts w:ascii="Arial" w:hAnsi="Arial" w:cs="Arial"/>
                <w:szCs w:val="22"/>
                <w:lang w:val="es-CR"/>
              </w:rPr>
            </w:pPr>
            <w:r w:rsidRPr="00E123E4">
              <w:rPr>
                <w:rFonts w:ascii="Arial" w:hAnsi="Arial" w:cs="Arial"/>
                <w:i/>
                <w:iCs/>
                <w:szCs w:val="22"/>
                <w:lang w:val="es-CR"/>
              </w:rPr>
              <w:t>202138005</w:t>
            </w:r>
          </w:p>
        </w:tc>
        <w:tc>
          <w:tcPr>
            <w:tcW w:w="1476" w:type="dxa"/>
          </w:tcPr>
          <w:p w:rsidRPr="00E123E4" w:rsidR="00E123E4" w:rsidP="00E123E4" w:rsidRDefault="00E123E4" w14:paraId="3D22ADC2" w14:textId="77777777">
            <w:pPr>
              <w:contextualSpacing/>
              <w:jc w:val="center"/>
              <w:rPr>
                <w:rFonts w:ascii="Arial" w:hAnsi="Arial" w:cs="Arial"/>
                <w:szCs w:val="22"/>
                <w:lang w:val="es-CR"/>
              </w:rPr>
            </w:pPr>
            <w:r w:rsidRPr="00E123E4">
              <w:rPr>
                <w:rFonts w:ascii="Arial" w:hAnsi="Arial" w:cs="Arial"/>
                <w:szCs w:val="22"/>
                <w:lang w:val="es-CR"/>
              </w:rPr>
              <w:t>No. 5</w:t>
            </w:r>
          </w:p>
        </w:tc>
        <w:tc>
          <w:tcPr>
            <w:tcW w:w="1362" w:type="dxa"/>
          </w:tcPr>
          <w:p w:rsidRPr="00E123E4" w:rsidR="00E123E4" w:rsidP="00E123E4" w:rsidRDefault="00E123E4" w14:paraId="7670BD85" w14:textId="77777777">
            <w:pPr>
              <w:contextualSpacing/>
              <w:jc w:val="center"/>
              <w:rPr>
                <w:rFonts w:ascii="Arial" w:hAnsi="Arial" w:cs="Arial"/>
                <w:szCs w:val="22"/>
                <w:lang w:val="es-CR"/>
              </w:rPr>
            </w:pPr>
            <w:r w:rsidRPr="00E123E4">
              <w:rPr>
                <w:rFonts w:ascii="Arial" w:hAnsi="Arial" w:cs="Arial"/>
                <w:szCs w:val="22"/>
                <w:lang w:val="es-CR"/>
              </w:rPr>
              <w:t>10%</w:t>
            </w:r>
          </w:p>
        </w:tc>
        <w:tc>
          <w:tcPr>
            <w:tcW w:w="2116" w:type="dxa"/>
          </w:tcPr>
          <w:p w:rsidRPr="00E123E4" w:rsidR="00E123E4" w:rsidP="00E123E4" w:rsidRDefault="00E123E4" w14:paraId="5E23938C" w14:textId="77777777">
            <w:pPr>
              <w:contextualSpacing/>
              <w:rPr>
                <w:rFonts w:ascii="Arial" w:hAnsi="Arial" w:cs="Arial"/>
                <w:szCs w:val="22"/>
                <w:lang w:val="es-CR"/>
              </w:rPr>
            </w:pPr>
            <w:r w:rsidRPr="00E123E4">
              <w:rPr>
                <w:rFonts w:ascii="Arial" w:hAnsi="Arial" w:cs="Arial"/>
                <w:szCs w:val="22"/>
                <w:lang w:val="es-CR"/>
              </w:rPr>
              <w:t>Diciembre 2026</w:t>
            </w:r>
          </w:p>
        </w:tc>
        <w:tc>
          <w:tcPr>
            <w:tcW w:w="1381" w:type="dxa"/>
          </w:tcPr>
          <w:p w:rsidRPr="00E123E4" w:rsidR="00E123E4" w:rsidP="00E123E4" w:rsidRDefault="00E123E4" w14:paraId="15E041FF" w14:textId="77777777">
            <w:pPr>
              <w:contextualSpacing/>
              <w:rPr>
                <w:rFonts w:ascii="Arial" w:hAnsi="Arial" w:cs="Arial"/>
                <w:szCs w:val="22"/>
                <w:lang w:val="es-CR"/>
              </w:rPr>
            </w:pPr>
            <w:r w:rsidRPr="00E123E4">
              <w:rPr>
                <w:rFonts w:ascii="Arial" w:hAnsi="Arial" w:cs="Arial"/>
                <w:szCs w:val="22"/>
                <w:lang w:val="es-CR"/>
              </w:rPr>
              <w:t>Rechazada</w:t>
            </w:r>
          </w:p>
        </w:tc>
      </w:tr>
    </w:tbl>
    <w:p w:rsidRPr="00E123E4" w:rsidR="00E123E4" w:rsidP="00E123E4" w:rsidRDefault="00E123E4" w14:paraId="479E523B" w14:textId="77777777">
      <w:pPr>
        <w:rPr>
          <w:rFonts w:ascii="Arial" w:hAnsi="Arial" w:cs="Arial"/>
          <w:sz w:val="24"/>
          <w:lang w:val="es-CR"/>
        </w:rPr>
      </w:pPr>
    </w:p>
    <w:p w:rsidRPr="00E123E4" w:rsidR="00E123E4" w:rsidP="00E123E4" w:rsidRDefault="00E123E4" w14:paraId="1FC58F22" w14:textId="77777777">
      <w:pPr>
        <w:rPr>
          <w:rFonts w:ascii="Arial" w:hAnsi="Arial" w:cs="Arial"/>
          <w:sz w:val="24"/>
          <w:lang w:val="es-CR"/>
        </w:rPr>
      </w:pPr>
    </w:p>
    <w:p w:rsidRPr="00E123E4" w:rsidR="00E123E4" w:rsidP="00E123E4" w:rsidRDefault="00E123E4" w14:paraId="7910BBD4" w14:textId="77777777">
      <w:pPr>
        <w:numPr>
          <w:ilvl w:val="0"/>
          <w:numId w:val="15"/>
        </w:numPr>
        <w:contextualSpacing/>
        <w:rPr>
          <w:rFonts w:ascii="Arial" w:hAnsi="Arial" w:cs="Arial"/>
          <w:sz w:val="24"/>
          <w:lang w:val="es-CR"/>
        </w:rPr>
      </w:pPr>
      <w:r w:rsidRPr="00E123E4">
        <w:rPr>
          <w:rFonts w:ascii="Arial" w:hAnsi="Arial" w:cs="Arial"/>
          <w:sz w:val="24"/>
          <w:lang w:val="es-CR"/>
        </w:rPr>
        <w:t xml:space="preserve">Con respecto a la valoración de prórrogas del plazo de atención de las recomendaciones, la Contraloría General de la República resalta lo siguiente: </w:t>
      </w:r>
    </w:p>
    <w:p w:rsidRPr="00E123E4" w:rsidR="00E123E4" w:rsidP="00E123E4" w:rsidRDefault="00E123E4" w14:paraId="1202A1DD" w14:textId="77777777">
      <w:pPr>
        <w:ind w:left="360"/>
        <w:contextualSpacing/>
        <w:rPr>
          <w:rFonts w:ascii="Arial" w:hAnsi="Arial" w:cs="Arial"/>
          <w:sz w:val="24"/>
          <w:lang w:val="es-CR"/>
        </w:rPr>
      </w:pPr>
    </w:p>
    <w:p w:rsidRPr="00E123E4" w:rsidR="00E123E4" w:rsidP="00E123E4" w:rsidRDefault="00E123E4" w14:paraId="0A0859DB" w14:textId="77777777">
      <w:pPr>
        <w:numPr>
          <w:ilvl w:val="0"/>
          <w:numId w:val="18"/>
        </w:numPr>
        <w:contextualSpacing/>
        <w:rPr>
          <w:rFonts w:ascii="Arial" w:hAnsi="Arial" w:cs="Arial"/>
          <w:i/>
          <w:iCs/>
          <w:sz w:val="24"/>
          <w:lang w:val="es-CR"/>
        </w:rPr>
      </w:pPr>
      <w:r w:rsidRPr="00E123E4">
        <w:rPr>
          <w:rFonts w:ascii="Arial" w:hAnsi="Arial" w:cs="Arial"/>
          <w:i/>
          <w:iCs/>
          <w:sz w:val="24"/>
          <w:lang w:val="es-CR"/>
        </w:rPr>
        <w:t>El diseño establecido por el legislador en la LGCI [Ley General de Control Interno] respecto de la atención de las recomendaciones del auditor contenidas en informes de auditoría por parte de la administración activa; previene su cumplimiento de forma pronta e inmediata o al menos dentro de plazos razonables; y no regula al menos de forma directa una facultad del jerarca o los titulares subordinados para autoimponerse prórrogas, o bien prórrogas reiteradas de los plazos originalmente concedidos para el cumplimiento de las recomendaciones sin la intervención de la auditoría que emitió el informe, siendo más bien competencia de la auditoría valorar dicha procedencia bajo parámetros de lógica, razonabilidad y proporcionalidad del caso concreto y atendiendo las razones justificantes de la solicitud de la prórroga del plazo esgrimidas por la administración; en el correcto entendido que corresponde a la auditoría el seguimiento de las recomendaciones como actividad conformante de su proceso de auditoría, según Norma 202 y 206 de las Normas Generales de Auditoría para el Sector Público</w:t>
      </w:r>
      <w:r w:rsidRPr="00E123E4">
        <w:rPr>
          <w:rFonts w:ascii="Arial" w:hAnsi="Arial" w:cs="Arial"/>
          <w:i/>
          <w:iCs/>
          <w:sz w:val="24"/>
          <w:vertAlign w:val="superscript"/>
          <w:lang w:val="es-CR"/>
        </w:rPr>
        <w:footnoteReference w:id="5"/>
      </w:r>
      <w:r w:rsidRPr="00E123E4">
        <w:rPr>
          <w:rFonts w:ascii="Arial" w:hAnsi="Arial" w:cs="Arial"/>
          <w:i/>
          <w:iCs/>
          <w:sz w:val="24"/>
          <w:lang w:val="es-CR"/>
        </w:rPr>
        <w:t>.</w:t>
      </w:r>
    </w:p>
    <w:p w:rsidRPr="00E123E4" w:rsidR="00E123E4" w:rsidP="00E123E4" w:rsidRDefault="00E123E4" w14:paraId="7D6BCD5E" w14:textId="77777777">
      <w:pPr>
        <w:rPr>
          <w:rFonts w:ascii="Arial" w:hAnsi="Arial" w:cs="Arial"/>
          <w:sz w:val="24"/>
          <w:lang w:val="es-CR"/>
        </w:rPr>
      </w:pPr>
    </w:p>
    <w:p w:rsidRPr="00E123E4" w:rsidR="00E123E4" w:rsidP="00E123E4" w:rsidRDefault="00E123E4" w14:paraId="2BB292CD" w14:textId="77777777">
      <w:pPr>
        <w:numPr>
          <w:ilvl w:val="0"/>
          <w:numId w:val="18"/>
        </w:numPr>
        <w:contextualSpacing/>
        <w:rPr>
          <w:rFonts w:ascii="Arial" w:hAnsi="Arial" w:cs="Arial"/>
          <w:i/>
          <w:iCs/>
          <w:sz w:val="24"/>
          <w:lang w:val="es-CR"/>
        </w:rPr>
      </w:pPr>
      <w:r w:rsidRPr="00E123E4">
        <w:rPr>
          <w:rFonts w:ascii="Arial" w:hAnsi="Arial" w:cs="Arial"/>
          <w:i/>
          <w:iCs/>
          <w:sz w:val="24"/>
          <w:lang w:val="es-CR"/>
        </w:rPr>
        <w:t xml:space="preserve">Las prórrogas no constituyen un recurso ilimitado para la administración activa, sino una alternativa condicionada a la existencia de circunstancias debidamente justificadas. Su solicitud ante la auditoría interna - aún con todos sus elementos - no garantiza su aprobación, dado que la unidad debe </w:t>
      </w:r>
      <w:r w:rsidRPr="00E123E4">
        <w:rPr>
          <w:rFonts w:ascii="Arial" w:hAnsi="Arial" w:cs="Arial"/>
          <w:i/>
          <w:iCs/>
          <w:sz w:val="24"/>
          <w:lang w:val="es-CR"/>
        </w:rPr>
        <w:lastRenderedPageBreak/>
        <w:t>analizar los requisitos y riesgos que se pueden materializar para la Hacienda Pública, antes de emitir la resolución de aprobación o denegatoria</w:t>
      </w:r>
      <w:r w:rsidRPr="00E123E4">
        <w:rPr>
          <w:rFonts w:ascii="Arial" w:hAnsi="Arial" w:cs="Arial"/>
          <w:i/>
          <w:iCs/>
          <w:sz w:val="24"/>
          <w:vertAlign w:val="superscript"/>
          <w:lang w:val="es-CR"/>
        </w:rPr>
        <w:footnoteReference w:id="6"/>
      </w:r>
      <w:r w:rsidRPr="00E123E4">
        <w:rPr>
          <w:rFonts w:ascii="Arial" w:hAnsi="Arial" w:cs="Arial"/>
          <w:i/>
          <w:iCs/>
          <w:sz w:val="24"/>
          <w:lang w:val="es-CR"/>
        </w:rPr>
        <w:t>.</w:t>
      </w:r>
    </w:p>
    <w:p w:rsidRPr="00E123E4" w:rsidR="00E123E4" w:rsidP="00E123E4" w:rsidRDefault="00E123E4" w14:paraId="7CB67B7D" w14:textId="77777777">
      <w:pPr>
        <w:rPr>
          <w:rFonts w:ascii="Arial" w:hAnsi="Arial" w:cs="Arial"/>
          <w:sz w:val="24"/>
        </w:rPr>
      </w:pPr>
    </w:p>
    <w:p w:rsidRPr="00E123E4" w:rsidR="00E123E4" w:rsidP="00E123E4" w:rsidRDefault="00E123E4" w14:paraId="7FAC7360" w14:textId="77777777">
      <w:pPr>
        <w:rPr>
          <w:rFonts w:ascii="Arial" w:hAnsi="Arial" w:cs="Arial"/>
          <w:sz w:val="24"/>
        </w:rPr>
      </w:pPr>
      <w:r w:rsidRPr="00E123E4">
        <w:rPr>
          <w:rFonts w:ascii="Arial" w:hAnsi="Arial" w:cs="Arial"/>
          <w:sz w:val="24"/>
        </w:rPr>
        <w:t xml:space="preserve">La presente advertencia constituye un insumo para la toma de decisiones, mejor orientadas y apegadas al deber de probidad, al ordenamiento jurídico y técnico, a las sanas prácticas y al cumplimiento de los objetivos de control interno. </w:t>
      </w:r>
    </w:p>
    <w:p w:rsidRPr="00E123E4" w:rsidR="00E123E4" w:rsidP="00E123E4" w:rsidRDefault="00E123E4" w14:paraId="15D32B94" w14:textId="77777777">
      <w:pPr>
        <w:rPr>
          <w:rFonts w:ascii="Arial" w:hAnsi="Arial" w:cs="Arial"/>
          <w:sz w:val="24"/>
        </w:rPr>
      </w:pPr>
    </w:p>
    <w:p w:rsidRPr="00E123E4" w:rsidR="00E123E4" w:rsidP="00E123E4" w:rsidRDefault="00E123E4" w14:paraId="613B906D" w14:textId="77777777">
      <w:pPr>
        <w:numPr>
          <w:ilvl w:val="0"/>
          <w:numId w:val="13"/>
        </w:numPr>
        <w:ind w:right="50"/>
        <w:contextualSpacing/>
        <w:rPr>
          <w:rFonts w:ascii="Arial" w:hAnsi="Arial" w:cs="Arial"/>
          <w:b/>
          <w:bCs/>
          <w:sz w:val="24"/>
          <w:lang w:eastAsia="es-ES"/>
        </w:rPr>
      </w:pPr>
      <w:r w:rsidRPr="00E123E4">
        <w:rPr>
          <w:rFonts w:ascii="Arial" w:hAnsi="Arial" w:cs="Arial"/>
          <w:b/>
          <w:bCs/>
          <w:sz w:val="24"/>
          <w:lang w:eastAsia="es-ES"/>
        </w:rPr>
        <w:t>Solicitud</w:t>
      </w:r>
    </w:p>
    <w:p w:rsidRPr="00E123E4" w:rsidR="00E123E4" w:rsidP="00E123E4" w:rsidRDefault="00E123E4" w14:paraId="45208043" w14:textId="77777777">
      <w:pPr>
        <w:ind w:right="50"/>
        <w:rPr>
          <w:rFonts w:ascii="Arial" w:hAnsi="Arial" w:cs="Arial"/>
          <w:b/>
          <w:bCs/>
          <w:sz w:val="24"/>
          <w:lang w:eastAsia="es-ES"/>
        </w:rPr>
      </w:pPr>
    </w:p>
    <w:p w:rsidRPr="00E123E4" w:rsidR="00E123E4" w:rsidP="00E123E4" w:rsidRDefault="00E123E4" w14:paraId="0AE55BF1" w14:textId="77777777">
      <w:pPr>
        <w:ind w:right="50"/>
        <w:rPr>
          <w:rFonts w:ascii="Arial" w:hAnsi="Arial" w:cs="Arial"/>
          <w:sz w:val="24"/>
        </w:rPr>
      </w:pPr>
      <w:r w:rsidRPr="00E123E4">
        <w:rPr>
          <w:rFonts w:ascii="Arial" w:hAnsi="Arial" w:cs="Arial"/>
          <w:sz w:val="24"/>
          <w:lang w:eastAsia="es-ES"/>
        </w:rPr>
        <w:t xml:space="preserve">Informar en un </w:t>
      </w:r>
      <w:r w:rsidRPr="00E123E4">
        <w:rPr>
          <w:rFonts w:ascii="Arial" w:hAnsi="Arial" w:cs="Arial"/>
          <w:b/>
          <w:bCs/>
          <w:sz w:val="24"/>
          <w:lang w:eastAsia="es-ES"/>
        </w:rPr>
        <w:t>plazo de diez días hábiles</w:t>
      </w:r>
      <w:r w:rsidRPr="00E123E4">
        <w:rPr>
          <w:rFonts w:ascii="Arial" w:hAnsi="Arial" w:cs="Arial"/>
          <w:sz w:val="24"/>
          <w:lang w:eastAsia="es-ES"/>
        </w:rPr>
        <w:t xml:space="preserve"> a esta Auditoría Interna, </w:t>
      </w:r>
      <w:r w:rsidRPr="00E123E4">
        <w:rPr>
          <w:rFonts w:ascii="Arial" w:hAnsi="Arial" w:cs="Arial"/>
          <w:sz w:val="24"/>
          <w:lang w:val="es-CR" w:eastAsia="es-ES"/>
        </w:rPr>
        <w:t xml:space="preserve">las acciones prioritarias que se llevarán a cabo para atender las recomendaciones en un plazo perentorio.  </w:t>
      </w:r>
    </w:p>
    <w:p w:rsidRPr="00E123E4" w:rsidR="00E123E4" w:rsidP="00E123E4" w:rsidRDefault="00E123E4" w14:paraId="1C04D89C" w14:textId="77777777">
      <w:pPr>
        <w:ind w:right="50"/>
        <w:rPr>
          <w:rFonts w:ascii="Arial" w:hAnsi="Arial" w:cs="Arial"/>
          <w:sz w:val="24"/>
        </w:rPr>
      </w:pPr>
    </w:p>
    <w:tbl>
      <w:tblPr>
        <w:tblStyle w:val="Correspondencia11"/>
        <w:tblW w:w="0" w:type="auto"/>
        <w:jc w:val="center"/>
        <w:tblLook w:val="04A0" w:firstRow="1" w:lastRow="0" w:firstColumn="1" w:lastColumn="0" w:noHBand="0" w:noVBand="1"/>
      </w:tblPr>
      <w:tblGrid>
        <w:gridCol w:w="1292"/>
        <w:gridCol w:w="5546"/>
        <w:gridCol w:w="1773"/>
      </w:tblGrid>
      <w:tr w:rsidRPr="00E123E4" w:rsidR="00E123E4" w:rsidTr="00037A1B" w14:paraId="129EC763" w14:textId="77777777">
        <w:trPr>
          <w:cnfStyle w:val="100000000000" w:firstRow="1" w:lastRow="0" w:firstColumn="0" w:lastColumn="0" w:oddVBand="0" w:evenVBand="0" w:oddHBand="0" w:evenHBand="0" w:firstRowFirstColumn="0" w:firstRowLastColumn="0" w:lastRowFirstColumn="0" w:lastRowLastColumn="0"/>
          <w:trHeight w:val="435"/>
          <w:tblHeader/>
          <w:jc w:val="center"/>
        </w:trPr>
        <w:tc>
          <w:tcPr>
            <w:tcW w:w="1292" w:type="dxa"/>
            <w:shd w:val="clear" w:color="auto" w:fill="1C4063" w:themeFill="accent1" w:themeFillShade="80"/>
            <w:vAlign w:val="center"/>
          </w:tcPr>
          <w:p w:rsidRPr="00E123E4" w:rsidR="00E123E4" w:rsidP="00E123E4" w:rsidRDefault="00E123E4" w14:paraId="00F6AB06" w14:textId="77777777">
            <w:pPr>
              <w:jc w:val="center"/>
              <w:rPr>
                <w:rFonts w:ascii="Arial" w:hAnsi="Arial" w:cs="Arial"/>
                <w:sz w:val="24"/>
                <w:szCs w:val="22"/>
                <w:lang w:val="es-CR"/>
              </w:rPr>
            </w:pPr>
            <w:r w:rsidRPr="00E123E4">
              <w:rPr>
                <w:rFonts w:ascii="Arial" w:hAnsi="Arial" w:cs="Arial"/>
                <w:sz w:val="24"/>
                <w:szCs w:val="22"/>
                <w:lang w:val="es-CR"/>
              </w:rPr>
              <w:t>No. Anexo</w:t>
            </w:r>
          </w:p>
        </w:tc>
        <w:tc>
          <w:tcPr>
            <w:tcW w:w="5546" w:type="dxa"/>
            <w:shd w:val="clear" w:color="auto" w:fill="1C4063" w:themeFill="accent1" w:themeFillShade="80"/>
            <w:vAlign w:val="center"/>
          </w:tcPr>
          <w:p w:rsidRPr="00E123E4" w:rsidR="00E123E4" w:rsidP="00E123E4" w:rsidRDefault="00E123E4" w14:paraId="120BAA33" w14:textId="77777777">
            <w:pPr>
              <w:jc w:val="center"/>
              <w:rPr>
                <w:rFonts w:ascii="Arial" w:hAnsi="Arial" w:cs="Arial"/>
                <w:sz w:val="24"/>
                <w:szCs w:val="22"/>
                <w:lang w:val="es-CR"/>
              </w:rPr>
            </w:pPr>
            <w:r w:rsidRPr="00E123E4">
              <w:rPr>
                <w:rFonts w:ascii="Arial" w:hAnsi="Arial" w:cs="Arial"/>
                <w:sz w:val="24"/>
                <w:szCs w:val="22"/>
                <w:lang w:val="es-CR"/>
              </w:rPr>
              <w:t>Descripción</w:t>
            </w:r>
          </w:p>
        </w:tc>
        <w:tc>
          <w:tcPr>
            <w:tcW w:w="1773" w:type="dxa"/>
            <w:shd w:val="clear" w:color="auto" w:fill="1C4063" w:themeFill="accent1" w:themeFillShade="80"/>
            <w:vAlign w:val="center"/>
          </w:tcPr>
          <w:p w:rsidRPr="00E123E4" w:rsidR="00E123E4" w:rsidP="00E123E4" w:rsidRDefault="00E123E4" w14:paraId="648D0FAA" w14:textId="77777777">
            <w:pPr>
              <w:jc w:val="center"/>
              <w:rPr>
                <w:rFonts w:ascii="Arial" w:hAnsi="Arial" w:cs="Arial"/>
                <w:sz w:val="24"/>
                <w:szCs w:val="22"/>
                <w:lang w:val="es-CR"/>
              </w:rPr>
            </w:pPr>
            <w:r w:rsidRPr="00E123E4">
              <w:rPr>
                <w:rFonts w:ascii="Arial" w:hAnsi="Arial" w:cs="Arial"/>
                <w:sz w:val="24"/>
                <w:szCs w:val="22"/>
                <w:lang w:val="es-CR"/>
              </w:rPr>
              <w:t>Archivo</w:t>
            </w:r>
          </w:p>
        </w:tc>
      </w:tr>
      <w:tr w:rsidRPr="00E123E4" w:rsidR="00E123E4" w:rsidTr="00037A1B" w14:paraId="31718DC1" w14:textId="77777777">
        <w:trPr>
          <w:cnfStyle w:val="000000100000" w:firstRow="0" w:lastRow="0" w:firstColumn="0" w:lastColumn="0" w:oddVBand="0" w:evenVBand="0" w:oddHBand="1" w:evenHBand="0" w:firstRowFirstColumn="0" w:firstRowLastColumn="0" w:lastRowFirstColumn="0" w:lastRowLastColumn="0"/>
          <w:jc w:val="center"/>
        </w:trPr>
        <w:tc>
          <w:tcPr>
            <w:tcW w:w="1292" w:type="dxa"/>
            <w:vAlign w:val="center"/>
          </w:tcPr>
          <w:p w:rsidRPr="00E123E4" w:rsidR="00E123E4" w:rsidP="00E123E4" w:rsidRDefault="00E123E4" w14:paraId="7053DBDB" w14:textId="77777777">
            <w:pPr>
              <w:jc w:val="center"/>
              <w:rPr>
                <w:rFonts w:ascii="Arial" w:hAnsi="Arial" w:cs="Arial"/>
                <w:szCs w:val="22"/>
                <w:lang w:val="es-CR"/>
              </w:rPr>
            </w:pPr>
            <w:bookmarkStart w:name="anexo1" w:id="1"/>
            <w:r w:rsidRPr="00E123E4">
              <w:rPr>
                <w:rFonts w:ascii="Arial" w:hAnsi="Arial" w:cs="Arial"/>
                <w:szCs w:val="22"/>
                <w:lang w:val="es-CR"/>
              </w:rPr>
              <w:t>1</w:t>
            </w:r>
            <w:bookmarkEnd w:id="1"/>
          </w:p>
        </w:tc>
        <w:tc>
          <w:tcPr>
            <w:tcW w:w="5546" w:type="dxa"/>
            <w:vAlign w:val="center"/>
          </w:tcPr>
          <w:p w:rsidRPr="00E123E4" w:rsidR="00E123E4" w:rsidP="00E123E4" w:rsidRDefault="00E123E4" w14:paraId="5C2657EB" w14:textId="77777777">
            <w:pPr>
              <w:spacing w:after="120"/>
              <w:rPr>
                <w:rFonts w:ascii="Arial" w:hAnsi="Arial" w:cs="Arial"/>
                <w:szCs w:val="22"/>
                <w:lang w:val="es-CR"/>
              </w:rPr>
            </w:pPr>
            <w:r w:rsidRPr="00E123E4">
              <w:rPr>
                <w:rFonts w:ascii="Arial" w:hAnsi="Arial" w:cs="Arial"/>
                <w:szCs w:val="22"/>
                <w:lang w:val="es-CR"/>
              </w:rPr>
              <w:t>Oficio AI-0162-2021: Informe de auditoría de la regulación y fijación de comisiones máximas del sistema de tarjetas de pago</w:t>
            </w:r>
          </w:p>
        </w:tc>
        <w:bookmarkStart w:name="_MON_1828535213" w:id="2"/>
        <w:bookmarkEnd w:id="2"/>
        <w:tc>
          <w:tcPr>
            <w:tcW w:w="1773" w:type="dxa"/>
          </w:tcPr>
          <w:p w:rsidRPr="00E123E4" w:rsidR="00E123E4" w:rsidP="00E123E4" w:rsidRDefault="00E123E4" w14:paraId="4607B9D9" w14:textId="77777777">
            <w:pPr>
              <w:jc w:val="center"/>
              <w:rPr>
                <w:rFonts w:ascii="Arial" w:hAnsi="Arial" w:cs="Arial"/>
                <w:szCs w:val="22"/>
                <w:lang w:val="es-CR"/>
              </w:rPr>
            </w:pPr>
            <w:r w:rsidRPr="00E123E4">
              <w:object w:dxaOrig="1508" w:dyaOrig="983" w14:anchorId="5A9A7F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15pt" o:ole="" type="#_x0000_t75">
                  <v:imagedata o:title="" r:id="rId14"/>
                </v:shape>
                <o:OLEObject Type="Embed" ProgID="Word.Document.12" ShapeID="_x0000_i1025" DrawAspect="Icon" ObjectID="_1830078224" r:id="rId15">
                  <o:FieldCodes>\s</o:FieldCodes>
                </o:OLEObject>
              </w:object>
            </w:r>
          </w:p>
        </w:tc>
      </w:tr>
    </w:tbl>
    <w:p w:rsidRPr="00E123E4" w:rsidR="00E123E4" w:rsidP="00E123E4" w:rsidRDefault="00E123E4" w14:paraId="6C57E95F" w14:textId="77777777">
      <w:pPr>
        <w:widowControl w:val="0"/>
        <w:autoSpaceDE w:val="0"/>
        <w:autoSpaceDN w:val="0"/>
        <w:rPr>
          <w:rFonts w:ascii="Arial" w:hAnsi="Arial" w:cs="Arial"/>
          <w:sz w:val="24"/>
        </w:rPr>
      </w:pPr>
    </w:p>
    <w:p w:rsidRPr="00E123E4" w:rsidR="00E123E4" w:rsidP="00E123E4" w:rsidRDefault="00E123E4" w14:paraId="03A0CD90" w14:textId="77777777">
      <w:pPr>
        <w:widowControl w:val="0"/>
        <w:autoSpaceDE w:val="0"/>
        <w:autoSpaceDN w:val="0"/>
        <w:rPr>
          <w:rFonts w:ascii="Arial" w:hAnsi="Arial" w:cs="Arial"/>
          <w:sz w:val="24"/>
        </w:rPr>
      </w:pPr>
    </w:p>
    <w:p w:rsidRPr="00E123E4" w:rsidR="00E123E4" w:rsidP="00E123E4" w:rsidRDefault="00E123E4" w14:paraId="4AFABE17" w14:textId="77777777">
      <w:pPr>
        <w:rPr>
          <w:rFonts w:ascii="Arial" w:hAnsi="Arial" w:cs="Arial"/>
          <w:sz w:val="24"/>
          <w:lang w:val="pt-BR"/>
        </w:rPr>
      </w:pPr>
      <w:r w:rsidRPr="00E123E4">
        <w:rPr>
          <w:rFonts w:ascii="Arial" w:hAnsi="Arial" w:cs="Arial"/>
          <w:sz w:val="24"/>
          <w:lang w:val="pt-BR"/>
        </w:rPr>
        <w:t>Atentamente,</w:t>
      </w:r>
    </w:p>
    <w:p w:rsidRPr="00E123E4" w:rsidR="00E123E4" w:rsidP="00E123E4" w:rsidRDefault="00E123E4" w14:paraId="105B5BB7" w14:textId="77777777">
      <w:pPr>
        <w:rPr>
          <w:rFonts w:ascii="Arial" w:hAnsi="Arial" w:cs="Arial"/>
          <w:sz w:val="24"/>
          <w:lang w:val="pt-BR"/>
        </w:rPr>
      </w:pPr>
      <w:r w:rsidRPr="00E123E4">
        <w:rPr>
          <w:rFonts w:ascii="Arial" w:hAnsi="Arial" w:eastAsia="Calibri" w:cs="Arial"/>
          <w:noProof/>
          <w:color w:val="000000"/>
          <w:sz w:val="24"/>
          <w:lang w:val="es-CR" w:eastAsia="es-CR"/>
        </w:rPr>
        <w:drawing>
          <wp:anchor distT="0" distB="0" distL="114300" distR="114300" simplePos="0" relativeHeight="251659264" behindDoc="1" locked="0" layoutInCell="1" allowOverlap="1" wp14:editId="7D339777" wp14:anchorId="7C4BA631">
            <wp:simplePos x="0" y="0"/>
            <wp:positionH relativeFrom="margin">
              <wp:align>left</wp:align>
            </wp:positionH>
            <wp:positionV relativeFrom="paragraph">
              <wp:posOffset>103505</wp:posOffset>
            </wp:positionV>
            <wp:extent cx="2506980" cy="388620"/>
            <wp:effectExtent l="0" t="0" r="7620" b="0"/>
            <wp:wrapNone/>
            <wp:docPr id="8" name="Imagen 8"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con confianza me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123E4" w:rsidR="00E123E4" w:rsidP="00E123E4" w:rsidRDefault="00E123E4" w14:paraId="1BDA296A" w14:textId="77777777">
      <w:pPr>
        <w:rPr>
          <w:rFonts w:ascii="Arial" w:hAnsi="Arial" w:cs="Arial"/>
          <w:sz w:val="24"/>
          <w:lang w:val="pt-BR"/>
        </w:rPr>
      </w:pPr>
    </w:p>
    <w:p w:rsidRPr="00E123E4" w:rsidR="00E123E4" w:rsidP="00E123E4" w:rsidRDefault="00E123E4" w14:paraId="1B738840" w14:textId="77777777">
      <w:pPr>
        <w:rPr>
          <w:rFonts w:ascii="Arial" w:hAnsi="Arial" w:cs="Arial"/>
          <w:sz w:val="24"/>
          <w:lang w:val="pt-BR"/>
        </w:rPr>
      </w:pPr>
    </w:p>
    <w:p w:rsidRPr="00E123E4" w:rsidR="00E123E4" w:rsidP="00E123E4" w:rsidRDefault="00E123E4" w14:paraId="3A3EB054" w14:textId="77777777">
      <w:pPr>
        <w:rPr>
          <w:rFonts w:ascii="Arial" w:hAnsi="Arial" w:cs="Arial"/>
          <w:sz w:val="24"/>
          <w:lang w:val="pt-BR"/>
        </w:rPr>
      </w:pPr>
      <w:r w:rsidRPr="00E123E4">
        <w:rPr>
          <w:rFonts w:ascii="Arial" w:hAnsi="Arial" w:cs="Arial"/>
          <w:sz w:val="24"/>
          <w:lang w:val="pt-BR"/>
        </w:rPr>
        <w:t>Joaquín Vargas Guerrero</w:t>
      </w:r>
    </w:p>
    <w:p w:rsidRPr="00E123E4" w:rsidR="00E123E4" w:rsidP="00E123E4" w:rsidRDefault="00E123E4" w14:paraId="11FF5F62" w14:textId="77777777">
      <w:pPr>
        <w:rPr>
          <w:rFonts w:ascii="Arial" w:hAnsi="Arial" w:cs="Arial"/>
          <w:b/>
          <w:bCs/>
          <w:sz w:val="24"/>
          <w:lang w:val="pt-BR"/>
        </w:rPr>
      </w:pPr>
      <w:r w:rsidRPr="00E123E4">
        <w:rPr>
          <w:rFonts w:ascii="Arial" w:hAnsi="Arial" w:cs="Arial"/>
          <w:b/>
          <w:bCs/>
          <w:sz w:val="24"/>
          <w:lang w:val="pt-BR"/>
        </w:rPr>
        <w:t>Auditor Interno</w:t>
      </w:r>
    </w:p>
    <w:p w:rsidRPr="00E123E4" w:rsidR="00E123E4" w:rsidP="00E123E4" w:rsidRDefault="00E123E4" w14:paraId="0CFAF66A" w14:textId="77777777">
      <w:pPr>
        <w:rPr>
          <w:rFonts w:ascii="Arial" w:hAnsi="Arial" w:cs="Arial"/>
          <w:b/>
          <w:bCs/>
          <w:sz w:val="24"/>
          <w:lang w:val="pt-BR"/>
        </w:rPr>
      </w:pPr>
    </w:p>
    <w:p w:rsidRPr="00E123E4" w:rsidR="00E123E4" w:rsidP="00E123E4" w:rsidRDefault="00E123E4" w14:paraId="12CC02BF" w14:textId="77777777">
      <w:pPr>
        <w:rPr>
          <w:rFonts w:ascii="Arial" w:hAnsi="Arial" w:cs="Arial"/>
          <w:sz w:val="16"/>
          <w:szCs w:val="16"/>
          <w:lang w:val="es-CR"/>
        </w:rPr>
      </w:pPr>
      <w:r w:rsidRPr="00E123E4">
        <w:rPr>
          <w:rFonts w:ascii="Arial" w:hAnsi="Arial" w:cs="Arial"/>
          <w:sz w:val="16"/>
          <w:szCs w:val="16"/>
          <w:lang w:val="es-CR"/>
        </w:rPr>
        <w:t>Cc.</w:t>
      </w:r>
      <w:r w:rsidRPr="00E123E4">
        <w:rPr>
          <w:rFonts w:ascii="Arial" w:hAnsi="Arial" w:cs="Arial"/>
          <w:sz w:val="16"/>
          <w:szCs w:val="16"/>
          <w:lang w:val="es-CR"/>
        </w:rPr>
        <w:tab/>
        <w:t>División Sistemas de Pago</w:t>
      </w:r>
    </w:p>
    <w:p w:rsidRPr="00E123E4" w:rsidR="00E123E4" w:rsidP="00E123E4" w:rsidRDefault="00E123E4" w14:paraId="379222BE" w14:textId="77777777">
      <w:r w:rsidRPr="00E123E4">
        <w:rPr>
          <w:rFonts w:ascii="Arial" w:hAnsi="Arial" w:cs="Arial"/>
          <w:sz w:val="16"/>
          <w:szCs w:val="16"/>
          <w:lang w:val="es-CR"/>
        </w:rPr>
        <w:tab/>
        <w:t>División Transformación y Estrategia</w:t>
      </w:r>
    </w:p>
    <w:p w:rsidRPr="002307FE" w:rsidR="002307FE" w:rsidP="002307FE" w:rsidRDefault="002307FE" w14:paraId="0B1F5713" w14:textId="77777777"/>
    <w:p w:rsidRPr="002307FE" w:rsidR="002307FE" w:rsidP="002307FE" w:rsidRDefault="002307FE" w14:paraId="4C5C2248" w14:textId="77777777"/>
    <w:p w:rsidRPr="002307FE" w:rsidR="002307FE" w:rsidP="002307FE" w:rsidRDefault="002307FE" w14:paraId="059C0EB5" w14:textId="77777777"/>
    <w:p w:rsidRPr="002307FE" w:rsidR="002307FE" w:rsidP="002307FE" w:rsidRDefault="002307FE" w14:paraId="4EECF478" w14:textId="77777777"/>
    <w:sectPr w:rsidRPr="002307FE" w:rsid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5D89" w14:textId="77777777" w:rsidR="00E123E4" w:rsidRDefault="00E123E4" w:rsidP="00D43D57">
      <w:r>
        <w:separator/>
      </w:r>
    </w:p>
  </w:endnote>
  <w:endnote w:type="continuationSeparator" w:id="0">
    <w:p w14:paraId="6D87BDCC" w14:textId="77777777" w:rsidR="00E123E4" w:rsidRDefault="00E123E4"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123E4" w14:paraId="0AC3FB41" w14:textId="32F8A2C4">
    <w:pPr>
      <w:pStyle w:val="Piedepgina"/>
    </w:pPr>
    <w:r>
      <w:rPr>
        <w:noProof/>
      </w:rPr>
      <mc:AlternateContent>
        <mc:Choice Requires="wps">
          <w:drawing>
            <wp:anchor distT="0" distB="0" distL="0" distR="0" simplePos="0" relativeHeight="251698176" behindDoc="0" locked="0" layoutInCell="1" allowOverlap="1" wp14:editId="08239106" wp14:anchorId="07891718">
              <wp:simplePos x="635" y="635"/>
              <wp:positionH relativeFrom="page">
                <wp:align>center</wp:align>
              </wp:positionH>
              <wp:positionV relativeFrom="page">
                <wp:align>bottom</wp:align>
              </wp:positionV>
              <wp:extent cx="1083945" cy="345440"/>
              <wp:effectExtent l="0" t="0" r="1905" b="0"/>
              <wp:wrapNone/>
              <wp:docPr id="1860608139"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123E4" w:rsidR="00E123E4" w:rsidP="00E123E4" w:rsidRDefault="00E123E4" w14:paraId="7AE51DC3" w14:textId="42B3B59B">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7891718">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E123E4" w:rsidR="00E123E4" w:rsidP="00E123E4" w:rsidRDefault="00E123E4" w14:paraId="7AE51DC3" w14:textId="42B3B59B">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E123E4" w14:paraId="2EB3D4F8" w14:textId="4959061B">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68F670BD" wp14:anchorId="774C2733">
              <wp:simplePos x="1409700" y="9258300"/>
              <wp:positionH relativeFrom="page">
                <wp:align>center</wp:align>
              </wp:positionH>
              <wp:positionV relativeFrom="page">
                <wp:align>bottom</wp:align>
              </wp:positionV>
              <wp:extent cx="1083945" cy="345440"/>
              <wp:effectExtent l="0" t="0" r="1905" b="0"/>
              <wp:wrapNone/>
              <wp:docPr id="78909604"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123E4" w:rsidR="00E123E4" w:rsidP="00E123E4" w:rsidRDefault="00E123E4" w14:paraId="70A5F2A2" w14:textId="295A2092">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74C2733">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E123E4" w:rsidR="00E123E4" w:rsidP="00E123E4" w:rsidRDefault="00E123E4" w14:paraId="70A5F2A2" w14:textId="295A2092">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9479C8E8D19B4B68B6DD0F45674A2EC0"/>
        </w:placeholder>
        <w:text/>
      </w:sdtPr>
      <w:sdtEndPr/>
      <w:sdtContent>
        <w:r>
          <w:rPr>
            <w:color w:val="004990"/>
            <w:sz w:val="16"/>
            <w:szCs w:val="16"/>
          </w:rPr>
          <w:t>AI-0019-2026</w:t>
        </w:r>
      </w:sdtContent>
    </w:sdt>
  </w:p>
  <w:p w:rsidR="002307FE" w:rsidP="00FA54DF" w:rsidRDefault="002307FE" w14:paraId="43FE0A4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03DC497E"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4D6E488" wp14:anchorId="67662644">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4432933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3460F0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11BB50EB" w14:textId="77777777">
                          <w:pPr>
                            <w:rPr>
                              <w:color w:val="003A68"/>
                              <w:sz w:val="14"/>
                              <w:szCs w:val="14"/>
                            </w:rPr>
                          </w:pPr>
                          <w:r w:rsidRPr="00FA54DF">
                            <w:rPr>
                              <w:color w:val="003A68"/>
                              <w:sz w:val="14"/>
                              <w:szCs w:val="14"/>
                            </w:rPr>
                            <w:t>Apdo. 10058-1000</w:t>
                          </w:r>
                        </w:p>
                        <w:p w:rsidR="00D2424F" w:rsidP="00FA54DF" w:rsidRDefault="00D2424F" w14:paraId="5A1C04E3" w14:textId="77777777">
                          <w:pPr>
                            <w:rPr>
                              <w:color w:val="003A68"/>
                              <w:sz w:val="14"/>
                              <w:szCs w:val="14"/>
                            </w:rPr>
                          </w:pPr>
                          <w:r w:rsidRPr="00FA54DF">
                            <w:rPr>
                              <w:color w:val="003A68"/>
                              <w:sz w:val="14"/>
                              <w:szCs w:val="14"/>
                            </w:rPr>
                            <w:t>Av. 1 y Central, Calles 2 y 4</w:t>
                          </w:r>
                        </w:p>
                        <w:p w:rsidRPr="00FA54DF" w:rsidR="00D2424F" w:rsidP="00FA54DF" w:rsidRDefault="00D2424F" w14:paraId="7FF4572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67662644">
              <v:textbox>
                <w:txbxContent>
                  <w:p w:rsidRPr="00FA54DF" w:rsidR="00D2424F" w:rsidP="00FA54DF" w:rsidRDefault="00D2424F" w14:paraId="4432933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3460F0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11BB50EB" w14:textId="77777777">
                    <w:pPr>
                      <w:rPr>
                        <w:color w:val="003A68"/>
                        <w:sz w:val="14"/>
                        <w:szCs w:val="14"/>
                      </w:rPr>
                    </w:pPr>
                    <w:r w:rsidRPr="00FA54DF">
                      <w:rPr>
                        <w:color w:val="003A68"/>
                        <w:sz w:val="14"/>
                        <w:szCs w:val="14"/>
                      </w:rPr>
                      <w:t>Apdo. 10058-1000</w:t>
                    </w:r>
                  </w:p>
                  <w:p w:rsidR="00D2424F" w:rsidP="00FA54DF" w:rsidRDefault="00D2424F" w14:paraId="5A1C04E3" w14:textId="77777777">
                    <w:pPr>
                      <w:rPr>
                        <w:color w:val="003A68"/>
                        <w:sz w:val="14"/>
                        <w:szCs w:val="14"/>
                      </w:rPr>
                    </w:pPr>
                    <w:r w:rsidRPr="00FA54DF">
                      <w:rPr>
                        <w:color w:val="003A68"/>
                        <w:sz w:val="14"/>
                        <w:szCs w:val="14"/>
                      </w:rPr>
                      <w:t>Av. 1 y Central, Calles 2 y 4</w:t>
                    </w:r>
                  </w:p>
                  <w:p w:rsidRPr="00FA54DF" w:rsidR="00D2424F" w:rsidP="00FA54DF" w:rsidRDefault="00D2424F" w14:paraId="7FF4572C"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431A5F84" wp14:anchorId="530A097A">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E123E4" w14:paraId="3530EB5E" w14:textId="475A79A3">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8AB064C" wp14:anchorId="74F92D84">
              <wp:simplePos x="635" y="635"/>
              <wp:positionH relativeFrom="page">
                <wp:align>center</wp:align>
              </wp:positionH>
              <wp:positionV relativeFrom="page">
                <wp:align>bottom</wp:align>
              </wp:positionV>
              <wp:extent cx="1083945" cy="345440"/>
              <wp:effectExtent l="0" t="0" r="1905" b="0"/>
              <wp:wrapNone/>
              <wp:docPr id="799442599"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123E4" w:rsidR="00E123E4" w:rsidP="00E123E4" w:rsidRDefault="00E123E4" w14:paraId="7DAB9089" w14:textId="39D4C28B">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4F92D84">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E123E4" w:rsidR="00E123E4" w:rsidP="00E123E4" w:rsidRDefault="00E123E4" w14:paraId="7DAB9089" w14:textId="39D4C28B">
                    <w:pPr>
                      <w:rPr>
                        <w:rFonts w:ascii="Aptos" w:hAnsi="Aptos" w:eastAsia="Aptos" w:cs="Aptos"/>
                        <w:noProof/>
                        <w:color w:val="000000"/>
                        <w:sz w:val="20"/>
                        <w:szCs w:val="20"/>
                      </w:rPr>
                    </w:pPr>
                    <w:r w:rsidRPr="00E123E4">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6740DB7E" wp14:anchorId="0EAEE982">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1B7FA51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AED042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1C5FB41" w14:textId="77777777">
                          <w:pPr>
                            <w:rPr>
                              <w:color w:val="003A68"/>
                              <w:sz w:val="14"/>
                              <w:szCs w:val="14"/>
                            </w:rPr>
                          </w:pPr>
                          <w:r w:rsidRPr="00FA54DF">
                            <w:rPr>
                              <w:color w:val="003A68"/>
                              <w:sz w:val="14"/>
                              <w:szCs w:val="14"/>
                            </w:rPr>
                            <w:t>Apdo. 10058-1000</w:t>
                          </w:r>
                        </w:p>
                        <w:p w:rsidR="00B65442" w:rsidP="00B65442" w:rsidRDefault="00B65442" w14:paraId="6344BC56" w14:textId="77777777">
                          <w:pPr>
                            <w:rPr>
                              <w:color w:val="003A68"/>
                              <w:sz w:val="14"/>
                              <w:szCs w:val="14"/>
                            </w:rPr>
                          </w:pPr>
                          <w:r w:rsidRPr="00FA54DF">
                            <w:rPr>
                              <w:color w:val="003A68"/>
                              <w:sz w:val="14"/>
                              <w:szCs w:val="14"/>
                            </w:rPr>
                            <w:t>Av. 1 y Central, Calles 2 y 4</w:t>
                          </w:r>
                        </w:p>
                        <w:p w:rsidRPr="00FA54DF" w:rsidR="00D2424F" w:rsidRDefault="00D2424F" w14:paraId="5EFA1345"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EAEE982">
              <v:textbox>
                <w:txbxContent>
                  <w:p w:rsidRPr="00FA54DF" w:rsidR="00D2424F" w:rsidRDefault="00D2424F" w14:paraId="1B7FA51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AED042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1C5FB41" w14:textId="77777777">
                    <w:pPr>
                      <w:rPr>
                        <w:color w:val="003A68"/>
                        <w:sz w:val="14"/>
                        <w:szCs w:val="14"/>
                      </w:rPr>
                    </w:pPr>
                    <w:r w:rsidRPr="00FA54DF">
                      <w:rPr>
                        <w:color w:val="003A68"/>
                        <w:sz w:val="14"/>
                        <w:szCs w:val="14"/>
                      </w:rPr>
                      <w:t>Apdo. 10058-1000</w:t>
                    </w:r>
                  </w:p>
                  <w:p w:rsidR="00B65442" w:rsidP="00B65442" w:rsidRDefault="00B65442" w14:paraId="6344BC56" w14:textId="77777777">
                    <w:pPr>
                      <w:rPr>
                        <w:color w:val="003A68"/>
                        <w:sz w:val="14"/>
                        <w:szCs w:val="14"/>
                      </w:rPr>
                    </w:pPr>
                    <w:r w:rsidRPr="00FA54DF">
                      <w:rPr>
                        <w:color w:val="003A68"/>
                        <w:sz w:val="14"/>
                        <w:szCs w:val="14"/>
                      </w:rPr>
                      <w:t>Av. 1 y Central, Calles 2 y 4</w:t>
                    </w:r>
                  </w:p>
                  <w:p w:rsidRPr="00FA54DF" w:rsidR="00D2424F" w:rsidRDefault="00D2424F" w14:paraId="5EFA1345"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7EDADD6" wp14:anchorId="3E31649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30C2436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279F9CA2"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0611" w14:textId="77777777" w:rsidR="00E123E4" w:rsidRDefault="00E123E4" w:rsidP="00D43D57">
      <w:r>
        <w:separator/>
      </w:r>
    </w:p>
  </w:footnote>
  <w:footnote w:type="continuationSeparator" w:id="0">
    <w:p w14:paraId="362C3421" w14:textId="77777777" w:rsidR="00E123E4" w:rsidRDefault="00E123E4" w:rsidP="00D43D57">
      <w:r>
        <w:continuationSeparator/>
      </w:r>
    </w:p>
  </w:footnote>
  <w:footnote w:id="1">
    <w:p w14:paraId="3F469F33" w14:textId="77777777" w:rsidR="00E123E4" w:rsidRPr="00255459" w:rsidRDefault="00E123E4" w:rsidP="00E123E4">
      <w:pPr>
        <w:pStyle w:val="Encabezado"/>
        <w:ind w:left="142" w:hanging="142"/>
        <w:rPr>
          <w:rFonts w:ascii="Arial" w:hAnsi="Arial" w:cs="Arial"/>
          <w:sz w:val="16"/>
          <w:szCs w:val="16"/>
          <w:lang w:val="es-CR"/>
        </w:rPr>
      </w:pPr>
      <w:r w:rsidRPr="00255459">
        <w:rPr>
          <w:rStyle w:val="Refdenotaalpie"/>
          <w:rFonts w:ascii="Arial" w:hAnsi="Arial" w:cs="Arial"/>
          <w:sz w:val="16"/>
          <w:szCs w:val="16"/>
        </w:rPr>
        <w:footnoteRef/>
      </w:r>
      <w:r w:rsidRPr="00255459">
        <w:rPr>
          <w:rFonts w:ascii="Arial" w:hAnsi="Arial" w:cs="Arial"/>
          <w:sz w:val="16"/>
          <w:szCs w:val="16"/>
        </w:rPr>
        <w:t xml:space="preserve"> Norma 2.11 Seguimiento de acciones sobre resultados. “El auditor interno debe establecer, mantener y velar porque se aplique un proceso de seguimiento de las recomendaciones, observaciones y demás resultados derivados de los servicios de la auditoría interna, para asegurarse de que las acciones establecidas por las instancias competentes se hayan implementado eficazmente y dentro de los plazos definidos por la administración. Ese proceso también debe contemplar los resultados conocidos por la auditoría interna, de estudios de auditores externos, la Contraloría General de la República y demás instituciones de control y fiscalización que correspondan. (…)”</w:t>
      </w:r>
    </w:p>
  </w:footnote>
  <w:footnote w:id="2">
    <w:p w14:paraId="135641D2" w14:textId="77777777" w:rsidR="00E123E4" w:rsidRPr="00F43F88" w:rsidRDefault="00E123E4" w:rsidP="00E123E4">
      <w:pPr>
        <w:pStyle w:val="Textonotapie"/>
        <w:rPr>
          <w:rFonts w:ascii="Arial" w:eastAsia="Calibri" w:hAnsi="Arial" w:cs="Arial"/>
          <w:color w:val="000000"/>
          <w:sz w:val="16"/>
          <w:szCs w:val="16"/>
          <w:lang w:eastAsia="es-CR"/>
        </w:rPr>
      </w:pPr>
      <w:r>
        <w:rPr>
          <w:rStyle w:val="Refdenotaalpie"/>
        </w:rPr>
        <w:footnoteRef/>
      </w:r>
      <w:r>
        <w:t xml:space="preserve"> </w:t>
      </w:r>
      <w:r w:rsidRPr="00F43F88">
        <w:rPr>
          <w:rFonts w:ascii="Arial" w:eastAsia="Calibri" w:hAnsi="Arial" w:cs="Arial"/>
          <w:color w:val="000000"/>
          <w:sz w:val="16"/>
          <w:szCs w:val="16"/>
          <w:lang w:eastAsia="es-CR"/>
        </w:rPr>
        <w:t>Políticas Específicas para la Gestión de Riesgos no Financieros</w:t>
      </w:r>
      <w:r>
        <w:rPr>
          <w:rFonts w:ascii="Arial" w:eastAsia="Calibri" w:hAnsi="Arial" w:cs="Arial"/>
          <w:color w:val="000000"/>
          <w:sz w:val="16"/>
          <w:szCs w:val="16"/>
          <w:lang w:eastAsia="es-CR"/>
        </w:rPr>
        <w:t xml:space="preserve">, aprobadas por el Comité de Riesgos y Cumplimiento del Banco Central de Costa Rica. </w:t>
      </w:r>
    </w:p>
  </w:footnote>
  <w:footnote w:id="3">
    <w:p w14:paraId="6F27C40B" w14:textId="77777777" w:rsidR="00E123E4" w:rsidRPr="0024648F" w:rsidRDefault="00E123E4" w:rsidP="00E123E4">
      <w:pPr>
        <w:pStyle w:val="Textonotapie"/>
        <w:rPr>
          <w:rFonts w:ascii="Arial" w:hAnsi="Arial" w:cs="Arial"/>
          <w:sz w:val="16"/>
          <w:szCs w:val="16"/>
          <w:lang w:val="es-CR"/>
        </w:rPr>
      </w:pPr>
      <w:r w:rsidRPr="00416EA5">
        <w:rPr>
          <w:rStyle w:val="Refdenotaalpie"/>
          <w:sz w:val="16"/>
          <w:szCs w:val="16"/>
        </w:rPr>
        <w:footnoteRef/>
      </w:r>
      <w:r w:rsidRPr="00416EA5">
        <w:rPr>
          <w:sz w:val="16"/>
          <w:szCs w:val="16"/>
        </w:rPr>
        <w:t xml:space="preserve"> </w:t>
      </w:r>
      <w:r w:rsidRPr="00416EA5">
        <w:rPr>
          <w:rFonts w:ascii="Arial" w:hAnsi="Arial" w:cs="Arial"/>
          <w:sz w:val="16"/>
          <w:szCs w:val="16"/>
        </w:rPr>
        <w:t>Según lo informado a la Gerencia mediante oficio AI-0194-2024 del 24-10-2024, a partir de esa fecha las solicitudes de</w:t>
      </w:r>
      <w:r w:rsidRPr="0024648F">
        <w:rPr>
          <w:rFonts w:ascii="Arial" w:hAnsi="Arial" w:cs="Arial"/>
          <w:sz w:val="16"/>
          <w:szCs w:val="16"/>
        </w:rPr>
        <w:t xml:space="preserve"> prórroga de recomendaciones son valoradas por la Auditoría Interna, con base en la información aportada por la Administración (formulario de ampliación de plazo de recomendaciones).</w:t>
      </w:r>
    </w:p>
  </w:footnote>
  <w:footnote w:id="4">
    <w:p w14:paraId="6398C105" w14:textId="77777777" w:rsidR="00E123E4" w:rsidRPr="00416EA5" w:rsidRDefault="00E123E4" w:rsidP="00E123E4">
      <w:pPr>
        <w:pStyle w:val="Textonotapie"/>
        <w:rPr>
          <w:rFonts w:ascii="Arial" w:hAnsi="Arial" w:cs="Arial"/>
          <w:sz w:val="16"/>
          <w:szCs w:val="16"/>
          <w:lang w:val="es-CR"/>
        </w:rPr>
      </w:pPr>
      <w:r w:rsidRPr="00416EA5">
        <w:rPr>
          <w:rStyle w:val="Refdenotaalpie"/>
          <w:rFonts w:ascii="Arial" w:hAnsi="Arial" w:cs="Arial"/>
          <w:sz w:val="16"/>
          <w:szCs w:val="16"/>
        </w:rPr>
        <w:footnoteRef/>
      </w:r>
      <w:r w:rsidRPr="00416EA5">
        <w:rPr>
          <w:rFonts w:ascii="Arial" w:hAnsi="Arial" w:cs="Arial"/>
          <w:sz w:val="16"/>
          <w:szCs w:val="16"/>
        </w:rPr>
        <w:t xml:space="preserve"> </w:t>
      </w:r>
      <w:r w:rsidRPr="00416EA5">
        <w:rPr>
          <w:rFonts w:ascii="Arial" w:hAnsi="Arial" w:cs="Arial"/>
          <w:sz w:val="16"/>
          <w:szCs w:val="16"/>
          <w:lang w:val="es-CR"/>
        </w:rPr>
        <w:t xml:space="preserve">Los formularios de solicitud de ampliación están disponibles en el legajo de cada recomendación en el sistema de auditoría. </w:t>
      </w:r>
    </w:p>
  </w:footnote>
  <w:footnote w:id="5">
    <w:p w14:paraId="7631D3BA" w14:textId="77777777" w:rsidR="00E123E4" w:rsidRPr="0024648F" w:rsidRDefault="00E123E4" w:rsidP="00E123E4">
      <w:pPr>
        <w:pStyle w:val="Textonotapie"/>
        <w:rPr>
          <w:rFonts w:ascii="Arial" w:hAnsi="Arial" w:cs="Arial"/>
          <w:sz w:val="16"/>
          <w:szCs w:val="16"/>
          <w:lang w:val="es-CR"/>
        </w:rPr>
      </w:pPr>
      <w:r w:rsidRPr="0024648F">
        <w:rPr>
          <w:rStyle w:val="Refdenotaalpie"/>
          <w:rFonts w:ascii="Arial" w:hAnsi="Arial" w:cs="Arial"/>
          <w:sz w:val="16"/>
          <w:szCs w:val="16"/>
        </w:rPr>
        <w:footnoteRef/>
      </w:r>
      <w:r w:rsidRPr="0024648F">
        <w:rPr>
          <w:rFonts w:ascii="Arial" w:hAnsi="Arial" w:cs="Arial"/>
          <w:sz w:val="16"/>
          <w:szCs w:val="16"/>
        </w:rPr>
        <w:t xml:space="preserve"> Oficio DFOE-GOB-0227 del 08-06-2023. </w:t>
      </w:r>
    </w:p>
  </w:footnote>
  <w:footnote w:id="6">
    <w:p w14:paraId="70946A86" w14:textId="77777777" w:rsidR="00E123E4" w:rsidRPr="0024648F" w:rsidRDefault="00E123E4" w:rsidP="00E123E4">
      <w:pPr>
        <w:pStyle w:val="Textonotapie"/>
        <w:rPr>
          <w:rFonts w:ascii="Arial" w:hAnsi="Arial" w:cs="Arial"/>
          <w:sz w:val="16"/>
          <w:szCs w:val="16"/>
          <w:lang w:val="es-CR"/>
        </w:rPr>
      </w:pPr>
      <w:r>
        <w:rPr>
          <w:rStyle w:val="Refdenotaalpie"/>
        </w:rPr>
        <w:footnoteRef/>
      </w:r>
      <w:r>
        <w:t xml:space="preserve"> </w:t>
      </w:r>
      <w:r w:rsidRPr="0024648F">
        <w:rPr>
          <w:rFonts w:ascii="Arial" w:hAnsi="Arial" w:cs="Arial"/>
          <w:sz w:val="16"/>
          <w:szCs w:val="16"/>
        </w:rPr>
        <w:t xml:space="preserve">Oficio DFOE-SEM-GT-00001-2025 del 20-11-2025. Guía Técnica - Buenas prácticas para el seguimiento efectivo de recomendaciones emitidas en informes de auditoría.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2ABAFD8D"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5E00EE75" w14:textId="77777777">
    <w:pPr>
      <w:pStyle w:val="Encabezado"/>
      <w:jc w:val="center"/>
    </w:pPr>
    <w:r>
      <w:rPr>
        <w:noProof/>
        <w:lang w:val="es-CR" w:eastAsia="es-CR"/>
      </w:rPr>
      <w:drawing>
        <wp:anchor distT="0" distB="0" distL="114300" distR="114300" simplePos="0" relativeHeight="251696128" behindDoc="1" locked="0" layoutInCell="1" allowOverlap="1" wp14:editId="3D2EA503" wp14:anchorId="24005E4E">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B25777E" wp14:anchorId="417D334A">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4490D18E" w14:textId="77777777">
    <w:pPr>
      <w:pStyle w:val="Encabezado"/>
      <w:jc w:val="center"/>
    </w:pPr>
    <w:r>
      <w:rPr>
        <w:noProof/>
        <w:lang w:val="es-CR" w:eastAsia="es-CR"/>
      </w:rPr>
      <w:drawing>
        <wp:anchor distT="0" distB="0" distL="114300" distR="114300" simplePos="0" relativeHeight="251694080" behindDoc="1" locked="0" layoutInCell="1" allowOverlap="1" wp14:editId="5841A037" wp14:anchorId="65CF2EC1">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5EE3689" wp14:anchorId="68AC52B7">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23CA40CF"/>
    <w:multiLevelType w:val="hybridMultilevel"/>
    <w:tmpl w:val="E62A87C0"/>
    <w:lvl w:ilvl="0" w:tplc="725CA2BC">
      <w:start w:val="1"/>
      <w:numFmt w:val="bullet"/>
      <w:lvlText w:val="-"/>
      <w:lvlJc w:val="left"/>
      <w:pPr>
        <w:ind w:left="1080" w:hanging="360"/>
      </w:pPr>
      <w:rPr>
        <w:rFonts w:ascii="Courier New" w:hAnsi="Courier New"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55450D1B"/>
    <w:multiLevelType w:val="hybridMultilevel"/>
    <w:tmpl w:val="E8746A04"/>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67C12201"/>
    <w:multiLevelType w:val="hybridMultilevel"/>
    <w:tmpl w:val="A4CA7B48"/>
    <w:lvl w:ilvl="0" w:tplc="725CA2BC">
      <w:start w:val="1"/>
      <w:numFmt w:val="bullet"/>
      <w:lvlText w:val="-"/>
      <w:lvlJc w:val="left"/>
      <w:pPr>
        <w:ind w:left="720" w:hanging="360"/>
      </w:pPr>
      <w:rPr>
        <w:rFonts w:ascii="Courier New" w:hAnsi="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6724C93"/>
    <w:multiLevelType w:val="hybridMultilevel"/>
    <w:tmpl w:val="2F3803A2"/>
    <w:lvl w:ilvl="0" w:tplc="140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E17D5D"/>
    <w:multiLevelType w:val="hybridMultilevel"/>
    <w:tmpl w:val="5E5AF8D4"/>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7" w15:restartNumberingAfterBreak="0">
    <w:nsid w:val="7D102FEC"/>
    <w:multiLevelType w:val="hybridMultilevel"/>
    <w:tmpl w:val="5A8AE36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769786404">
    <w:abstractNumId w:val="10"/>
  </w:num>
  <w:num w:numId="2" w16cid:durableId="1514489386">
    <w:abstractNumId w:val="12"/>
  </w:num>
  <w:num w:numId="3" w16cid:durableId="240068182">
    <w:abstractNumId w:val="9"/>
  </w:num>
  <w:num w:numId="4" w16cid:durableId="773399784">
    <w:abstractNumId w:val="7"/>
  </w:num>
  <w:num w:numId="5" w16cid:durableId="522548258">
    <w:abstractNumId w:val="6"/>
  </w:num>
  <w:num w:numId="6" w16cid:durableId="1081946774">
    <w:abstractNumId w:val="5"/>
  </w:num>
  <w:num w:numId="7" w16cid:durableId="77335142">
    <w:abstractNumId w:val="4"/>
  </w:num>
  <w:num w:numId="8" w16cid:durableId="550969258">
    <w:abstractNumId w:val="8"/>
  </w:num>
  <w:num w:numId="9" w16cid:durableId="2013793305">
    <w:abstractNumId w:val="3"/>
  </w:num>
  <w:num w:numId="10" w16cid:durableId="635377045">
    <w:abstractNumId w:val="2"/>
  </w:num>
  <w:num w:numId="11" w16cid:durableId="1451968827">
    <w:abstractNumId w:val="1"/>
  </w:num>
  <w:num w:numId="12" w16cid:durableId="684749858">
    <w:abstractNumId w:val="0"/>
  </w:num>
  <w:num w:numId="13" w16cid:durableId="202134956">
    <w:abstractNumId w:val="17"/>
  </w:num>
  <w:num w:numId="14" w16cid:durableId="810513538">
    <w:abstractNumId w:val="16"/>
  </w:num>
  <w:num w:numId="15" w16cid:durableId="1453787114">
    <w:abstractNumId w:val="13"/>
  </w:num>
  <w:num w:numId="16" w16cid:durableId="1695961977">
    <w:abstractNumId w:val="15"/>
  </w:num>
  <w:num w:numId="17" w16cid:durableId="968896198">
    <w:abstractNumId w:val="11"/>
  </w:num>
  <w:num w:numId="18" w16cid:durableId="316034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E4"/>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327B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123E4"/>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E1073"/>
  <w15:docId w15:val="{C57E574C-FDD5-4BA3-8703-0F58958C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table" w:customStyle="1" w:styleId="Correspondencia11">
    <w:name w:val="Correspondencia11"/>
    <w:basedOn w:val="Tablanormal"/>
    <w:uiPriority w:val="99"/>
    <w:qFormat/>
    <w:locked/>
    <w:rsid w:val="00E123E4"/>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notapie">
    <w:name w:val="footnote text"/>
    <w:basedOn w:val="Normal"/>
    <w:link w:val="TextonotapieCar"/>
    <w:uiPriority w:val="99"/>
    <w:semiHidden/>
    <w:unhideWhenUsed/>
    <w:locked/>
    <w:rsid w:val="00E123E4"/>
    <w:rPr>
      <w:sz w:val="20"/>
      <w:szCs w:val="20"/>
    </w:rPr>
  </w:style>
  <w:style w:type="character" w:customStyle="1" w:styleId="TextonotapieCar">
    <w:name w:val="Texto nota pie Car"/>
    <w:basedOn w:val="Fuentedeprrafopredeter"/>
    <w:link w:val="Textonotapie"/>
    <w:uiPriority w:val="99"/>
    <w:semiHidden/>
    <w:rsid w:val="00E123E4"/>
    <w:rPr>
      <w:rFonts w:eastAsia="Times New Roman"/>
      <w:lang w:val="es-ES" w:eastAsia="en-US"/>
    </w:rPr>
  </w:style>
  <w:style w:type="character" w:styleId="Refdenotaalpie">
    <w:name w:val="footnote reference"/>
    <w:basedOn w:val="Fuentedeprrafopredeter"/>
    <w:unhideWhenUsed/>
    <w:locked/>
    <w:rsid w:val="00E12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package" Target="embeddings/Microsoft_Word_Document.docx"/><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79C8E8D19B4B68B6DD0F45674A2EC0"/>
        <w:category>
          <w:name w:val="General"/>
          <w:gallery w:val="placeholder"/>
        </w:category>
        <w:types>
          <w:type w:val="bbPlcHdr"/>
        </w:types>
        <w:behaviors>
          <w:behavior w:val="content"/>
        </w:behaviors>
        <w:guid w:val="{04A2CFB7-03DB-415E-87AE-81F9B2177A2F}"/>
      </w:docPartPr>
      <w:docPartBody>
        <w:p w:rsidR="00541EAE" w:rsidRDefault="00541EAE">
          <w:pPr>
            <w:pStyle w:val="9479C8E8D19B4B68B6DD0F45674A2EC0"/>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AE"/>
    <w:rsid w:val="005327B4"/>
    <w:rsid w:val="00541EA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479C8E8D19B4B68B6DD0F45674A2EC0">
    <w:name w:val="9479C8E8D19B4B68B6DD0F45674A2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7lqaUTcBiLdqx09yP2fjn5pHV2QLEsLwY0a9GIOwajY=</DigestValue>
    </Reference>
    <Reference Type="http://uri.etsi.org/01903#SignedProperties" URI="#idSignedProperties">
      <Transforms>
        <Transform Algorithm="http://www.w3.org/TR/2001/REC-xml-c14n-20010315"/>
      </Transforms>
      <DigestMethod Algorithm="http://www.w3.org/2001/04/xmlenc#sha256"/>
      <DigestValue>U2o8aaQgaDgfLxh3/rd3/wTKD9XVXVifrAGa9QTvHRY=</DigestValue>
    </Reference>
  </SignedInfo>
  <SignatureValue>DfJBSKdS0teMxF1WGzilRWAQDchnEJZJe7Y2M26cnohr8FkPe9ZgqVYhXlUYJIq1+RlY8SsXnKVrGKpP0fd5RAnhsOPD+YkmgpeKK/eN9/s+K+Qs7iTCudQsNUEFl6k/Io9kI3EgJhukvFNlqAdbLgkPGd3aqMdY2tpiG7DBDe5YkSJFdAFvU0erRmArKFjNc9Jvs6hoAcQxXi16jIOyZXR+oFEvjmVIKS7KvALnAbd5RLWp4t89Jjl1WmjEM937LkACVMasw2UIdKyCsj7GUbzjaji8VNgwf2HOdVr7gnMKQTA7gKOUS4O3ZoAFllF+2Crl8nKLQ26BGE6aW35KC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qM2zHoQ2BGGhJupAT7TvxujTTGlBlCDlr7FNbHg8G+o=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SJbK6yCGbs1vd2UjNhytdvlux81M2PEZ2j+mcvdTd6I=</DigestValue>
      </Reference>
      <Reference URI="/word/numbering.xml?ContentType=application/vnd.openxmlformats-officedocument.wordprocessingml.numbering+xml">
        <DigestMethod Algorithm="http://www.w3.org/2001/04/xmlenc#sha256"/>
        <DigestValue>wvXNS1qE/Lj7trjxOtSMRE+zQCX+8ReR2wxq1AO4nEQ=</DigestValue>
      </Reference>
      <Reference URI="/word/endnotes.xml?ContentType=application/vnd.openxmlformats-officedocument.wordprocessingml.endnotes+xml">
        <DigestMethod Algorithm="http://www.w3.org/2001/04/xmlenc#sha256"/>
        <DigestValue>Yruez7rEiZpK2Lh/8OVH5LnfVMAgdIA2BfC3Jxlw5Ek=</DigestValue>
      </Reference>
      <Reference URI="/word/header2.xml?ContentType=application/vnd.openxmlformats-officedocument.wordprocessingml.header+xml">
        <DigestMethod Algorithm="http://www.w3.org/2001/04/xmlenc#sha256"/>
        <DigestValue>PyQnU+2DpkdqnkW4GE+4ddulq54REt/rX2vvFOUPBRk=</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oCsaEex6VzFI/5XcyTDN61ONWJiMklM0TPD3ugbUAjI=</DigestValue>
      </Reference>
      <Reference URI="/word/footnotes.xml?ContentType=application/vnd.openxmlformats-officedocument.wordprocessingml.footnotes+xml">
        <DigestMethod Algorithm="http://www.w3.org/2001/04/xmlenc#sha256"/>
        <DigestValue>DRfhDciieYd6WHKs5bsOrGLIxjngrR4T4LqrLNsYzt8=</DigestValue>
      </Reference>
      <Reference URI="/word/header1.xml?ContentType=application/vnd.openxmlformats-officedocument.wordprocessingml.header+xml">
        <DigestMethod Algorithm="http://www.w3.org/2001/04/xmlenc#sha256"/>
        <DigestValue>ELtYoBOBuLU0O4ndGXX9aSdu+buwX8WPaS4QSuF9KtA=</DigestValue>
      </Reference>
      <Reference URI="/word/theme/theme1.xml?ContentType=application/vnd.openxmlformats-officedocument.theme+xml">
        <DigestMethod Algorithm="http://www.w3.org/2001/04/xmlenc#sha256"/>
        <DigestValue>9TZ4mZI8zGI3VflhVf7jIYdeWBzUvylr4fmB98sbr7g=</DigestValue>
      </Reference>
      <Reference URI="/word/media/image2.jpeg?ContentType=image/jpeg">
        <DigestMethod Algorithm="http://www.w3.org/2001/04/xmlenc#sha256"/>
        <DigestValue>i5L6dPa91f4vprUe/qDpQrrKZLI1MiYL71asHHkAjWs=</DigestValue>
      </Reference>
      <Reference URI="/word/footer2.xml?ContentType=application/vnd.openxmlformats-officedocument.wordprocessingml.footer+xml">
        <DigestMethod Algorithm="http://www.w3.org/2001/04/xmlenc#sha256"/>
        <DigestValue>sarNkMaJ7Boa6QS/oAHcH5bZB97XUN7nmbH1Lh5ZwpU=</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2lGljCYY9TvqVEGzrVF3e1ylnouwWLIXAmwGZHk2uEQ=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RObSZt2GvG5ny6ax66LzoyYw+e6Ctywozhl6qcUEgZw=</DigestValue>
      </Reference>
      <Reference URI="/word/glossary/styles.xml?ContentType=application/vnd.openxmlformats-officedocument.wordprocessingml.styles+xml">
        <DigestMethod Algorithm="http://www.w3.org/2001/04/xmlenc#sha256"/>
        <DigestValue>AYGjcUrug77mccgzewwLng4Hr3thMAA/MG8lIxuAF8s=</DigestValue>
      </Reference>
      <Reference URI="/word/glossary/fontTable.xml?ContentType=application/vnd.openxmlformats-officedocument.wordprocessingml.fontTable+xml">
        <DigestMethod Algorithm="http://www.w3.org/2001/04/xmlenc#sha256"/>
        <DigestValue>YFDOWmWNqLwinq4A5WJSCYkJlBkXc2f3pexaoKOMkBM=</DigestValue>
      </Reference>
      <Reference URI="/word/embeddings/Microsoft_Word_Document.docx?ContentType=application/vnd.openxmlformats-officedocument.wordprocessingml.document">
        <DigestMethod Algorithm="http://www.w3.org/2001/04/xmlenc#sha256"/>
        <DigestValue>AMuOq4UpL4795+b6YGvTt8hM11TYg6Jzgfo9i7prxX4=</DigestValue>
      </Reference>
      <Reference URI="/word/fontTable.xml?ContentType=application/vnd.openxmlformats-officedocument.wordprocessingml.fontTable+xml">
        <DigestMethod Algorithm="http://www.w3.org/2001/04/xmlenc#sha256"/>
        <DigestValue>yD3BDq7Nw68ZrE6fnbbd0TYWmOkzHkuUPpAPGE5M6GQ=</DigestValue>
      </Reference>
      <Reference URI="/word/settings.xml?ContentType=application/vnd.openxmlformats-officedocument.wordprocessingml.settings+xml">
        <DigestMethod Algorithm="http://www.w3.org/2001/04/xmlenc#sha256"/>
        <DigestValue>pitNnkc1ZmT8Dnhh/p0VhXd5CYUysMALJ3q/SZ18+Go=</DigestValue>
      </Reference>
      <Reference URI="/word/footer1.xml?ContentType=application/vnd.openxmlformats-officedocument.wordprocessingml.footer+xml">
        <DigestMethod Algorithm="http://www.w3.org/2001/04/xmlenc#sha256"/>
        <DigestValue>O/mnwzYKXnVZwbwkblPHY8AVh9lwgKdEtI0f0zjqR+g=</DigestValue>
      </Reference>
      <Reference URI="/word/styles.xml?ContentType=application/vnd.openxmlformats-officedocument.wordprocessingml.styles+xml">
        <DigestMethod Algorithm="http://www.w3.org/2001/04/xmlenc#sha256"/>
        <DigestValue>3RxZtvaywhvZLTtlnW6r6HAGpjtZhIGOA8Cw/rwuCvM=</DigestValue>
      </Reference>
      <Reference URI="/word/media/image1.emf?ContentType=image/x-emf">
        <DigestMethod Algorithm="http://www.w3.org/2001/04/xmlenc#sha256"/>
        <DigestValue>7aqvrKiWaPcJ+/ePFe0SWXhDXF5fZmsJTBk3Ics/pOA=</DigestValue>
      </Reference>
      <Reference URI="/word/footer3.xml?ContentType=application/vnd.openxmlformats-officedocument.wordprocessingml.footer+xml">
        <DigestMethod Algorithm="http://www.w3.org/2001/04/xmlenc#sha256"/>
        <DigestValue>NrnucZUDsn7e+Dn1k7Y1jmHoea5O6w7/ueGqBccWBLM=</DigestValue>
      </Reference>
    </Manifest>
    <SignatureProperties>
      <SignatureProperty Id="idSignatureTime" Target="#idPackageSignature">
        <mdssi:SignatureTime xmlns:mdssi="http://schemas.openxmlformats.org/package/2006/digital-signature">
          <mdssi:Format>YYYY-MM-DDThh:mm:ssTZD</mdssi:Format>
          <mdssi:Value>2026-01-16T23:06:39Z</mdssi:Value>
        </mdssi:SignatureTime>
      </SignatureProperty>
    </SignatureProperties>
  </Object>
  <Object>
    <xd:QualifyingProperties xmlns:xd="http://uri.etsi.org/01903/v1.3.2#" Target="#idPackageSignature">
      <xd:SignedProperties Id="idSignedProperties">
        <xd:SignedSignatureProperties>
          <xd:SigningTime>2026-01-16T23:06:39Z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Mwfg4ue1r8XOs9cUwo4KfqtLv8tN3wkCiFtsgajscAsCBCnwldEYDzIwMjYwMTE2MjMwNjUw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i88rGJWqjXfrk+X9ar48kXRnt9k=</xd:ByKey>
                  </xd:ResponderID>
                  <xd:ProducedAt>2026-01-16T23:06:50Z</xd:ProducedAt>
                </xd:OCSPIdentifier>
                <xd:DigestAlgAndValue>
                  <DigestMethod Algorithm="http://www.w3.org/2001/04/xmlenc#sha256"/>
                  <DigestValue>KWJiUQbnm6j6lExTfNqCAYndhHUc0nK1u2ZAaf0tIfQ=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</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BKBkBGIwYAIBAQYIYIE8AQEBAQUwMTANBglghkgBZQMEAgEFAAQgQX/nc1weDg9SWLyi1ezYJqMN
ZvVV6M82TQ1HK/1BGZgCBCnwldMYDzIwMjYwMTE2MjMwNjUxWjAEgAIB9AEB/6CCB8Iwgge+MIIF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CSqGSIb3DQEJAzENBgsqhkiG9w0BCRABBDAcBgkqhkiG9w0BCQUxDxcNMjYwMTE2MjMwNjUxWjAv
BgkqhkiG9w0BCQQxIgQgIwSJRhSYVzECYoS1B9jcPcMmz9Opa5Pvxf9fNhDcimEwNwYLKoZIhvcN
AQkQAi8xKDAmMCQwIgQgrKszXYj6Q2nTJpWV/NZakemXG2IrBO983WoSsYOW808wDQYJKoZIhvcN
AQEBBQAEggEAJX7btROKsTiXfZbhTK1QJNFg6qyIwgm8tpUIAVDFmUmncVpLKPAzaWJactxKHtut
9LtT12LEdt8xILDq0C7tZw+a1r1hs2h9AcXvTbXb2bg17xS+aEvmhzfYXJfZ5uwLHwFbDCSeP/LL
t0qM2yEdEUeph46Px2C8RyzYdqw4Nrqux1HmF+MgFcqCcHu04LuKl7KsWnB72NhGbYJjsHKhR9DG
ebogxF9WbJenthYPduwNsg7i2nvrytDewJNKiEny8Jp9mb4MUB9yAk3lcbLlW/9IOlk7JEjqlozy
syTy7Joh1H2ubDajpfAeWRWK6SLrGatv/P/Ee1D5zi2ergIYqA==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file>

<file path=customXml/item6.xml><?xml version="1.0" encoding="utf-8"?>
<?mso-contentType ?>
<SharedContentType xmlns="Microsoft.SharePoint.Taxonomy.ContentTypeSync" SourceId="031b4bb2-0db7-40b3-a341-fc1511e9642d" ContentTypeId="0x010100E97154E09FCE6A4E8EAEBD5C54DD1AE401" PreviousValue="false"/>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50046DC9-8D0D-409F-8BFF-CFF81E886FAF}"/>
</file>

<file path=customXml/itemProps3.xml><?xml version="1.0" encoding="utf-8"?>
<ds:datastoreItem xmlns:ds="http://schemas.openxmlformats.org/officeDocument/2006/customXml" ds:itemID="{4D6687EB-2689-4F23-AA02-51C420781A39}"/>
</file>

<file path=customXml/itemProps4.xml><?xml version="1.0" encoding="utf-8"?>
<ds:datastoreItem xmlns:ds="http://schemas.openxmlformats.org/officeDocument/2006/customXml" ds:itemID="{283BF82E-1A70-4392-8CF2-7DEAFF1953AE}">
  <ds:schemaRefs>
    <ds:schemaRef ds:uri="http://purl.org/dc/dcmitype/"/>
    <ds:schemaRef ds:uri="http://www.w3.org/XML/1998/namespace"/>
    <ds:schemaRef ds:uri="http://schemas.microsoft.com/office/infopath/2007/PartnerControls"/>
    <ds:schemaRef ds:uri="http://purl.org/dc/terms/"/>
    <ds:schemaRef ds:uri="http://purl.org/dc/elements/1.1/"/>
    <ds:schemaRef ds:uri="http://schemas.microsoft.com/office/2006/documentManagement/types"/>
    <ds:schemaRef ds:uri="b875e23b-67d9-4b2e-bdec-edacbf90b326"/>
    <ds:schemaRef ds:uri="http://schemas.openxmlformats.org/package/2006/metadata/core-properties"/>
    <ds:schemaRef ds:uri="62db5286-48a0-4e17-a672-7c89f7b8ca75"/>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7.xml><?xml version="1.0" encoding="utf-8"?>
<ds:datastoreItem xmlns:ds="http://schemas.openxmlformats.org/officeDocument/2006/customXml" ds:itemID="{10DA8614-A817-4171-910C-5EABD5288C0A}"/>
</file>

<file path=docProps/app.xml><?xml version="1.0" encoding="utf-8"?>
<Properties xmlns="http://schemas.openxmlformats.org/officeDocument/2006/extended-properties" xmlns:vt="http://schemas.openxmlformats.org/officeDocument/2006/docPropsVTypes">
  <Template>plantilla-DAI</Template>
  <TotalTime>1</TotalTime>
  <Pages>6</Pages>
  <Words>1590</Words>
  <Characters>9133</Characters>
  <Application>Microsoft Office Word</Application>
  <DocSecurity>0</DocSecurity>
  <Lines>268</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AI-0019-2026</dc:title>
  <dc:subject/>
  <dc:creator>BERROCAL MEZA MELISSA</dc:creator>
  <cp:keywords/>
  <dc:description/>
  <cp:lastModifiedBy>BERROCAL MEZA MELISSA</cp:lastModifiedBy>
  <cp:revision>1</cp:revision>
  <cp:lastPrinted>2011-05-05T20:16:00Z</cp:lastPrinted>
  <dcterms:created xsi:type="dcterms:W3CDTF">2026-01-16T20:16:00Z</dcterms:created>
  <dcterms:modified xsi:type="dcterms:W3CDTF">2026-01-16T20:17:00Z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Gerencia|7f4773cf-2cb9-48b6-88d2-9e4750a72616;#1014;#DTE - División Transformación y Estrategia|368c3da0-3cec-43e9-a26d-02a9f90827dd;#91;#DSP - División Sistemas de Pago|9cb48ad8-abad-4fb4-90bb-bb8fa9b4aaaf</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2fa686a7,6ee6a08b,4b410a4</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2026-01-16T20:17:31Z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ca2c2d4e-a59d-4380-bdd2-82902ceecd57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3598ac08-66e4-4258-9916-e672c2905e74,8;1afe6994-8faf-447a-9c55-27a860d20fdf,11;cf7072bc-9575-4d0b-b529-251f6b43b02b,12;cf7072bc-9575-4d0b-b529-251f6b43b02b,12;</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02/07/2026 23:45:00</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