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2B7" w:rsidRDefault="00905EC2" w:rsidP="006319CF">
      <w:pPr>
        <w:pStyle w:val="Subttulo"/>
      </w:pPr>
      <w:r>
        <w:rPr>
          <w:noProof/>
          <w:lang w:val="es-ES" w:eastAsia="es-ES"/>
        </w:rPr>
        <w:drawing>
          <wp:anchor distT="0" distB="0" distL="114300" distR="114300" simplePos="0" relativeHeight="251673600" behindDoc="1" locked="0" layoutInCell="1" allowOverlap="1">
            <wp:simplePos x="0" y="0"/>
            <wp:positionH relativeFrom="column">
              <wp:posOffset>-241447</wp:posOffset>
            </wp:positionH>
            <wp:positionV relativeFrom="paragraph">
              <wp:posOffset>21265</wp:posOffset>
            </wp:positionV>
            <wp:extent cx="5383397" cy="6858000"/>
            <wp:effectExtent l="19050" t="0" r="7753" b="0"/>
            <wp:wrapNone/>
            <wp:docPr id="2"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srcRect/>
                    <a:stretch>
                      <a:fillRect/>
                    </a:stretch>
                  </pic:blipFill>
                  <pic:spPr bwMode="auto">
                    <a:xfrm>
                      <a:off x="0" y="0"/>
                      <a:ext cx="5383397" cy="6858000"/>
                    </a:xfrm>
                    <a:prstGeom prst="rect">
                      <a:avLst/>
                    </a:prstGeom>
                    <a:noFill/>
                    <a:ln w="9525">
                      <a:noFill/>
                      <a:miter lim="800000"/>
                      <a:headEnd/>
                      <a:tailEnd/>
                    </a:ln>
                  </pic:spPr>
                </pic:pic>
              </a:graphicData>
            </a:graphic>
          </wp:anchor>
        </w:drawing>
      </w:r>
      <w:r w:rsidR="00082551">
        <w:rPr>
          <w:noProof/>
          <w:lang w:val="es-ES" w:eastAsia="es-ES"/>
        </w:rPr>
        <w:pict>
          <v:shapetype id="_x0000_t202" coordsize="21600,21600" o:spt="202" path="m,l,21600r21600,l21600,xe">
            <v:stroke joinstyle="miter"/>
            <v:path gradientshapeok="t" o:connecttype="rect"/>
          </v:shapetype>
          <v:shape id="_x0000_s1039" type="#_x0000_t202" style="position:absolute;margin-left:137.25pt;margin-top:269.8pt;width:335.85pt;height:162pt;z-index:251672576;mso-position-horizontal-relative:text;mso-position-vertical-relative:text" filled="f" stroked="f">
            <v:textbox style="mso-next-textbox:#_x0000_s1039">
              <w:txbxContent>
                <w:p w:rsidR="002B60AB" w:rsidRPr="00095AAF" w:rsidRDefault="002B60AB" w:rsidP="00F94D9A">
                  <w:pPr>
                    <w:pStyle w:val="PortadaTipoLibro"/>
                    <w:rPr>
                      <w:sz w:val="28"/>
                      <w:szCs w:val="28"/>
                    </w:rPr>
                  </w:pPr>
                  <w:bookmarkStart w:id="0" w:name="Tipo"/>
                  <w:r w:rsidRPr="00095AAF">
                    <w:rPr>
                      <w:sz w:val="28"/>
                      <w:szCs w:val="28"/>
                    </w:rPr>
                    <w:t xml:space="preserve">departamento </w:t>
                  </w:r>
                  <w:r>
                    <w:rPr>
                      <w:sz w:val="28"/>
                      <w:szCs w:val="28"/>
                    </w:rPr>
                    <w:t xml:space="preserve">de </w:t>
                  </w:r>
                  <w:r w:rsidRPr="00095AAF">
                    <w:rPr>
                      <w:sz w:val="28"/>
                      <w:szCs w:val="28"/>
                    </w:rPr>
                    <w:t>contabilidad</w:t>
                  </w:r>
                </w:p>
                <w:bookmarkEnd w:id="0"/>
                <w:p w:rsidR="002B60AB" w:rsidRPr="00095AAF" w:rsidRDefault="002B60AB" w:rsidP="00F94D9A">
                  <w:pPr>
                    <w:pStyle w:val="PortadaNombreServicio"/>
                    <w:jc w:val="left"/>
                    <w:rPr>
                      <w:sz w:val="32"/>
                      <w:szCs w:val="32"/>
                    </w:rPr>
                  </w:pPr>
                  <w:r w:rsidRPr="00095AAF">
                    <w:rPr>
                      <w:sz w:val="32"/>
                      <w:szCs w:val="32"/>
                    </w:rPr>
                    <w:t>Notas complementarias</w:t>
                  </w:r>
                </w:p>
                <w:p w:rsidR="002B60AB" w:rsidRPr="00095AAF" w:rsidRDefault="002B60AB" w:rsidP="00F94D9A">
                  <w:pPr>
                    <w:pStyle w:val="PortadaNombreServicio"/>
                    <w:jc w:val="left"/>
                    <w:rPr>
                      <w:sz w:val="32"/>
                      <w:szCs w:val="32"/>
                    </w:rPr>
                  </w:pPr>
                  <w:r w:rsidRPr="00095AAF">
                    <w:rPr>
                      <w:sz w:val="32"/>
                      <w:szCs w:val="32"/>
                    </w:rPr>
                    <w:t>a los estados financieros</w:t>
                  </w:r>
                </w:p>
                <w:p w:rsidR="002B60AB" w:rsidRPr="00095AAF" w:rsidRDefault="002B60AB" w:rsidP="00F94D9A">
                  <w:pPr>
                    <w:pStyle w:val="PortadaNombreServicio"/>
                    <w:jc w:val="left"/>
                    <w:rPr>
                      <w:sz w:val="32"/>
                      <w:szCs w:val="32"/>
                    </w:rPr>
                  </w:pPr>
                  <w:r>
                    <w:rPr>
                      <w:sz w:val="32"/>
                      <w:szCs w:val="32"/>
                    </w:rPr>
                    <w:t xml:space="preserve">FEBRERO </w:t>
                  </w:r>
                  <w:r w:rsidRPr="00095AAF">
                    <w:rPr>
                      <w:sz w:val="32"/>
                      <w:szCs w:val="32"/>
                    </w:rPr>
                    <w:t xml:space="preserve"> 200</w:t>
                  </w:r>
                  <w:r>
                    <w:rPr>
                      <w:sz w:val="32"/>
                      <w:szCs w:val="32"/>
                    </w:rPr>
                    <w:t>9</w:t>
                  </w:r>
                </w:p>
              </w:txbxContent>
            </v:textbox>
          </v:shape>
        </w:pict>
      </w:r>
      <w:r w:rsidR="00082551">
        <w:rPr>
          <w:noProof/>
          <w:lang w:val="es-ES" w:eastAsia="es-ES"/>
        </w:rPr>
        <w:pict>
          <v:shape id="_x0000_s1036" type="#_x0000_t202" style="position:absolute;margin-left:110.55pt;margin-top:654.35pt;width:306.65pt;height:27.55pt;z-index:251659264;mso-position-horizontal-relative:text;mso-position-vertical-relative:text" filled="f" stroked="f">
            <v:textbox style="mso-next-textbox:#_x0000_s1036">
              <w:txbxContent>
                <w:p w:rsidR="002B60AB" w:rsidRPr="00C509B6" w:rsidRDefault="002B60AB" w:rsidP="00DF3193">
                  <w:pPr>
                    <w:pStyle w:val="Departamento-portada"/>
                  </w:pPr>
                  <w:r w:rsidRPr="00C509B6">
                    <w:t xml:space="preserve">DEPARTAMENTO DE </w:t>
                  </w:r>
                  <w:smartTag w:uri="urn:schemas-microsoft-com:office:smarttags" w:element="PersonName">
                    <w:r w:rsidRPr="00C509B6">
                      <w:t>CONTABILIDAD</w:t>
                    </w:r>
                  </w:smartTag>
                </w:p>
              </w:txbxContent>
            </v:textbox>
          </v:shape>
        </w:pict>
      </w:r>
      <w:r w:rsidR="00082551">
        <w:rPr>
          <w:noProof/>
          <w:lang w:val="es-ES" w:eastAsia="es-ES"/>
        </w:rPr>
        <w:pict>
          <v:shape id="_x0000_s1035" type="#_x0000_t202" style="position:absolute;margin-left:2in;margin-top:4in;width:261pt;height:162pt;z-index:251658240;mso-position-horizontal-relative:text;mso-position-vertical-relative:text" stroked="f">
            <v:textbox style="mso-next-textbox:#_x0000_s1035">
              <w:txbxContent>
                <w:p w:rsidR="002B60AB" w:rsidRPr="00D8711F" w:rsidRDefault="002B60AB" w:rsidP="00D8711F">
                  <w:pPr>
                    <w:rPr>
                      <w:szCs w:val="40"/>
                    </w:rPr>
                  </w:pPr>
                </w:p>
              </w:txbxContent>
            </v:textbox>
          </v:shape>
        </w:pict>
      </w:r>
      <w:r w:rsidR="00BC62B7">
        <w:br w:type="page"/>
      </w:r>
    </w:p>
    <w:p w:rsidR="00BC62B7" w:rsidRPr="0019670A" w:rsidRDefault="00BC62B7" w:rsidP="0000291B">
      <w:pPr>
        <w:pStyle w:val="Tituloinicial"/>
        <w:spacing w:after="120"/>
        <w:ind w:left="0"/>
        <w:jc w:val="center"/>
        <w:rPr>
          <w:rFonts w:ascii="Times New Roman" w:hAnsi="Times New Roman"/>
          <w:color w:val="333399"/>
        </w:rPr>
      </w:pPr>
      <w:r w:rsidRPr="0019670A">
        <w:rPr>
          <w:rFonts w:ascii="Times New Roman" w:hAnsi="Times New Roman"/>
          <w:color w:val="333399"/>
        </w:rPr>
        <w:lastRenderedPageBreak/>
        <w:t>ÍNDICE</w:t>
      </w:r>
    </w:p>
    <w:p w:rsidR="00BC62B7" w:rsidRPr="0019670A" w:rsidRDefault="00BC62B7" w:rsidP="0000291B">
      <w:pPr>
        <w:pStyle w:val="Tituloinicial"/>
        <w:spacing w:after="120"/>
        <w:ind w:left="0"/>
        <w:jc w:val="center"/>
        <w:rPr>
          <w:rFonts w:ascii="Times New Roman" w:hAnsi="Times New Roman"/>
          <w:color w:val="333399"/>
        </w:rPr>
      </w:pPr>
      <w:r w:rsidRPr="0019670A">
        <w:rPr>
          <w:rFonts w:ascii="Times New Roman" w:hAnsi="Times New Roman"/>
          <w:color w:val="333399"/>
        </w:rPr>
        <w:t>ESTADOS FINANCIEROS</w:t>
      </w:r>
      <w:r>
        <w:rPr>
          <w:rFonts w:ascii="Times New Roman" w:hAnsi="Times New Roman"/>
          <w:color w:val="333399"/>
        </w:rPr>
        <w:t xml:space="preserve"> </w:t>
      </w:r>
      <w:r w:rsidR="009502D4">
        <w:rPr>
          <w:rFonts w:ascii="Times New Roman" w:hAnsi="Times New Roman"/>
          <w:color w:val="333399"/>
        </w:rPr>
        <w:t>FEBRERO</w:t>
      </w:r>
      <w:r w:rsidR="00873F95">
        <w:rPr>
          <w:rFonts w:ascii="Times New Roman" w:hAnsi="Times New Roman"/>
          <w:color w:val="333399"/>
        </w:rPr>
        <w:t xml:space="preserve"> </w:t>
      </w:r>
      <w:r w:rsidR="002059AB">
        <w:rPr>
          <w:rFonts w:ascii="Times New Roman" w:hAnsi="Times New Roman"/>
          <w:color w:val="333399"/>
        </w:rPr>
        <w:t>2009</w:t>
      </w:r>
    </w:p>
    <w:p w:rsidR="00BC62B7" w:rsidRPr="0019670A" w:rsidRDefault="00BC62B7" w:rsidP="00C82E3B">
      <w:pPr>
        <w:pStyle w:val="Tituloinicial"/>
        <w:spacing w:after="120"/>
        <w:ind w:left="0"/>
        <w:jc w:val="both"/>
        <w:rPr>
          <w:rFonts w:ascii="Times New Roman" w:hAnsi="Times New Roman"/>
          <w:color w:val="333399"/>
        </w:rPr>
      </w:pPr>
    </w:p>
    <w:p w:rsidR="002843EA" w:rsidRDefault="00082551">
      <w:pPr>
        <w:pStyle w:val="TDC1"/>
        <w:rPr>
          <w:rFonts w:asciiTheme="minorHAnsi" w:eastAsiaTheme="minorEastAsia" w:hAnsiTheme="minorHAnsi" w:cstheme="minorBidi"/>
          <w:noProof/>
          <w:sz w:val="22"/>
          <w:szCs w:val="22"/>
          <w:lang w:val="es-ES" w:eastAsia="es-ES"/>
        </w:rPr>
      </w:pPr>
      <w:r w:rsidRPr="0019670A">
        <w:rPr>
          <w:lang w:val="es-CR"/>
        </w:rPr>
        <w:fldChar w:fldCharType="begin"/>
      </w:r>
      <w:r w:rsidR="00BC62B7" w:rsidRPr="0019670A">
        <w:rPr>
          <w:lang w:val="es-CR"/>
        </w:rPr>
        <w:instrText xml:space="preserve"> TOC \o "1-3" \h \z \u </w:instrText>
      </w:r>
      <w:r w:rsidRPr="0019670A">
        <w:rPr>
          <w:lang w:val="es-CR"/>
        </w:rPr>
        <w:fldChar w:fldCharType="separate"/>
      </w:r>
      <w:hyperlink w:anchor="_Toc255802877" w:history="1">
        <w:r w:rsidR="002843EA" w:rsidRPr="00762E5D">
          <w:rPr>
            <w:rStyle w:val="Hipervnculo"/>
            <w:noProof/>
            <w:lang w:val="es-CR"/>
          </w:rPr>
          <w:t>INFORMACIÓN A REVELAR EN LOS ESTADOS FINANCIEROS AL 28 DE FEBRERO DEL 2009</w:t>
        </w:r>
        <w:r w:rsidR="002843EA">
          <w:rPr>
            <w:noProof/>
            <w:webHidden/>
          </w:rPr>
          <w:tab/>
        </w:r>
        <w:r w:rsidR="002843EA">
          <w:rPr>
            <w:noProof/>
            <w:webHidden/>
          </w:rPr>
          <w:fldChar w:fldCharType="begin"/>
        </w:r>
        <w:r w:rsidR="002843EA">
          <w:rPr>
            <w:noProof/>
            <w:webHidden/>
          </w:rPr>
          <w:instrText xml:space="preserve"> PAGEREF _Toc255802877 \h </w:instrText>
        </w:r>
        <w:r w:rsidR="002843EA">
          <w:rPr>
            <w:noProof/>
            <w:webHidden/>
          </w:rPr>
        </w:r>
        <w:r w:rsidR="002843EA">
          <w:rPr>
            <w:noProof/>
            <w:webHidden/>
          </w:rPr>
          <w:fldChar w:fldCharType="separate"/>
        </w:r>
        <w:r w:rsidR="002843EA">
          <w:rPr>
            <w:noProof/>
            <w:webHidden/>
          </w:rPr>
          <w:t>1</w:t>
        </w:r>
        <w:r w:rsidR="002843EA">
          <w:rPr>
            <w:noProof/>
            <w:webHidden/>
          </w:rPr>
          <w:fldChar w:fldCharType="end"/>
        </w:r>
      </w:hyperlink>
    </w:p>
    <w:p w:rsidR="002843EA" w:rsidRDefault="002843EA">
      <w:pPr>
        <w:pStyle w:val="TDC1"/>
        <w:rPr>
          <w:rFonts w:asciiTheme="minorHAnsi" w:eastAsiaTheme="minorEastAsia" w:hAnsiTheme="minorHAnsi" w:cstheme="minorBidi"/>
          <w:noProof/>
          <w:sz w:val="22"/>
          <w:szCs w:val="22"/>
          <w:lang w:val="es-ES" w:eastAsia="es-ES"/>
        </w:rPr>
      </w:pPr>
      <w:hyperlink w:anchor="_Toc255802878" w:history="1">
        <w:r w:rsidRPr="00762E5D">
          <w:rPr>
            <w:rStyle w:val="Hipervnculo"/>
            <w:noProof/>
            <w:lang w:val="es-CR"/>
          </w:rPr>
          <w:t>Antecedentes de la Institución</w:t>
        </w:r>
        <w:r>
          <w:rPr>
            <w:noProof/>
            <w:webHidden/>
          </w:rPr>
          <w:tab/>
        </w:r>
        <w:r>
          <w:rPr>
            <w:noProof/>
            <w:webHidden/>
          </w:rPr>
          <w:fldChar w:fldCharType="begin"/>
        </w:r>
        <w:r>
          <w:rPr>
            <w:noProof/>
            <w:webHidden/>
          </w:rPr>
          <w:instrText xml:space="preserve"> PAGEREF _Toc255802878 \h </w:instrText>
        </w:r>
        <w:r>
          <w:rPr>
            <w:noProof/>
            <w:webHidden/>
          </w:rPr>
        </w:r>
        <w:r>
          <w:rPr>
            <w:noProof/>
            <w:webHidden/>
          </w:rPr>
          <w:fldChar w:fldCharType="separate"/>
        </w:r>
        <w:r>
          <w:rPr>
            <w:noProof/>
            <w:webHidden/>
          </w:rPr>
          <w:t>1</w:t>
        </w:r>
        <w:r>
          <w:rPr>
            <w:noProof/>
            <w:webHidden/>
          </w:rPr>
          <w:fldChar w:fldCharType="end"/>
        </w:r>
      </w:hyperlink>
    </w:p>
    <w:p w:rsidR="002843EA" w:rsidRDefault="002843EA">
      <w:pPr>
        <w:pStyle w:val="TDC1"/>
        <w:rPr>
          <w:rFonts w:asciiTheme="minorHAnsi" w:eastAsiaTheme="minorEastAsia" w:hAnsiTheme="minorHAnsi" w:cstheme="minorBidi"/>
          <w:noProof/>
          <w:sz w:val="22"/>
          <w:szCs w:val="22"/>
          <w:lang w:val="es-ES" w:eastAsia="es-ES"/>
        </w:rPr>
      </w:pPr>
      <w:hyperlink w:anchor="_Toc255802879" w:history="1">
        <w:r w:rsidRPr="00762E5D">
          <w:rPr>
            <w:rStyle w:val="Hipervnculo"/>
            <w:noProof/>
            <w:lang w:val="es-CR"/>
          </w:rPr>
          <w:t>BASES PARA LA PREPARACIÓN DE LOS ESTADOS FINANCIEROS</w:t>
        </w:r>
        <w:r>
          <w:rPr>
            <w:noProof/>
            <w:webHidden/>
          </w:rPr>
          <w:tab/>
        </w:r>
        <w:r>
          <w:rPr>
            <w:noProof/>
            <w:webHidden/>
          </w:rPr>
          <w:fldChar w:fldCharType="begin"/>
        </w:r>
        <w:r>
          <w:rPr>
            <w:noProof/>
            <w:webHidden/>
          </w:rPr>
          <w:instrText xml:space="preserve"> PAGEREF _Toc255802879 \h </w:instrText>
        </w:r>
        <w:r>
          <w:rPr>
            <w:noProof/>
            <w:webHidden/>
          </w:rPr>
        </w:r>
        <w:r>
          <w:rPr>
            <w:noProof/>
            <w:webHidden/>
          </w:rPr>
          <w:fldChar w:fldCharType="separate"/>
        </w:r>
        <w:r>
          <w:rPr>
            <w:noProof/>
            <w:webHidden/>
          </w:rPr>
          <w:t>2</w:t>
        </w:r>
        <w:r>
          <w:rPr>
            <w:noProof/>
            <w:webHidden/>
          </w:rPr>
          <w:fldChar w:fldCharType="end"/>
        </w:r>
      </w:hyperlink>
    </w:p>
    <w:p w:rsidR="002843EA" w:rsidRDefault="002843EA">
      <w:pPr>
        <w:pStyle w:val="TDC1"/>
        <w:rPr>
          <w:rFonts w:asciiTheme="minorHAnsi" w:eastAsiaTheme="minorEastAsia" w:hAnsiTheme="minorHAnsi" w:cstheme="minorBidi"/>
          <w:noProof/>
          <w:sz w:val="22"/>
          <w:szCs w:val="22"/>
          <w:lang w:val="es-ES" w:eastAsia="es-ES"/>
        </w:rPr>
      </w:pPr>
      <w:hyperlink w:anchor="_Toc255802880" w:history="1">
        <w:r w:rsidRPr="00762E5D">
          <w:rPr>
            <w:rStyle w:val="Hipervnculo"/>
            <w:noProof/>
            <w:lang w:val="es-CR"/>
          </w:rPr>
          <w:t>Declaración de Cumplimiento sobre las NIC/NIIF</w:t>
        </w:r>
        <w:r>
          <w:rPr>
            <w:noProof/>
            <w:webHidden/>
          </w:rPr>
          <w:tab/>
        </w:r>
        <w:r>
          <w:rPr>
            <w:noProof/>
            <w:webHidden/>
          </w:rPr>
          <w:fldChar w:fldCharType="begin"/>
        </w:r>
        <w:r>
          <w:rPr>
            <w:noProof/>
            <w:webHidden/>
          </w:rPr>
          <w:instrText xml:space="preserve"> PAGEREF _Toc255802880 \h </w:instrText>
        </w:r>
        <w:r>
          <w:rPr>
            <w:noProof/>
            <w:webHidden/>
          </w:rPr>
        </w:r>
        <w:r>
          <w:rPr>
            <w:noProof/>
            <w:webHidden/>
          </w:rPr>
          <w:fldChar w:fldCharType="separate"/>
        </w:r>
        <w:r>
          <w:rPr>
            <w:noProof/>
            <w:webHidden/>
          </w:rPr>
          <w:t>2</w:t>
        </w:r>
        <w:r>
          <w:rPr>
            <w:noProof/>
            <w:webHidden/>
          </w:rPr>
          <w:fldChar w:fldCharType="end"/>
        </w:r>
      </w:hyperlink>
    </w:p>
    <w:p w:rsidR="002843EA" w:rsidRDefault="002843EA">
      <w:pPr>
        <w:pStyle w:val="TDC1"/>
        <w:rPr>
          <w:rFonts w:asciiTheme="minorHAnsi" w:eastAsiaTheme="minorEastAsia" w:hAnsiTheme="minorHAnsi" w:cstheme="minorBidi"/>
          <w:noProof/>
          <w:sz w:val="22"/>
          <w:szCs w:val="22"/>
          <w:lang w:val="es-ES" w:eastAsia="es-ES"/>
        </w:rPr>
      </w:pPr>
      <w:hyperlink w:anchor="_Toc255802881" w:history="1">
        <w:r w:rsidRPr="00762E5D">
          <w:rPr>
            <w:rStyle w:val="Hipervnculo"/>
            <w:noProof/>
            <w:lang w:val="es-CR"/>
          </w:rPr>
          <w:t>Aspectos Generales de los Estados Financieros</w:t>
        </w:r>
        <w:r>
          <w:rPr>
            <w:noProof/>
            <w:webHidden/>
          </w:rPr>
          <w:tab/>
        </w:r>
        <w:r>
          <w:rPr>
            <w:noProof/>
            <w:webHidden/>
          </w:rPr>
          <w:fldChar w:fldCharType="begin"/>
        </w:r>
        <w:r>
          <w:rPr>
            <w:noProof/>
            <w:webHidden/>
          </w:rPr>
          <w:instrText xml:space="preserve"> PAGEREF _Toc255802881 \h </w:instrText>
        </w:r>
        <w:r>
          <w:rPr>
            <w:noProof/>
            <w:webHidden/>
          </w:rPr>
        </w:r>
        <w:r>
          <w:rPr>
            <w:noProof/>
            <w:webHidden/>
          </w:rPr>
          <w:fldChar w:fldCharType="separate"/>
        </w:r>
        <w:r>
          <w:rPr>
            <w:noProof/>
            <w:webHidden/>
          </w:rPr>
          <w:t>2</w:t>
        </w:r>
        <w:r>
          <w:rPr>
            <w:noProof/>
            <w:webHidden/>
          </w:rPr>
          <w:fldChar w:fldCharType="end"/>
        </w:r>
      </w:hyperlink>
    </w:p>
    <w:p w:rsidR="002843EA" w:rsidRDefault="002843EA">
      <w:pPr>
        <w:pStyle w:val="TDC1"/>
        <w:rPr>
          <w:rFonts w:asciiTheme="minorHAnsi" w:eastAsiaTheme="minorEastAsia" w:hAnsiTheme="minorHAnsi" w:cstheme="minorBidi"/>
          <w:noProof/>
          <w:sz w:val="22"/>
          <w:szCs w:val="22"/>
          <w:lang w:val="es-ES" w:eastAsia="es-ES"/>
        </w:rPr>
      </w:pPr>
      <w:hyperlink w:anchor="_Toc255802882" w:history="1">
        <w:r w:rsidRPr="00762E5D">
          <w:rPr>
            <w:rStyle w:val="Hipervnculo"/>
            <w:noProof/>
            <w:lang w:val="es-CR"/>
          </w:rPr>
          <w:t>BASES DE MEDICIÓN PARA LA PREPARACIÓN DE LOS ESTADOS FINANCIEROS</w:t>
        </w:r>
        <w:r>
          <w:rPr>
            <w:noProof/>
            <w:webHidden/>
          </w:rPr>
          <w:tab/>
        </w:r>
        <w:r>
          <w:rPr>
            <w:noProof/>
            <w:webHidden/>
          </w:rPr>
          <w:fldChar w:fldCharType="begin"/>
        </w:r>
        <w:r>
          <w:rPr>
            <w:noProof/>
            <w:webHidden/>
          </w:rPr>
          <w:instrText xml:space="preserve"> PAGEREF _Toc255802882 \h </w:instrText>
        </w:r>
        <w:r>
          <w:rPr>
            <w:noProof/>
            <w:webHidden/>
          </w:rPr>
        </w:r>
        <w:r>
          <w:rPr>
            <w:noProof/>
            <w:webHidden/>
          </w:rPr>
          <w:fldChar w:fldCharType="separate"/>
        </w:r>
        <w:r>
          <w:rPr>
            <w:noProof/>
            <w:webHidden/>
          </w:rPr>
          <w:t>3</w:t>
        </w:r>
        <w:r>
          <w:rPr>
            <w:noProof/>
            <w:webHidden/>
          </w:rPr>
          <w:fldChar w:fldCharType="end"/>
        </w:r>
      </w:hyperlink>
    </w:p>
    <w:p w:rsidR="002843EA" w:rsidRDefault="002843EA">
      <w:pPr>
        <w:pStyle w:val="TDC1"/>
        <w:rPr>
          <w:rFonts w:asciiTheme="minorHAnsi" w:eastAsiaTheme="minorEastAsia" w:hAnsiTheme="minorHAnsi" w:cstheme="minorBidi"/>
          <w:noProof/>
          <w:sz w:val="22"/>
          <w:szCs w:val="22"/>
          <w:lang w:val="es-ES" w:eastAsia="es-ES"/>
        </w:rPr>
      </w:pPr>
      <w:hyperlink w:anchor="_Toc255802883" w:history="1">
        <w:r w:rsidRPr="00762E5D">
          <w:rPr>
            <w:rStyle w:val="Hipervnculo"/>
            <w:noProof/>
            <w:lang w:val="es-CR"/>
          </w:rPr>
          <w:t>Saldos y Operaciones en Moneda Extranjera</w:t>
        </w:r>
        <w:r>
          <w:rPr>
            <w:noProof/>
            <w:webHidden/>
          </w:rPr>
          <w:tab/>
        </w:r>
        <w:r>
          <w:rPr>
            <w:noProof/>
            <w:webHidden/>
          </w:rPr>
          <w:fldChar w:fldCharType="begin"/>
        </w:r>
        <w:r>
          <w:rPr>
            <w:noProof/>
            <w:webHidden/>
          </w:rPr>
          <w:instrText xml:space="preserve"> PAGEREF _Toc255802883 \h </w:instrText>
        </w:r>
        <w:r>
          <w:rPr>
            <w:noProof/>
            <w:webHidden/>
          </w:rPr>
        </w:r>
        <w:r>
          <w:rPr>
            <w:noProof/>
            <w:webHidden/>
          </w:rPr>
          <w:fldChar w:fldCharType="separate"/>
        </w:r>
        <w:r>
          <w:rPr>
            <w:noProof/>
            <w:webHidden/>
          </w:rPr>
          <w:t>3</w:t>
        </w:r>
        <w:r>
          <w:rPr>
            <w:noProof/>
            <w:webHidden/>
          </w:rPr>
          <w:fldChar w:fldCharType="end"/>
        </w:r>
      </w:hyperlink>
    </w:p>
    <w:p w:rsidR="002843EA" w:rsidRDefault="002843EA">
      <w:pPr>
        <w:pStyle w:val="TDC1"/>
        <w:rPr>
          <w:rFonts w:asciiTheme="minorHAnsi" w:eastAsiaTheme="minorEastAsia" w:hAnsiTheme="minorHAnsi" w:cstheme="minorBidi"/>
          <w:noProof/>
          <w:sz w:val="22"/>
          <w:szCs w:val="22"/>
          <w:lang w:val="es-ES" w:eastAsia="es-ES"/>
        </w:rPr>
      </w:pPr>
      <w:hyperlink w:anchor="_Toc255802884" w:history="1">
        <w:r w:rsidRPr="00762E5D">
          <w:rPr>
            <w:rStyle w:val="Hipervnculo"/>
            <w:noProof/>
            <w:lang w:val="es-CR"/>
          </w:rPr>
          <w:t>Costo de Adquisición</w:t>
        </w:r>
        <w:r>
          <w:rPr>
            <w:noProof/>
            <w:webHidden/>
          </w:rPr>
          <w:tab/>
        </w:r>
        <w:r>
          <w:rPr>
            <w:noProof/>
            <w:webHidden/>
          </w:rPr>
          <w:fldChar w:fldCharType="begin"/>
        </w:r>
        <w:r>
          <w:rPr>
            <w:noProof/>
            <w:webHidden/>
          </w:rPr>
          <w:instrText xml:space="preserve"> PAGEREF _Toc255802884 \h </w:instrText>
        </w:r>
        <w:r>
          <w:rPr>
            <w:noProof/>
            <w:webHidden/>
          </w:rPr>
        </w:r>
        <w:r>
          <w:rPr>
            <w:noProof/>
            <w:webHidden/>
          </w:rPr>
          <w:fldChar w:fldCharType="separate"/>
        </w:r>
        <w:r>
          <w:rPr>
            <w:noProof/>
            <w:webHidden/>
          </w:rPr>
          <w:t>4</w:t>
        </w:r>
        <w:r>
          <w:rPr>
            <w:noProof/>
            <w:webHidden/>
          </w:rPr>
          <w:fldChar w:fldCharType="end"/>
        </w:r>
      </w:hyperlink>
    </w:p>
    <w:p w:rsidR="002843EA" w:rsidRDefault="002843EA">
      <w:pPr>
        <w:pStyle w:val="TDC1"/>
        <w:rPr>
          <w:rFonts w:asciiTheme="minorHAnsi" w:eastAsiaTheme="minorEastAsia" w:hAnsiTheme="minorHAnsi" w:cstheme="minorBidi"/>
          <w:noProof/>
          <w:sz w:val="22"/>
          <w:szCs w:val="22"/>
          <w:lang w:val="es-ES" w:eastAsia="es-ES"/>
        </w:rPr>
      </w:pPr>
      <w:hyperlink w:anchor="_Toc255802885" w:history="1">
        <w:r w:rsidRPr="00762E5D">
          <w:rPr>
            <w:rStyle w:val="Hipervnculo"/>
            <w:noProof/>
            <w:lang w:val="es-CR"/>
          </w:rPr>
          <w:t>Valor Razonable</w:t>
        </w:r>
        <w:r>
          <w:rPr>
            <w:noProof/>
            <w:webHidden/>
          </w:rPr>
          <w:tab/>
        </w:r>
        <w:r>
          <w:rPr>
            <w:noProof/>
            <w:webHidden/>
          </w:rPr>
          <w:fldChar w:fldCharType="begin"/>
        </w:r>
        <w:r>
          <w:rPr>
            <w:noProof/>
            <w:webHidden/>
          </w:rPr>
          <w:instrText xml:space="preserve"> PAGEREF _Toc255802885 \h </w:instrText>
        </w:r>
        <w:r>
          <w:rPr>
            <w:noProof/>
            <w:webHidden/>
          </w:rPr>
        </w:r>
        <w:r>
          <w:rPr>
            <w:noProof/>
            <w:webHidden/>
          </w:rPr>
          <w:fldChar w:fldCharType="separate"/>
        </w:r>
        <w:r>
          <w:rPr>
            <w:noProof/>
            <w:webHidden/>
          </w:rPr>
          <w:t>5</w:t>
        </w:r>
        <w:r>
          <w:rPr>
            <w:noProof/>
            <w:webHidden/>
          </w:rPr>
          <w:fldChar w:fldCharType="end"/>
        </w:r>
      </w:hyperlink>
    </w:p>
    <w:p w:rsidR="002843EA" w:rsidRDefault="002843EA">
      <w:pPr>
        <w:pStyle w:val="TDC1"/>
        <w:rPr>
          <w:rFonts w:asciiTheme="minorHAnsi" w:eastAsiaTheme="minorEastAsia" w:hAnsiTheme="minorHAnsi" w:cstheme="minorBidi"/>
          <w:noProof/>
          <w:sz w:val="22"/>
          <w:szCs w:val="22"/>
          <w:lang w:val="es-ES" w:eastAsia="es-ES"/>
        </w:rPr>
      </w:pPr>
      <w:hyperlink w:anchor="_Toc255802886" w:history="1">
        <w:r w:rsidRPr="00762E5D">
          <w:rPr>
            <w:rStyle w:val="Hipervnculo"/>
            <w:noProof/>
            <w:lang w:val="es-CR"/>
          </w:rPr>
          <w:t>Ingresos y Gastos</w:t>
        </w:r>
        <w:r>
          <w:rPr>
            <w:noProof/>
            <w:webHidden/>
          </w:rPr>
          <w:tab/>
        </w:r>
        <w:r>
          <w:rPr>
            <w:noProof/>
            <w:webHidden/>
          </w:rPr>
          <w:fldChar w:fldCharType="begin"/>
        </w:r>
        <w:r>
          <w:rPr>
            <w:noProof/>
            <w:webHidden/>
          </w:rPr>
          <w:instrText xml:space="preserve"> PAGEREF _Toc255802886 \h </w:instrText>
        </w:r>
        <w:r>
          <w:rPr>
            <w:noProof/>
            <w:webHidden/>
          </w:rPr>
        </w:r>
        <w:r>
          <w:rPr>
            <w:noProof/>
            <w:webHidden/>
          </w:rPr>
          <w:fldChar w:fldCharType="separate"/>
        </w:r>
        <w:r>
          <w:rPr>
            <w:noProof/>
            <w:webHidden/>
          </w:rPr>
          <w:t>5</w:t>
        </w:r>
        <w:r>
          <w:rPr>
            <w:noProof/>
            <w:webHidden/>
          </w:rPr>
          <w:fldChar w:fldCharType="end"/>
        </w:r>
      </w:hyperlink>
    </w:p>
    <w:p w:rsidR="002843EA" w:rsidRDefault="002843EA">
      <w:pPr>
        <w:pStyle w:val="TDC1"/>
        <w:rPr>
          <w:rFonts w:asciiTheme="minorHAnsi" w:eastAsiaTheme="minorEastAsia" w:hAnsiTheme="minorHAnsi" w:cstheme="minorBidi"/>
          <w:noProof/>
          <w:sz w:val="22"/>
          <w:szCs w:val="22"/>
          <w:lang w:val="es-ES" w:eastAsia="es-ES"/>
        </w:rPr>
      </w:pPr>
      <w:hyperlink w:anchor="_Toc255802887" w:history="1">
        <w:r w:rsidRPr="00762E5D">
          <w:rPr>
            <w:rStyle w:val="Hipervnculo"/>
            <w:noProof/>
            <w:lang w:val="es-CR"/>
          </w:rPr>
          <w:t>POLÍTICAS CONTABLES APLICADAS</w:t>
        </w:r>
        <w:r>
          <w:rPr>
            <w:noProof/>
            <w:webHidden/>
          </w:rPr>
          <w:tab/>
        </w:r>
        <w:r>
          <w:rPr>
            <w:noProof/>
            <w:webHidden/>
          </w:rPr>
          <w:fldChar w:fldCharType="begin"/>
        </w:r>
        <w:r>
          <w:rPr>
            <w:noProof/>
            <w:webHidden/>
          </w:rPr>
          <w:instrText xml:space="preserve"> PAGEREF _Toc255802887 \h </w:instrText>
        </w:r>
        <w:r>
          <w:rPr>
            <w:noProof/>
            <w:webHidden/>
          </w:rPr>
        </w:r>
        <w:r>
          <w:rPr>
            <w:noProof/>
            <w:webHidden/>
          </w:rPr>
          <w:fldChar w:fldCharType="separate"/>
        </w:r>
        <w:r>
          <w:rPr>
            <w:noProof/>
            <w:webHidden/>
          </w:rPr>
          <w:t>5</w:t>
        </w:r>
        <w:r>
          <w:rPr>
            <w:noProof/>
            <w:webHidden/>
          </w:rPr>
          <w:fldChar w:fldCharType="end"/>
        </w:r>
      </w:hyperlink>
    </w:p>
    <w:p w:rsidR="002843EA" w:rsidRDefault="002843EA">
      <w:pPr>
        <w:pStyle w:val="TDC1"/>
        <w:rPr>
          <w:rFonts w:asciiTheme="minorHAnsi" w:eastAsiaTheme="minorEastAsia" w:hAnsiTheme="minorHAnsi" w:cstheme="minorBidi"/>
          <w:noProof/>
          <w:sz w:val="22"/>
          <w:szCs w:val="22"/>
          <w:lang w:val="es-ES" w:eastAsia="es-ES"/>
        </w:rPr>
      </w:pPr>
      <w:hyperlink w:anchor="_Toc255802888" w:history="1">
        <w:r w:rsidRPr="00762E5D">
          <w:rPr>
            <w:rStyle w:val="Hipervnculo"/>
            <w:noProof/>
            <w:lang w:val="es-CR"/>
          </w:rPr>
          <w:t>Medición de Ingresos y Gastos</w:t>
        </w:r>
        <w:r>
          <w:rPr>
            <w:noProof/>
            <w:webHidden/>
          </w:rPr>
          <w:tab/>
        </w:r>
        <w:r>
          <w:rPr>
            <w:noProof/>
            <w:webHidden/>
          </w:rPr>
          <w:fldChar w:fldCharType="begin"/>
        </w:r>
        <w:r>
          <w:rPr>
            <w:noProof/>
            <w:webHidden/>
          </w:rPr>
          <w:instrText xml:space="preserve"> PAGEREF _Toc255802888 \h </w:instrText>
        </w:r>
        <w:r>
          <w:rPr>
            <w:noProof/>
            <w:webHidden/>
          </w:rPr>
        </w:r>
        <w:r>
          <w:rPr>
            <w:noProof/>
            <w:webHidden/>
          </w:rPr>
          <w:fldChar w:fldCharType="separate"/>
        </w:r>
        <w:r>
          <w:rPr>
            <w:noProof/>
            <w:webHidden/>
          </w:rPr>
          <w:t>5</w:t>
        </w:r>
        <w:r>
          <w:rPr>
            <w:noProof/>
            <w:webHidden/>
          </w:rPr>
          <w:fldChar w:fldCharType="end"/>
        </w:r>
      </w:hyperlink>
    </w:p>
    <w:p w:rsidR="002843EA" w:rsidRDefault="002843EA">
      <w:pPr>
        <w:pStyle w:val="TDC1"/>
        <w:rPr>
          <w:rFonts w:asciiTheme="minorHAnsi" w:eastAsiaTheme="minorEastAsia" w:hAnsiTheme="minorHAnsi" w:cstheme="minorBidi"/>
          <w:noProof/>
          <w:sz w:val="22"/>
          <w:szCs w:val="22"/>
          <w:lang w:val="es-ES" w:eastAsia="es-ES"/>
        </w:rPr>
      </w:pPr>
      <w:hyperlink w:anchor="_Toc255802889" w:history="1">
        <w:r w:rsidRPr="00762E5D">
          <w:rPr>
            <w:rStyle w:val="Hipervnculo"/>
            <w:noProof/>
            <w:lang w:val="es-CR"/>
          </w:rPr>
          <w:t>Selección  y Aplicación de Políticas Contables, Errores y Cambios de criterios en las Estimaciones</w:t>
        </w:r>
        <w:r>
          <w:rPr>
            <w:noProof/>
            <w:webHidden/>
          </w:rPr>
          <w:tab/>
        </w:r>
        <w:r>
          <w:rPr>
            <w:noProof/>
            <w:webHidden/>
          </w:rPr>
          <w:fldChar w:fldCharType="begin"/>
        </w:r>
        <w:r>
          <w:rPr>
            <w:noProof/>
            <w:webHidden/>
          </w:rPr>
          <w:instrText xml:space="preserve"> PAGEREF _Toc255802889 \h </w:instrText>
        </w:r>
        <w:r>
          <w:rPr>
            <w:noProof/>
            <w:webHidden/>
          </w:rPr>
        </w:r>
        <w:r>
          <w:rPr>
            <w:noProof/>
            <w:webHidden/>
          </w:rPr>
          <w:fldChar w:fldCharType="separate"/>
        </w:r>
        <w:r>
          <w:rPr>
            <w:noProof/>
            <w:webHidden/>
          </w:rPr>
          <w:t>5</w:t>
        </w:r>
        <w:r>
          <w:rPr>
            <w:noProof/>
            <w:webHidden/>
          </w:rPr>
          <w:fldChar w:fldCharType="end"/>
        </w:r>
      </w:hyperlink>
    </w:p>
    <w:p w:rsidR="002843EA" w:rsidRDefault="002843EA">
      <w:pPr>
        <w:pStyle w:val="TDC1"/>
        <w:rPr>
          <w:rFonts w:asciiTheme="minorHAnsi" w:eastAsiaTheme="minorEastAsia" w:hAnsiTheme="minorHAnsi" w:cstheme="minorBidi"/>
          <w:noProof/>
          <w:sz w:val="22"/>
          <w:szCs w:val="22"/>
          <w:lang w:val="es-ES" w:eastAsia="es-ES"/>
        </w:rPr>
      </w:pPr>
      <w:hyperlink w:anchor="_Toc255802890" w:history="1">
        <w:r w:rsidRPr="00762E5D">
          <w:rPr>
            <w:rStyle w:val="Hipervnculo"/>
            <w:noProof/>
            <w:lang w:val="es-CR"/>
          </w:rPr>
          <w:t>Método de Depreciación</w:t>
        </w:r>
        <w:r>
          <w:rPr>
            <w:noProof/>
            <w:webHidden/>
          </w:rPr>
          <w:tab/>
        </w:r>
        <w:r>
          <w:rPr>
            <w:noProof/>
            <w:webHidden/>
          </w:rPr>
          <w:fldChar w:fldCharType="begin"/>
        </w:r>
        <w:r>
          <w:rPr>
            <w:noProof/>
            <w:webHidden/>
          </w:rPr>
          <w:instrText xml:space="preserve"> PAGEREF _Toc255802890 \h </w:instrText>
        </w:r>
        <w:r>
          <w:rPr>
            <w:noProof/>
            <w:webHidden/>
          </w:rPr>
        </w:r>
        <w:r>
          <w:rPr>
            <w:noProof/>
            <w:webHidden/>
          </w:rPr>
          <w:fldChar w:fldCharType="separate"/>
        </w:r>
        <w:r>
          <w:rPr>
            <w:noProof/>
            <w:webHidden/>
          </w:rPr>
          <w:t>5</w:t>
        </w:r>
        <w:r>
          <w:rPr>
            <w:noProof/>
            <w:webHidden/>
          </w:rPr>
          <w:fldChar w:fldCharType="end"/>
        </w:r>
      </w:hyperlink>
    </w:p>
    <w:p w:rsidR="002843EA" w:rsidRDefault="002843EA">
      <w:pPr>
        <w:pStyle w:val="TDC1"/>
        <w:rPr>
          <w:rFonts w:asciiTheme="minorHAnsi" w:eastAsiaTheme="minorEastAsia" w:hAnsiTheme="minorHAnsi" w:cstheme="minorBidi"/>
          <w:noProof/>
          <w:sz w:val="22"/>
          <w:szCs w:val="22"/>
          <w:lang w:val="es-ES" w:eastAsia="es-ES"/>
        </w:rPr>
      </w:pPr>
      <w:hyperlink w:anchor="_Toc255802891" w:history="1">
        <w:r w:rsidRPr="00762E5D">
          <w:rPr>
            <w:rStyle w:val="Hipervnculo"/>
            <w:noProof/>
            <w:lang w:val="es-CR"/>
          </w:rPr>
          <w:t>Pérdidas por Deterioro de Activos</w:t>
        </w:r>
        <w:r>
          <w:rPr>
            <w:noProof/>
            <w:webHidden/>
          </w:rPr>
          <w:tab/>
        </w:r>
        <w:r>
          <w:rPr>
            <w:noProof/>
            <w:webHidden/>
          </w:rPr>
          <w:fldChar w:fldCharType="begin"/>
        </w:r>
        <w:r>
          <w:rPr>
            <w:noProof/>
            <w:webHidden/>
          </w:rPr>
          <w:instrText xml:space="preserve"> PAGEREF _Toc255802891 \h </w:instrText>
        </w:r>
        <w:r>
          <w:rPr>
            <w:noProof/>
            <w:webHidden/>
          </w:rPr>
        </w:r>
        <w:r>
          <w:rPr>
            <w:noProof/>
            <w:webHidden/>
          </w:rPr>
          <w:fldChar w:fldCharType="separate"/>
        </w:r>
        <w:r>
          <w:rPr>
            <w:noProof/>
            <w:webHidden/>
          </w:rPr>
          <w:t>5</w:t>
        </w:r>
        <w:r>
          <w:rPr>
            <w:noProof/>
            <w:webHidden/>
          </w:rPr>
          <w:fldChar w:fldCharType="end"/>
        </w:r>
      </w:hyperlink>
    </w:p>
    <w:p w:rsidR="002843EA" w:rsidRDefault="002843EA">
      <w:pPr>
        <w:pStyle w:val="TDC1"/>
        <w:rPr>
          <w:rFonts w:asciiTheme="minorHAnsi" w:eastAsiaTheme="minorEastAsia" w:hAnsiTheme="minorHAnsi" w:cstheme="minorBidi"/>
          <w:noProof/>
          <w:sz w:val="22"/>
          <w:szCs w:val="22"/>
          <w:lang w:val="es-ES" w:eastAsia="es-ES"/>
        </w:rPr>
      </w:pPr>
      <w:hyperlink w:anchor="_Toc255802892" w:history="1">
        <w:r w:rsidRPr="00762E5D">
          <w:rPr>
            <w:rStyle w:val="Hipervnculo"/>
            <w:noProof/>
            <w:lang w:val="es-CR"/>
          </w:rPr>
          <w:t>Activos y Pasivos Financieros</w:t>
        </w:r>
        <w:r>
          <w:rPr>
            <w:noProof/>
            <w:webHidden/>
          </w:rPr>
          <w:tab/>
        </w:r>
        <w:r>
          <w:rPr>
            <w:noProof/>
            <w:webHidden/>
          </w:rPr>
          <w:fldChar w:fldCharType="begin"/>
        </w:r>
        <w:r>
          <w:rPr>
            <w:noProof/>
            <w:webHidden/>
          </w:rPr>
          <w:instrText xml:space="preserve"> PAGEREF _Toc255802892 \h </w:instrText>
        </w:r>
        <w:r>
          <w:rPr>
            <w:noProof/>
            <w:webHidden/>
          </w:rPr>
        </w:r>
        <w:r>
          <w:rPr>
            <w:noProof/>
            <w:webHidden/>
          </w:rPr>
          <w:fldChar w:fldCharType="separate"/>
        </w:r>
        <w:r>
          <w:rPr>
            <w:noProof/>
            <w:webHidden/>
          </w:rPr>
          <w:t>5</w:t>
        </w:r>
        <w:r>
          <w:rPr>
            <w:noProof/>
            <w:webHidden/>
          </w:rPr>
          <w:fldChar w:fldCharType="end"/>
        </w:r>
      </w:hyperlink>
    </w:p>
    <w:p w:rsidR="002843EA" w:rsidRDefault="002843EA">
      <w:pPr>
        <w:pStyle w:val="TDC1"/>
        <w:rPr>
          <w:rFonts w:asciiTheme="minorHAnsi" w:eastAsiaTheme="minorEastAsia" w:hAnsiTheme="minorHAnsi" w:cstheme="minorBidi"/>
          <w:noProof/>
          <w:sz w:val="22"/>
          <w:szCs w:val="22"/>
          <w:lang w:val="es-ES" w:eastAsia="es-ES"/>
        </w:rPr>
      </w:pPr>
      <w:hyperlink w:anchor="_Toc255802893" w:history="1">
        <w:r w:rsidRPr="00762E5D">
          <w:rPr>
            <w:rStyle w:val="Hipervnculo"/>
            <w:noProof/>
            <w:lang w:val="es-CR"/>
          </w:rPr>
          <w:t>Estimación para Incobrables</w:t>
        </w:r>
        <w:r>
          <w:rPr>
            <w:noProof/>
            <w:webHidden/>
          </w:rPr>
          <w:tab/>
        </w:r>
        <w:r>
          <w:rPr>
            <w:noProof/>
            <w:webHidden/>
          </w:rPr>
          <w:fldChar w:fldCharType="begin"/>
        </w:r>
        <w:r>
          <w:rPr>
            <w:noProof/>
            <w:webHidden/>
          </w:rPr>
          <w:instrText xml:space="preserve"> PAGEREF _Toc255802893 \h </w:instrText>
        </w:r>
        <w:r>
          <w:rPr>
            <w:noProof/>
            <w:webHidden/>
          </w:rPr>
        </w:r>
        <w:r>
          <w:rPr>
            <w:noProof/>
            <w:webHidden/>
          </w:rPr>
          <w:fldChar w:fldCharType="separate"/>
        </w:r>
        <w:r>
          <w:rPr>
            <w:noProof/>
            <w:webHidden/>
          </w:rPr>
          <w:t>6</w:t>
        </w:r>
        <w:r>
          <w:rPr>
            <w:noProof/>
            <w:webHidden/>
          </w:rPr>
          <w:fldChar w:fldCharType="end"/>
        </w:r>
      </w:hyperlink>
    </w:p>
    <w:p w:rsidR="002843EA" w:rsidRDefault="002843EA">
      <w:pPr>
        <w:pStyle w:val="TDC1"/>
        <w:rPr>
          <w:rFonts w:asciiTheme="minorHAnsi" w:eastAsiaTheme="minorEastAsia" w:hAnsiTheme="minorHAnsi" w:cstheme="minorBidi"/>
          <w:noProof/>
          <w:sz w:val="22"/>
          <w:szCs w:val="22"/>
          <w:lang w:val="es-ES" w:eastAsia="es-ES"/>
        </w:rPr>
      </w:pPr>
      <w:hyperlink w:anchor="_Toc255802894" w:history="1">
        <w:r w:rsidRPr="00762E5D">
          <w:rPr>
            <w:rStyle w:val="Hipervnculo"/>
            <w:noProof/>
            <w:lang w:val="es-CR"/>
          </w:rPr>
          <w:t>Activos y Pasivos Contingentes</w:t>
        </w:r>
        <w:r>
          <w:rPr>
            <w:noProof/>
            <w:webHidden/>
          </w:rPr>
          <w:tab/>
        </w:r>
        <w:r>
          <w:rPr>
            <w:noProof/>
            <w:webHidden/>
          </w:rPr>
          <w:fldChar w:fldCharType="begin"/>
        </w:r>
        <w:r>
          <w:rPr>
            <w:noProof/>
            <w:webHidden/>
          </w:rPr>
          <w:instrText xml:space="preserve"> PAGEREF _Toc255802894 \h </w:instrText>
        </w:r>
        <w:r>
          <w:rPr>
            <w:noProof/>
            <w:webHidden/>
          </w:rPr>
        </w:r>
        <w:r>
          <w:rPr>
            <w:noProof/>
            <w:webHidden/>
          </w:rPr>
          <w:fldChar w:fldCharType="separate"/>
        </w:r>
        <w:r>
          <w:rPr>
            <w:noProof/>
            <w:webHidden/>
          </w:rPr>
          <w:t>6</w:t>
        </w:r>
        <w:r>
          <w:rPr>
            <w:noProof/>
            <w:webHidden/>
          </w:rPr>
          <w:fldChar w:fldCharType="end"/>
        </w:r>
      </w:hyperlink>
    </w:p>
    <w:p w:rsidR="002843EA" w:rsidRDefault="002843EA">
      <w:pPr>
        <w:pStyle w:val="TDC1"/>
        <w:rPr>
          <w:rFonts w:asciiTheme="minorHAnsi" w:eastAsiaTheme="minorEastAsia" w:hAnsiTheme="minorHAnsi" w:cstheme="minorBidi"/>
          <w:noProof/>
          <w:sz w:val="22"/>
          <w:szCs w:val="22"/>
          <w:lang w:val="es-ES" w:eastAsia="es-ES"/>
        </w:rPr>
      </w:pPr>
      <w:hyperlink w:anchor="_Toc255802895" w:history="1">
        <w:r w:rsidRPr="00762E5D">
          <w:rPr>
            <w:rStyle w:val="Hipervnculo"/>
            <w:noProof/>
            <w:lang w:val="es-CR"/>
          </w:rPr>
          <w:t>Variaciones en las Tasas de Cambio</w:t>
        </w:r>
        <w:r>
          <w:rPr>
            <w:noProof/>
            <w:webHidden/>
          </w:rPr>
          <w:tab/>
        </w:r>
        <w:r>
          <w:rPr>
            <w:noProof/>
            <w:webHidden/>
          </w:rPr>
          <w:fldChar w:fldCharType="begin"/>
        </w:r>
        <w:r>
          <w:rPr>
            <w:noProof/>
            <w:webHidden/>
          </w:rPr>
          <w:instrText xml:space="preserve"> PAGEREF _Toc255802895 \h </w:instrText>
        </w:r>
        <w:r>
          <w:rPr>
            <w:noProof/>
            <w:webHidden/>
          </w:rPr>
        </w:r>
        <w:r>
          <w:rPr>
            <w:noProof/>
            <w:webHidden/>
          </w:rPr>
          <w:fldChar w:fldCharType="separate"/>
        </w:r>
        <w:r>
          <w:rPr>
            <w:noProof/>
            <w:webHidden/>
          </w:rPr>
          <w:t>6</w:t>
        </w:r>
        <w:r>
          <w:rPr>
            <w:noProof/>
            <w:webHidden/>
          </w:rPr>
          <w:fldChar w:fldCharType="end"/>
        </w:r>
      </w:hyperlink>
    </w:p>
    <w:p w:rsidR="002843EA" w:rsidRDefault="002843EA">
      <w:pPr>
        <w:pStyle w:val="TDC1"/>
        <w:rPr>
          <w:rFonts w:asciiTheme="minorHAnsi" w:eastAsiaTheme="minorEastAsia" w:hAnsiTheme="minorHAnsi" w:cstheme="minorBidi"/>
          <w:noProof/>
          <w:sz w:val="22"/>
          <w:szCs w:val="22"/>
          <w:lang w:val="es-ES" w:eastAsia="es-ES"/>
        </w:rPr>
      </w:pPr>
      <w:hyperlink w:anchor="_Toc255802896" w:history="1">
        <w:r w:rsidRPr="00762E5D">
          <w:rPr>
            <w:rStyle w:val="Hipervnculo"/>
            <w:noProof/>
            <w:lang w:val="es-CR"/>
          </w:rPr>
          <w:t>Utilidades</w:t>
        </w:r>
        <w:r>
          <w:rPr>
            <w:noProof/>
            <w:webHidden/>
          </w:rPr>
          <w:tab/>
        </w:r>
        <w:r>
          <w:rPr>
            <w:noProof/>
            <w:webHidden/>
          </w:rPr>
          <w:fldChar w:fldCharType="begin"/>
        </w:r>
        <w:r>
          <w:rPr>
            <w:noProof/>
            <w:webHidden/>
          </w:rPr>
          <w:instrText xml:space="preserve"> PAGEREF _Toc255802896 \h </w:instrText>
        </w:r>
        <w:r>
          <w:rPr>
            <w:noProof/>
            <w:webHidden/>
          </w:rPr>
        </w:r>
        <w:r>
          <w:rPr>
            <w:noProof/>
            <w:webHidden/>
          </w:rPr>
          <w:fldChar w:fldCharType="separate"/>
        </w:r>
        <w:r>
          <w:rPr>
            <w:noProof/>
            <w:webHidden/>
          </w:rPr>
          <w:t>7</w:t>
        </w:r>
        <w:r>
          <w:rPr>
            <w:noProof/>
            <w:webHidden/>
          </w:rPr>
          <w:fldChar w:fldCharType="end"/>
        </w:r>
      </w:hyperlink>
    </w:p>
    <w:p w:rsidR="002843EA" w:rsidRDefault="002843EA">
      <w:pPr>
        <w:pStyle w:val="TDC1"/>
        <w:rPr>
          <w:rFonts w:asciiTheme="minorHAnsi" w:eastAsiaTheme="minorEastAsia" w:hAnsiTheme="minorHAnsi" w:cstheme="minorBidi"/>
          <w:noProof/>
          <w:sz w:val="22"/>
          <w:szCs w:val="22"/>
          <w:lang w:val="es-ES" w:eastAsia="es-ES"/>
        </w:rPr>
      </w:pPr>
      <w:hyperlink w:anchor="_Toc255802897" w:history="1">
        <w:r w:rsidRPr="00762E5D">
          <w:rPr>
            <w:rStyle w:val="Hipervnculo"/>
            <w:noProof/>
            <w:lang w:val="es-CR"/>
          </w:rPr>
          <w:t>Cuentas de Orden</w:t>
        </w:r>
        <w:r>
          <w:rPr>
            <w:noProof/>
            <w:webHidden/>
          </w:rPr>
          <w:tab/>
        </w:r>
        <w:r>
          <w:rPr>
            <w:noProof/>
            <w:webHidden/>
          </w:rPr>
          <w:fldChar w:fldCharType="begin"/>
        </w:r>
        <w:r>
          <w:rPr>
            <w:noProof/>
            <w:webHidden/>
          </w:rPr>
          <w:instrText xml:space="preserve"> PAGEREF _Toc255802897 \h </w:instrText>
        </w:r>
        <w:r>
          <w:rPr>
            <w:noProof/>
            <w:webHidden/>
          </w:rPr>
        </w:r>
        <w:r>
          <w:rPr>
            <w:noProof/>
            <w:webHidden/>
          </w:rPr>
          <w:fldChar w:fldCharType="separate"/>
        </w:r>
        <w:r>
          <w:rPr>
            <w:noProof/>
            <w:webHidden/>
          </w:rPr>
          <w:t>7</w:t>
        </w:r>
        <w:r>
          <w:rPr>
            <w:noProof/>
            <w:webHidden/>
          </w:rPr>
          <w:fldChar w:fldCharType="end"/>
        </w:r>
      </w:hyperlink>
    </w:p>
    <w:p w:rsidR="002843EA" w:rsidRDefault="002843EA">
      <w:pPr>
        <w:pStyle w:val="TDC1"/>
        <w:rPr>
          <w:rFonts w:asciiTheme="minorHAnsi" w:eastAsiaTheme="minorEastAsia" w:hAnsiTheme="minorHAnsi" w:cstheme="minorBidi"/>
          <w:noProof/>
          <w:sz w:val="22"/>
          <w:szCs w:val="22"/>
          <w:lang w:val="es-ES" w:eastAsia="es-ES"/>
        </w:rPr>
      </w:pPr>
      <w:hyperlink w:anchor="_Toc255802898" w:history="1">
        <w:r w:rsidRPr="00762E5D">
          <w:rPr>
            <w:rStyle w:val="Hipervnculo"/>
            <w:noProof/>
            <w:lang w:val="es-CR"/>
          </w:rPr>
          <w:t>Revaluación de Activos Inmuebles, Muebles e Intangibles</w:t>
        </w:r>
        <w:r>
          <w:rPr>
            <w:noProof/>
            <w:webHidden/>
          </w:rPr>
          <w:tab/>
        </w:r>
        <w:r>
          <w:rPr>
            <w:noProof/>
            <w:webHidden/>
          </w:rPr>
          <w:fldChar w:fldCharType="begin"/>
        </w:r>
        <w:r>
          <w:rPr>
            <w:noProof/>
            <w:webHidden/>
          </w:rPr>
          <w:instrText xml:space="preserve"> PAGEREF _Toc255802898 \h </w:instrText>
        </w:r>
        <w:r>
          <w:rPr>
            <w:noProof/>
            <w:webHidden/>
          </w:rPr>
        </w:r>
        <w:r>
          <w:rPr>
            <w:noProof/>
            <w:webHidden/>
          </w:rPr>
          <w:fldChar w:fldCharType="separate"/>
        </w:r>
        <w:r>
          <w:rPr>
            <w:noProof/>
            <w:webHidden/>
          </w:rPr>
          <w:t>7</w:t>
        </w:r>
        <w:r>
          <w:rPr>
            <w:noProof/>
            <w:webHidden/>
          </w:rPr>
          <w:fldChar w:fldCharType="end"/>
        </w:r>
      </w:hyperlink>
    </w:p>
    <w:p w:rsidR="002843EA" w:rsidRDefault="002843EA">
      <w:pPr>
        <w:pStyle w:val="TDC1"/>
        <w:rPr>
          <w:rFonts w:asciiTheme="minorHAnsi" w:eastAsiaTheme="minorEastAsia" w:hAnsiTheme="minorHAnsi" w:cstheme="minorBidi"/>
          <w:noProof/>
          <w:sz w:val="22"/>
          <w:szCs w:val="22"/>
          <w:lang w:val="es-ES" w:eastAsia="es-ES"/>
        </w:rPr>
      </w:pPr>
      <w:hyperlink w:anchor="_Toc255802899" w:history="1">
        <w:r w:rsidRPr="00762E5D">
          <w:rPr>
            <w:rStyle w:val="Hipervnculo"/>
            <w:noProof/>
            <w:lang w:val="es-CR"/>
          </w:rPr>
          <w:t>Impuesto sobre la Renta</w:t>
        </w:r>
        <w:r>
          <w:rPr>
            <w:noProof/>
            <w:webHidden/>
          </w:rPr>
          <w:tab/>
        </w:r>
        <w:r>
          <w:rPr>
            <w:noProof/>
            <w:webHidden/>
          </w:rPr>
          <w:fldChar w:fldCharType="begin"/>
        </w:r>
        <w:r>
          <w:rPr>
            <w:noProof/>
            <w:webHidden/>
          </w:rPr>
          <w:instrText xml:space="preserve"> PAGEREF _Toc255802899 \h </w:instrText>
        </w:r>
        <w:r>
          <w:rPr>
            <w:noProof/>
            <w:webHidden/>
          </w:rPr>
        </w:r>
        <w:r>
          <w:rPr>
            <w:noProof/>
            <w:webHidden/>
          </w:rPr>
          <w:fldChar w:fldCharType="separate"/>
        </w:r>
        <w:r>
          <w:rPr>
            <w:noProof/>
            <w:webHidden/>
          </w:rPr>
          <w:t>8</w:t>
        </w:r>
        <w:r>
          <w:rPr>
            <w:noProof/>
            <w:webHidden/>
          </w:rPr>
          <w:fldChar w:fldCharType="end"/>
        </w:r>
      </w:hyperlink>
    </w:p>
    <w:p w:rsidR="002843EA" w:rsidRDefault="002843EA">
      <w:pPr>
        <w:pStyle w:val="TDC1"/>
        <w:rPr>
          <w:rFonts w:asciiTheme="minorHAnsi" w:eastAsiaTheme="minorEastAsia" w:hAnsiTheme="minorHAnsi" w:cstheme="minorBidi"/>
          <w:noProof/>
          <w:sz w:val="22"/>
          <w:szCs w:val="22"/>
          <w:lang w:val="es-ES" w:eastAsia="es-ES"/>
        </w:rPr>
      </w:pPr>
      <w:hyperlink w:anchor="_Toc255802900" w:history="1">
        <w:r w:rsidRPr="00762E5D">
          <w:rPr>
            <w:rStyle w:val="Hipervnculo"/>
            <w:noProof/>
            <w:lang w:val="es-CR"/>
          </w:rPr>
          <w:t>Prestaciones Legales</w:t>
        </w:r>
        <w:r>
          <w:rPr>
            <w:noProof/>
            <w:webHidden/>
          </w:rPr>
          <w:tab/>
        </w:r>
        <w:r>
          <w:rPr>
            <w:noProof/>
            <w:webHidden/>
          </w:rPr>
          <w:fldChar w:fldCharType="begin"/>
        </w:r>
        <w:r>
          <w:rPr>
            <w:noProof/>
            <w:webHidden/>
          </w:rPr>
          <w:instrText xml:space="preserve"> PAGEREF _Toc255802900 \h </w:instrText>
        </w:r>
        <w:r>
          <w:rPr>
            <w:noProof/>
            <w:webHidden/>
          </w:rPr>
        </w:r>
        <w:r>
          <w:rPr>
            <w:noProof/>
            <w:webHidden/>
          </w:rPr>
          <w:fldChar w:fldCharType="separate"/>
        </w:r>
        <w:r>
          <w:rPr>
            <w:noProof/>
            <w:webHidden/>
          </w:rPr>
          <w:t>8</w:t>
        </w:r>
        <w:r>
          <w:rPr>
            <w:noProof/>
            <w:webHidden/>
          </w:rPr>
          <w:fldChar w:fldCharType="end"/>
        </w:r>
      </w:hyperlink>
    </w:p>
    <w:p w:rsidR="002843EA" w:rsidRDefault="002843EA">
      <w:pPr>
        <w:pStyle w:val="TDC1"/>
        <w:rPr>
          <w:rFonts w:asciiTheme="minorHAnsi" w:eastAsiaTheme="minorEastAsia" w:hAnsiTheme="minorHAnsi" w:cstheme="minorBidi"/>
          <w:noProof/>
          <w:sz w:val="22"/>
          <w:szCs w:val="22"/>
          <w:lang w:val="es-ES" w:eastAsia="es-ES"/>
        </w:rPr>
      </w:pPr>
      <w:hyperlink w:anchor="_Toc255802901" w:history="1">
        <w:r w:rsidRPr="00762E5D">
          <w:rPr>
            <w:rStyle w:val="Hipervnculo"/>
            <w:noProof/>
            <w:lang w:val="es-CR"/>
          </w:rPr>
          <w:t>NOTAS COMPLEMENTARIAS PARA LAS PARTIDAS PRESENTADAS EN EL BALANCE GENERAL Y EL ESTADO DE CAMBIOS EN EL   PATRIMONIO NETO (NOTAS A LOS ESTADOS FINANCIEROS)</w:t>
        </w:r>
        <w:r>
          <w:rPr>
            <w:noProof/>
            <w:webHidden/>
          </w:rPr>
          <w:tab/>
        </w:r>
        <w:r>
          <w:rPr>
            <w:noProof/>
            <w:webHidden/>
          </w:rPr>
          <w:fldChar w:fldCharType="begin"/>
        </w:r>
        <w:r>
          <w:rPr>
            <w:noProof/>
            <w:webHidden/>
          </w:rPr>
          <w:instrText xml:space="preserve"> PAGEREF _Toc255802901 \h </w:instrText>
        </w:r>
        <w:r>
          <w:rPr>
            <w:noProof/>
            <w:webHidden/>
          </w:rPr>
        </w:r>
        <w:r>
          <w:rPr>
            <w:noProof/>
            <w:webHidden/>
          </w:rPr>
          <w:fldChar w:fldCharType="separate"/>
        </w:r>
        <w:r>
          <w:rPr>
            <w:noProof/>
            <w:webHidden/>
          </w:rPr>
          <w:t>11</w:t>
        </w:r>
        <w:r>
          <w:rPr>
            <w:noProof/>
            <w:webHidden/>
          </w:rPr>
          <w:fldChar w:fldCharType="end"/>
        </w:r>
      </w:hyperlink>
    </w:p>
    <w:p w:rsidR="002843EA" w:rsidRDefault="002843EA">
      <w:pPr>
        <w:pStyle w:val="TDC1"/>
        <w:rPr>
          <w:rFonts w:asciiTheme="minorHAnsi" w:eastAsiaTheme="minorEastAsia" w:hAnsiTheme="minorHAnsi" w:cstheme="minorBidi"/>
          <w:noProof/>
          <w:sz w:val="22"/>
          <w:szCs w:val="22"/>
          <w:lang w:val="es-ES" w:eastAsia="es-ES"/>
        </w:rPr>
      </w:pPr>
      <w:hyperlink w:anchor="_Toc255802902" w:history="1">
        <w:r w:rsidRPr="00762E5D">
          <w:rPr>
            <w:rStyle w:val="Hipervnculo"/>
            <w:noProof/>
            <w:lang w:val="es-CR"/>
          </w:rPr>
          <w:t xml:space="preserve">Nota 1:  </w:t>
        </w:r>
        <w:r>
          <w:rPr>
            <w:rStyle w:val="Hipervnculo"/>
            <w:noProof/>
            <w:lang w:val="es-CR"/>
          </w:rPr>
          <w:t xml:space="preserve"> </w:t>
        </w:r>
        <w:r w:rsidRPr="00762E5D">
          <w:rPr>
            <w:rStyle w:val="Hipervnculo"/>
            <w:noProof/>
            <w:lang w:val="es-CR"/>
          </w:rPr>
          <w:t xml:space="preserve"> </w:t>
        </w:r>
        <w:r>
          <w:rPr>
            <w:rStyle w:val="Hipervnculo"/>
            <w:noProof/>
            <w:lang w:val="es-CR"/>
          </w:rPr>
          <w:t xml:space="preserve"> </w:t>
        </w:r>
        <w:r w:rsidRPr="00762E5D">
          <w:rPr>
            <w:rStyle w:val="Hipervnculo"/>
            <w:noProof/>
            <w:lang w:val="es-CR"/>
          </w:rPr>
          <w:t>Disponibilidades</w:t>
        </w:r>
        <w:r>
          <w:rPr>
            <w:noProof/>
            <w:webHidden/>
          </w:rPr>
          <w:tab/>
        </w:r>
        <w:r>
          <w:rPr>
            <w:noProof/>
            <w:webHidden/>
          </w:rPr>
          <w:fldChar w:fldCharType="begin"/>
        </w:r>
        <w:r>
          <w:rPr>
            <w:noProof/>
            <w:webHidden/>
          </w:rPr>
          <w:instrText xml:space="preserve"> PAGEREF _Toc255802902 \h </w:instrText>
        </w:r>
        <w:r>
          <w:rPr>
            <w:noProof/>
            <w:webHidden/>
          </w:rPr>
        </w:r>
        <w:r>
          <w:rPr>
            <w:noProof/>
            <w:webHidden/>
          </w:rPr>
          <w:fldChar w:fldCharType="separate"/>
        </w:r>
        <w:r>
          <w:rPr>
            <w:noProof/>
            <w:webHidden/>
          </w:rPr>
          <w:t>11</w:t>
        </w:r>
        <w:r>
          <w:rPr>
            <w:noProof/>
            <w:webHidden/>
          </w:rPr>
          <w:fldChar w:fldCharType="end"/>
        </w:r>
      </w:hyperlink>
    </w:p>
    <w:p w:rsidR="002843EA" w:rsidRDefault="002843EA">
      <w:pPr>
        <w:pStyle w:val="TDC1"/>
        <w:rPr>
          <w:rFonts w:asciiTheme="minorHAnsi" w:eastAsiaTheme="minorEastAsia" w:hAnsiTheme="minorHAnsi" w:cstheme="minorBidi"/>
          <w:noProof/>
          <w:sz w:val="22"/>
          <w:szCs w:val="22"/>
          <w:lang w:val="es-ES" w:eastAsia="es-ES"/>
        </w:rPr>
      </w:pPr>
      <w:hyperlink w:anchor="_Toc255802903" w:history="1">
        <w:r w:rsidRPr="00762E5D">
          <w:rPr>
            <w:rStyle w:val="Hipervnculo"/>
            <w:noProof/>
            <w:lang w:val="es-CR"/>
          </w:rPr>
          <w:t xml:space="preserve">Nota 2:  </w:t>
        </w:r>
        <w:r>
          <w:rPr>
            <w:rStyle w:val="Hipervnculo"/>
            <w:noProof/>
            <w:lang w:val="es-CR"/>
          </w:rPr>
          <w:t xml:space="preserve"> </w:t>
        </w:r>
        <w:r w:rsidRPr="00762E5D">
          <w:rPr>
            <w:rStyle w:val="Hipervnculo"/>
            <w:noProof/>
            <w:lang w:val="es-CR"/>
          </w:rPr>
          <w:t xml:space="preserve"> </w:t>
        </w:r>
        <w:r>
          <w:rPr>
            <w:rStyle w:val="Hipervnculo"/>
            <w:noProof/>
            <w:lang w:val="es-CR"/>
          </w:rPr>
          <w:t xml:space="preserve"> </w:t>
        </w:r>
        <w:r w:rsidRPr="00762E5D">
          <w:rPr>
            <w:rStyle w:val="Hipervnculo"/>
            <w:noProof/>
            <w:lang w:val="es-CR"/>
          </w:rPr>
          <w:t>Otros Activos (Externos)</w:t>
        </w:r>
        <w:r>
          <w:rPr>
            <w:noProof/>
            <w:webHidden/>
          </w:rPr>
          <w:tab/>
        </w:r>
        <w:r>
          <w:rPr>
            <w:noProof/>
            <w:webHidden/>
          </w:rPr>
          <w:fldChar w:fldCharType="begin"/>
        </w:r>
        <w:r>
          <w:rPr>
            <w:noProof/>
            <w:webHidden/>
          </w:rPr>
          <w:instrText xml:space="preserve"> PAGEREF _Toc255802903 \h </w:instrText>
        </w:r>
        <w:r>
          <w:rPr>
            <w:noProof/>
            <w:webHidden/>
          </w:rPr>
        </w:r>
        <w:r>
          <w:rPr>
            <w:noProof/>
            <w:webHidden/>
          </w:rPr>
          <w:fldChar w:fldCharType="separate"/>
        </w:r>
        <w:r>
          <w:rPr>
            <w:noProof/>
            <w:webHidden/>
          </w:rPr>
          <w:t>14</w:t>
        </w:r>
        <w:r>
          <w:rPr>
            <w:noProof/>
            <w:webHidden/>
          </w:rPr>
          <w:fldChar w:fldCharType="end"/>
        </w:r>
      </w:hyperlink>
    </w:p>
    <w:p w:rsidR="002843EA" w:rsidRDefault="002843EA">
      <w:pPr>
        <w:pStyle w:val="TDC1"/>
        <w:rPr>
          <w:rFonts w:asciiTheme="minorHAnsi" w:eastAsiaTheme="minorEastAsia" w:hAnsiTheme="minorHAnsi" w:cstheme="minorBidi"/>
          <w:noProof/>
          <w:sz w:val="22"/>
          <w:szCs w:val="22"/>
          <w:lang w:val="es-ES" w:eastAsia="es-ES"/>
        </w:rPr>
      </w:pPr>
      <w:hyperlink w:anchor="_Toc255802904" w:history="1">
        <w:r w:rsidRPr="00762E5D">
          <w:rPr>
            <w:rStyle w:val="Hipervnculo"/>
            <w:noProof/>
            <w:lang w:val="es-CR"/>
          </w:rPr>
          <w:t xml:space="preserve">Nota 3: </w:t>
        </w:r>
        <w:r>
          <w:rPr>
            <w:rStyle w:val="Hipervnculo"/>
            <w:noProof/>
            <w:lang w:val="es-CR"/>
          </w:rPr>
          <w:t xml:space="preserve">    </w:t>
        </w:r>
        <w:r w:rsidRPr="00762E5D">
          <w:rPr>
            <w:rStyle w:val="Hipervnculo"/>
            <w:noProof/>
            <w:lang w:val="es-CR"/>
          </w:rPr>
          <w:t>Aportes a Organismos Financieros Internacionales</w:t>
        </w:r>
        <w:r>
          <w:rPr>
            <w:noProof/>
            <w:webHidden/>
          </w:rPr>
          <w:tab/>
        </w:r>
        <w:r>
          <w:rPr>
            <w:noProof/>
            <w:webHidden/>
          </w:rPr>
          <w:fldChar w:fldCharType="begin"/>
        </w:r>
        <w:r>
          <w:rPr>
            <w:noProof/>
            <w:webHidden/>
          </w:rPr>
          <w:instrText xml:space="preserve"> PAGEREF _Toc255802904 \h </w:instrText>
        </w:r>
        <w:r>
          <w:rPr>
            <w:noProof/>
            <w:webHidden/>
          </w:rPr>
        </w:r>
        <w:r>
          <w:rPr>
            <w:noProof/>
            <w:webHidden/>
          </w:rPr>
          <w:fldChar w:fldCharType="separate"/>
        </w:r>
        <w:r>
          <w:rPr>
            <w:noProof/>
            <w:webHidden/>
          </w:rPr>
          <w:t>14</w:t>
        </w:r>
        <w:r>
          <w:rPr>
            <w:noProof/>
            <w:webHidden/>
          </w:rPr>
          <w:fldChar w:fldCharType="end"/>
        </w:r>
      </w:hyperlink>
    </w:p>
    <w:p w:rsidR="002843EA" w:rsidRDefault="002843EA">
      <w:pPr>
        <w:pStyle w:val="TDC1"/>
        <w:rPr>
          <w:rFonts w:asciiTheme="minorHAnsi" w:eastAsiaTheme="minorEastAsia" w:hAnsiTheme="minorHAnsi" w:cstheme="minorBidi"/>
          <w:noProof/>
          <w:sz w:val="22"/>
          <w:szCs w:val="22"/>
          <w:lang w:val="es-ES" w:eastAsia="es-ES"/>
        </w:rPr>
      </w:pPr>
      <w:hyperlink w:anchor="_Toc255802905" w:history="1">
        <w:r w:rsidRPr="00762E5D">
          <w:rPr>
            <w:rStyle w:val="Hipervnculo"/>
            <w:noProof/>
            <w:lang w:val="es-CR"/>
          </w:rPr>
          <w:t xml:space="preserve">Nota 4:   </w:t>
        </w:r>
        <w:r>
          <w:rPr>
            <w:rStyle w:val="Hipervnculo"/>
            <w:noProof/>
            <w:lang w:val="es-CR"/>
          </w:rPr>
          <w:t xml:space="preserve">  </w:t>
        </w:r>
        <w:r w:rsidRPr="00762E5D">
          <w:rPr>
            <w:rStyle w:val="Hipervnculo"/>
            <w:noProof/>
            <w:lang w:val="es-CR"/>
          </w:rPr>
          <w:t>Inversiones en Valores Nacionales</w:t>
        </w:r>
        <w:r>
          <w:rPr>
            <w:noProof/>
            <w:webHidden/>
          </w:rPr>
          <w:tab/>
        </w:r>
        <w:r>
          <w:rPr>
            <w:noProof/>
            <w:webHidden/>
          </w:rPr>
          <w:fldChar w:fldCharType="begin"/>
        </w:r>
        <w:r>
          <w:rPr>
            <w:noProof/>
            <w:webHidden/>
          </w:rPr>
          <w:instrText xml:space="preserve"> PAGEREF _Toc255802905 \h </w:instrText>
        </w:r>
        <w:r>
          <w:rPr>
            <w:noProof/>
            <w:webHidden/>
          </w:rPr>
        </w:r>
        <w:r>
          <w:rPr>
            <w:noProof/>
            <w:webHidden/>
          </w:rPr>
          <w:fldChar w:fldCharType="separate"/>
        </w:r>
        <w:r>
          <w:rPr>
            <w:noProof/>
            <w:webHidden/>
          </w:rPr>
          <w:t>15</w:t>
        </w:r>
        <w:r>
          <w:rPr>
            <w:noProof/>
            <w:webHidden/>
          </w:rPr>
          <w:fldChar w:fldCharType="end"/>
        </w:r>
      </w:hyperlink>
    </w:p>
    <w:p w:rsidR="002843EA" w:rsidRDefault="002843EA">
      <w:pPr>
        <w:pStyle w:val="TDC1"/>
        <w:rPr>
          <w:rFonts w:asciiTheme="minorHAnsi" w:eastAsiaTheme="minorEastAsia" w:hAnsiTheme="minorHAnsi" w:cstheme="minorBidi"/>
          <w:noProof/>
          <w:sz w:val="22"/>
          <w:szCs w:val="22"/>
          <w:lang w:val="es-ES" w:eastAsia="es-ES"/>
        </w:rPr>
      </w:pPr>
      <w:hyperlink w:anchor="_Toc255802906" w:history="1">
        <w:r w:rsidRPr="00762E5D">
          <w:rPr>
            <w:rStyle w:val="Hipervnculo"/>
            <w:noProof/>
            <w:lang w:val="es-CR"/>
          </w:rPr>
          <w:t xml:space="preserve">Nota 5:   </w:t>
        </w:r>
        <w:r>
          <w:rPr>
            <w:rStyle w:val="Hipervnculo"/>
            <w:noProof/>
            <w:lang w:val="es-CR"/>
          </w:rPr>
          <w:t xml:space="preserve">  </w:t>
        </w:r>
        <w:r w:rsidRPr="00762E5D">
          <w:rPr>
            <w:rStyle w:val="Hipervnculo"/>
            <w:noProof/>
            <w:lang w:val="es-CR"/>
          </w:rPr>
          <w:t>Créditos a Residentes</w:t>
        </w:r>
        <w:r>
          <w:rPr>
            <w:noProof/>
            <w:webHidden/>
          </w:rPr>
          <w:tab/>
        </w:r>
        <w:r>
          <w:rPr>
            <w:noProof/>
            <w:webHidden/>
          </w:rPr>
          <w:fldChar w:fldCharType="begin"/>
        </w:r>
        <w:r>
          <w:rPr>
            <w:noProof/>
            <w:webHidden/>
          </w:rPr>
          <w:instrText xml:space="preserve"> PAGEREF _Toc255802906 \h </w:instrText>
        </w:r>
        <w:r>
          <w:rPr>
            <w:noProof/>
            <w:webHidden/>
          </w:rPr>
        </w:r>
        <w:r>
          <w:rPr>
            <w:noProof/>
            <w:webHidden/>
          </w:rPr>
          <w:fldChar w:fldCharType="separate"/>
        </w:r>
        <w:r>
          <w:rPr>
            <w:noProof/>
            <w:webHidden/>
          </w:rPr>
          <w:t>15</w:t>
        </w:r>
        <w:r>
          <w:rPr>
            <w:noProof/>
            <w:webHidden/>
          </w:rPr>
          <w:fldChar w:fldCharType="end"/>
        </w:r>
      </w:hyperlink>
    </w:p>
    <w:p w:rsidR="002843EA" w:rsidRDefault="002843EA">
      <w:pPr>
        <w:pStyle w:val="TDC1"/>
        <w:rPr>
          <w:rFonts w:asciiTheme="minorHAnsi" w:eastAsiaTheme="minorEastAsia" w:hAnsiTheme="minorHAnsi" w:cstheme="minorBidi"/>
          <w:noProof/>
          <w:sz w:val="22"/>
          <w:szCs w:val="22"/>
          <w:lang w:val="es-ES" w:eastAsia="es-ES"/>
        </w:rPr>
      </w:pPr>
      <w:hyperlink w:anchor="_Toc255802907" w:history="1">
        <w:r w:rsidRPr="00762E5D">
          <w:rPr>
            <w:rStyle w:val="Hipervnculo"/>
            <w:noProof/>
            <w:lang w:val="es-CR"/>
          </w:rPr>
          <w:t xml:space="preserve">Nota 6: </w:t>
        </w:r>
        <w:r>
          <w:rPr>
            <w:rStyle w:val="Hipervnculo"/>
            <w:noProof/>
            <w:lang w:val="es-CR"/>
          </w:rPr>
          <w:t xml:space="preserve">    </w:t>
        </w:r>
        <w:r w:rsidRPr="00762E5D">
          <w:rPr>
            <w:rStyle w:val="Hipervnculo"/>
            <w:noProof/>
            <w:lang w:val="es-CR"/>
          </w:rPr>
          <w:t>Otros Activos (Internos)</w:t>
        </w:r>
        <w:r>
          <w:rPr>
            <w:noProof/>
            <w:webHidden/>
          </w:rPr>
          <w:tab/>
        </w:r>
        <w:r>
          <w:rPr>
            <w:noProof/>
            <w:webHidden/>
          </w:rPr>
          <w:fldChar w:fldCharType="begin"/>
        </w:r>
        <w:r>
          <w:rPr>
            <w:noProof/>
            <w:webHidden/>
          </w:rPr>
          <w:instrText xml:space="preserve"> PAGEREF _Toc255802907 \h </w:instrText>
        </w:r>
        <w:r>
          <w:rPr>
            <w:noProof/>
            <w:webHidden/>
          </w:rPr>
        </w:r>
        <w:r>
          <w:rPr>
            <w:noProof/>
            <w:webHidden/>
          </w:rPr>
          <w:fldChar w:fldCharType="separate"/>
        </w:r>
        <w:r>
          <w:rPr>
            <w:noProof/>
            <w:webHidden/>
          </w:rPr>
          <w:t>16</w:t>
        </w:r>
        <w:r>
          <w:rPr>
            <w:noProof/>
            <w:webHidden/>
          </w:rPr>
          <w:fldChar w:fldCharType="end"/>
        </w:r>
      </w:hyperlink>
    </w:p>
    <w:p w:rsidR="002843EA" w:rsidRDefault="002843EA">
      <w:pPr>
        <w:pStyle w:val="TDC1"/>
        <w:rPr>
          <w:rFonts w:asciiTheme="minorHAnsi" w:eastAsiaTheme="minorEastAsia" w:hAnsiTheme="minorHAnsi" w:cstheme="minorBidi"/>
          <w:noProof/>
          <w:sz w:val="22"/>
          <w:szCs w:val="22"/>
          <w:lang w:val="es-ES" w:eastAsia="es-ES"/>
        </w:rPr>
      </w:pPr>
      <w:hyperlink w:anchor="_Toc255802908" w:history="1">
        <w:r w:rsidRPr="00762E5D">
          <w:rPr>
            <w:rStyle w:val="Hipervnculo"/>
            <w:noProof/>
            <w:lang w:val="es-CR"/>
          </w:rPr>
          <w:t xml:space="preserve">Nota 7:   </w:t>
        </w:r>
        <w:r>
          <w:rPr>
            <w:rStyle w:val="Hipervnculo"/>
            <w:noProof/>
            <w:lang w:val="es-CR"/>
          </w:rPr>
          <w:t xml:space="preserve">  </w:t>
        </w:r>
        <w:r w:rsidRPr="00762E5D">
          <w:rPr>
            <w:rStyle w:val="Hipervnculo"/>
            <w:noProof/>
            <w:lang w:val="es-CR"/>
          </w:rPr>
          <w:t>Activos Financieros corto plazo (Internos)</w:t>
        </w:r>
        <w:r>
          <w:rPr>
            <w:noProof/>
            <w:webHidden/>
          </w:rPr>
          <w:tab/>
        </w:r>
        <w:r>
          <w:rPr>
            <w:noProof/>
            <w:webHidden/>
          </w:rPr>
          <w:fldChar w:fldCharType="begin"/>
        </w:r>
        <w:r>
          <w:rPr>
            <w:noProof/>
            <w:webHidden/>
          </w:rPr>
          <w:instrText xml:space="preserve"> PAGEREF _Toc255802908 \h </w:instrText>
        </w:r>
        <w:r>
          <w:rPr>
            <w:noProof/>
            <w:webHidden/>
          </w:rPr>
        </w:r>
        <w:r>
          <w:rPr>
            <w:noProof/>
            <w:webHidden/>
          </w:rPr>
          <w:fldChar w:fldCharType="separate"/>
        </w:r>
        <w:r>
          <w:rPr>
            <w:noProof/>
            <w:webHidden/>
          </w:rPr>
          <w:t>17</w:t>
        </w:r>
        <w:r>
          <w:rPr>
            <w:noProof/>
            <w:webHidden/>
          </w:rPr>
          <w:fldChar w:fldCharType="end"/>
        </w:r>
      </w:hyperlink>
    </w:p>
    <w:p w:rsidR="002843EA" w:rsidRDefault="002843EA">
      <w:pPr>
        <w:pStyle w:val="TDC1"/>
        <w:rPr>
          <w:rFonts w:asciiTheme="minorHAnsi" w:eastAsiaTheme="minorEastAsia" w:hAnsiTheme="minorHAnsi" w:cstheme="minorBidi"/>
          <w:noProof/>
          <w:sz w:val="22"/>
          <w:szCs w:val="22"/>
          <w:lang w:val="es-ES" w:eastAsia="es-ES"/>
        </w:rPr>
      </w:pPr>
      <w:hyperlink w:anchor="_Toc255802909" w:history="1">
        <w:r w:rsidRPr="00762E5D">
          <w:rPr>
            <w:rStyle w:val="Hipervnculo"/>
            <w:noProof/>
            <w:lang w:val="es-ES_tradnl"/>
          </w:rPr>
          <w:t xml:space="preserve">Nota 8:   </w:t>
        </w:r>
        <w:r>
          <w:rPr>
            <w:rStyle w:val="Hipervnculo"/>
            <w:noProof/>
            <w:lang w:val="es-ES_tradnl"/>
          </w:rPr>
          <w:t xml:space="preserve">  </w:t>
        </w:r>
        <w:r w:rsidRPr="00762E5D">
          <w:rPr>
            <w:rStyle w:val="Hipervnculo"/>
            <w:noProof/>
            <w:lang w:val="es-CR"/>
          </w:rPr>
          <w:t>Cuentas de Resultado Deudoras</w:t>
        </w:r>
        <w:r>
          <w:rPr>
            <w:noProof/>
            <w:webHidden/>
          </w:rPr>
          <w:tab/>
        </w:r>
        <w:r>
          <w:rPr>
            <w:noProof/>
            <w:webHidden/>
          </w:rPr>
          <w:fldChar w:fldCharType="begin"/>
        </w:r>
        <w:r>
          <w:rPr>
            <w:noProof/>
            <w:webHidden/>
          </w:rPr>
          <w:instrText xml:space="preserve"> PAGEREF _Toc255802909 \h </w:instrText>
        </w:r>
        <w:r>
          <w:rPr>
            <w:noProof/>
            <w:webHidden/>
          </w:rPr>
        </w:r>
        <w:r>
          <w:rPr>
            <w:noProof/>
            <w:webHidden/>
          </w:rPr>
          <w:fldChar w:fldCharType="separate"/>
        </w:r>
        <w:r>
          <w:rPr>
            <w:noProof/>
            <w:webHidden/>
          </w:rPr>
          <w:t>17</w:t>
        </w:r>
        <w:r>
          <w:rPr>
            <w:noProof/>
            <w:webHidden/>
          </w:rPr>
          <w:fldChar w:fldCharType="end"/>
        </w:r>
      </w:hyperlink>
    </w:p>
    <w:p w:rsidR="002843EA" w:rsidRDefault="002843EA">
      <w:pPr>
        <w:pStyle w:val="TDC1"/>
        <w:rPr>
          <w:rFonts w:asciiTheme="minorHAnsi" w:eastAsiaTheme="minorEastAsia" w:hAnsiTheme="minorHAnsi" w:cstheme="minorBidi"/>
          <w:noProof/>
          <w:sz w:val="22"/>
          <w:szCs w:val="22"/>
          <w:lang w:val="es-ES" w:eastAsia="es-ES"/>
        </w:rPr>
      </w:pPr>
      <w:hyperlink w:anchor="_Toc255802910" w:history="1">
        <w:r w:rsidRPr="00762E5D">
          <w:rPr>
            <w:rStyle w:val="Hipervnculo"/>
            <w:noProof/>
            <w:lang w:val="es-CR"/>
          </w:rPr>
          <w:t xml:space="preserve">Nota 9:   </w:t>
        </w:r>
        <w:r>
          <w:rPr>
            <w:rStyle w:val="Hipervnculo"/>
            <w:noProof/>
            <w:lang w:val="es-CR"/>
          </w:rPr>
          <w:t xml:space="preserve">  </w:t>
        </w:r>
        <w:r w:rsidRPr="00762E5D">
          <w:rPr>
            <w:rStyle w:val="Hipervnculo"/>
            <w:noProof/>
            <w:lang w:val="es-CR"/>
          </w:rPr>
          <w:t>Pasivos Externos a Corto Plazo</w:t>
        </w:r>
        <w:r>
          <w:rPr>
            <w:noProof/>
            <w:webHidden/>
          </w:rPr>
          <w:tab/>
        </w:r>
        <w:r>
          <w:rPr>
            <w:noProof/>
            <w:webHidden/>
          </w:rPr>
          <w:fldChar w:fldCharType="begin"/>
        </w:r>
        <w:r>
          <w:rPr>
            <w:noProof/>
            <w:webHidden/>
          </w:rPr>
          <w:instrText xml:space="preserve"> PAGEREF _Toc255802910 \h </w:instrText>
        </w:r>
        <w:r>
          <w:rPr>
            <w:noProof/>
            <w:webHidden/>
          </w:rPr>
        </w:r>
        <w:r>
          <w:rPr>
            <w:noProof/>
            <w:webHidden/>
          </w:rPr>
          <w:fldChar w:fldCharType="separate"/>
        </w:r>
        <w:r>
          <w:rPr>
            <w:noProof/>
            <w:webHidden/>
          </w:rPr>
          <w:t>20</w:t>
        </w:r>
        <w:r>
          <w:rPr>
            <w:noProof/>
            <w:webHidden/>
          </w:rPr>
          <w:fldChar w:fldCharType="end"/>
        </w:r>
      </w:hyperlink>
    </w:p>
    <w:p w:rsidR="002843EA" w:rsidRDefault="002843EA">
      <w:pPr>
        <w:pStyle w:val="TDC1"/>
        <w:rPr>
          <w:rFonts w:asciiTheme="minorHAnsi" w:eastAsiaTheme="minorEastAsia" w:hAnsiTheme="minorHAnsi" w:cstheme="minorBidi"/>
          <w:noProof/>
          <w:sz w:val="22"/>
          <w:szCs w:val="22"/>
          <w:lang w:val="es-ES" w:eastAsia="es-ES"/>
        </w:rPr>
      </w:pPr>
      <w:hyperlink w:anchor="_Toc255802911" w:history="1">
        <w:r w:rsidRPr="00762E5D">
          <w:rPr>
            <w:rStyle w:val="Hipervnculo"/>
            <w:noProof/>
            <w:lang w:val="es-CR"/>
          </w:rPr>
          <w:t>Nota 10:   Endeudamiento Externo a Mediano y Largo Plazo</w:t>
        </w:r>
        <w:r>
          <w:rPr>
            <w:noProof/>
            <w:webHidden/>
          </w:rPr>
          <w:tab/>
        </w:r>
        <w:r>
          <w:rPr>
            <w:noProof/>
            <w:webHidden/>
          </w:rPr>
          <w:fldChar w:fldCharType="begin"/>
        </w:r>
        <w:r>
          <w:rPr>
            <w:noProof/>
            <w:webHidden/>
          </w:rPr>
          <w:instrText xml:space="preserve"> PAGEREF _Toc255802911 \h </w:instrText>
        </w:r>
        <w:r>
          <w:rPr>
            <w:noProof/>
            <w:webHidden/>
          </w:rPr>
        </w:r>
        <w:r>
          <w:rPr>
            <w:noProof/>
            <w:webHidden/>
          </w:rPr>
          <w:fldChar w:fldCharType="separate"/>
        </w:r>
        <w:r>
          <w:rPr>
            <w:noProof/>
            <w:webHidden/>
          </w:rPr>
          <w:t>20</w:t>
        </w:r>
        <w:r>
          <w:rPr>
            <w:noProof/>
            <w:webHidden/>
          </w:rPr>
          <w:fldChar w:fldCharType="end"/>
        </w:r>
      </w:hyperlink>
    </w:p>
    <w:p w:rsidR="002843EA" w:rsidRDefault="002843EA">
      <w:pPr>
        <w:pStyle w:val="TDC1"/>
        <w:rPr>
          <w:rFonts w:asciiTheme="minorHAnsi" w:eastAsiaTheme="minorEastAsia" w:hAnsiTheme="minorHAnsi" w:cstheme="minorBidi"/>
          <w:noProof/>
          <w:sz w:val="22"/>
          <w:szCs w:val="22"/>
          <w:lang w:val="es-ES" w:eastAsia="es-ES"/>
        </w:rPr>
      </w:pPr>
      <w:hyperlink w:anchor="_Toc255802912" w:history="1">
        <w:r w:rsidRPr="00762E5D">
          <w:rPr>
            <w:rStyle w:val="Hipervnculo"/>
            <w:noProof/>
            <w:lang w:val="es-CR"/>
          </w:rPr>
          <w:t>Nota 11:   Obligaciones con Organismos Internacionales</w:t>
        </w:r>
        <w:r>
          <w:rPr>
            <w:noProof/>
            <w:webHidden/>
          </w:rPr>
          <w:tab/>
        </w:r>
        <w:r>
          <w:rPr>
            <w:noProof/>
            <w:webHidden/>
          </w:rPr>
          <w:fldChar w:fldCharType="begin"/>
        </w:r>
        <w:r>
          <w:rPr>
            <w:noProof/>
            <w:webHidden/>
          </w:rPr>
          <w:instrText xml:space="preserve"> PAGEREF _Toc255802912 \h </w:instrText>
        </w:r>
        <w:r>
          <w:rPr>
            <w:noProof/>
            <w:webHidden/>
          </w:rPr>
        </w:r>
        <w:r>
          <w:rPr>
            <w:noProof/>
            <w:webHidden/>
          </w:rPr>
          <w:fldChar w:fldCharType="separate"/>
        </w:r>
        <w:r>
          <w:rPr>
            <w:noProof/>
            <w:webHidden/>
          </w:rPr>
          <w:t>20</w:t>
        </w:r>
        <w:r>
          <w:rPr>
            <w:noProof/>
            <w:webHidden/>
          </w:rPr>
          <w:fldChar w:fldCharType="end"/>
        </w:r>
      </w:hyperlink>
    </w:p>
    <w:p w:rsidR="002843EA" w:rsidRDefault="002843EA">
      <w:pPr>
        <w:pStyle w:val="TDC1"/>
        <w:rPr>
          <w:rFonts w:asciiTheme="minorHAnsi" w:eastAsiaTheme="minorEastAsia" w:hAnsiTheme="minorHAnsi" w:cstheme="minorBidi"/>
          <w:noProof/>
          <w:sz w:val="22"/>
          <w:szCs w:val="22"/>
          <w:lang w:val="es-ES" w:eastAsia="es-ES"/>
        </w:rPr>
      </w:pPr>
      <w:hyperlink w:anchor="_Toc255802913" w:history="1">
        <w:r w:rsidRPr="00762E5D">
          <w:rPr>
            <w:rStyle w:val="Hipervnculo"/>
            <w:noProof/>
            <w:lang w:val="es-CR"/>
          </w:rPr>
          <w:t>Nota 12:   Otros Pasivos (Externos)</w:t>
        </w:r>
        <w:r>
          <w:rPr>
            <w:noProof/>
            <w:webHidden/>
          </w:rPr>
          <w:tab/>
        </w:r>
        <w:r>
          <w:rPr>
            <w:noProof/>
            <w:webHidden/>
          </w:rPr>
          <w:fldChar w:fldCharType="begin"/>
        </w:r>
        <w:r>
          <w:rPr>
            <w:noProof/>
            <w:webHidden/>
          </w:rPr>
          <w:instrText xml:space="preserve"> PAGEREF _Toc255802913 \h </w:instrText>
        </w:r>
        <w:r>
          <w:rPr>
            <w:noProof/>
            <w:webHidden/>
          </w:rPr>
        </w:r>
        <w:r>
          <w:rPr>
            <w:noProof/>
            <w:webHidden/>
          </w:rPr>
          <w:fldChar w:fldCharType="separate"/>
        </w:r>
        <w:r>
          <w:rPr>
            <w:noProof/>
            <w:webHidden/>
          </w:rPr>
          <w:t>21</w:t>
        </w:r>
        <w:r>
          <w:rPr>
            <w:noProof/>
            <w:webHidden/>
          </w:rPr>
          <w:fldChar w:fldCharType="end"/>
        </w:r>
      </w:hyperlink>
    </w:p>
    <w:p w:rsidR="002843EA" w:rsidRDefault="002843EA">
      <w:pPr>
        <w:pStyle w:val="TDC1"/>
        <w:rPr>
          <w:rFonts w:asciiTheme="minorHAnsi" w:eastAsiaTheme="minorEastAsia" w:hAnsiTheme="minorHAnsi" w:cstheme="minorBidi"/>
          <w:noProof/>
          <w:sz w:val="22"/>
          <w:szCs w:val="22"/>
          <w:lang w:val="es-ES" w:eastAsia="es-ES"/>
        </w:rPr>
      </w:pPr>
      <w:hyperlink w:anchor="_Toc255802914" w:history="1">
        <w:r w:rsidRPr="00762E5D">
          <w:rPr>
            <w:rStyle w:val="Hipervnculo"/>
            <w:noProof/>
            <w:lang w:val="es-CR"/>
          </w:rPr>
          <w:t>Nota 13:   Pasivos Monetarios</w:t>
        </w:r>
        <w:r>
          <w:rPr>
            <w:noProof/>
            <w:webHidden/>
          </w:rPr>
          <w:tab/>
        </w:r>
        <w:r>
          <w:rPr>
            <w:noProof/>
            <w:webHidden/>
          </w:rPr>
          <w:fldChar w:fldCharType="begin"/>
        </w:r>
        <w:r>
          <w:rPr>
            <w:noProof/>
            <w:webHidden/>
          </w:rPr>
          <w:instrText xml:space="preserve"> PAGEREF _Toc255802914 \h </w:instrText>
        </w:r>
        <w:r>
          <w:rPr>
            <w:noProof/>
            <w:webHidden/>
          </w:rPr>
        </w:r>
        <w:r>
          <w:rPr>
            <w:noProof/>
            <w:webHidden/>
          </w:rPr>
          <w:fldChar w:fldCharType="separate"/>
        </w:r>
        <w:r>
          <w:rPr>
            <w:noProof/>
            <w:webHidden/>
          </w:rPr>
          <w:t>21</w:t>
        </w:r>
        <w:r>
          <w:rPr>
            <w:noProof/>
            <w:webHidden/>
          </w:rPr>
          <w:fldChar w:fldCharType="end"/>
        </w:r>
      </w:hyperlink>
    </w:p>
    <w:p w:rsidR="002843EA" w:rsidRDefault="002843EA">
      <w:pPr>
        <w:pStyle w:val="TDC1"/>
        <w:rPr>
          <w:rFonts w:asciiTheme="minorHAnsi" w:eastAsiaTheme="minorEastAsia" w:hAnsiTheme="minorHAnsi" w:cstheme="minorBidi"/>
          <w:noProof/>
          <w:sz w:val="22"/>
          <w:szCs w:val="22"/>
          <w:lang w:val="es-ES" w:eastAsia="es-ES"/>
        </w:rPr>
      </w:pPr>
      <w:hyperlink w:anchor="_Toc255802915" w:history="1">
        <w:r w:rsidRPr="00762E5D">
          <w:rPr>
            <w:rStyle w:val="Hipervnculo"/>
            <w:noProof/>
            <w:lang w:val="es-CR"/>
          </w:rPr>
          <w:t>Nota 14:   Pasivos Cuasimonetarios</w:t>
        </w:r>
        <w:r>
          <w:rPr>
            <w:noProof/>
            <w:webHidden/>
          </w:rPr>
          <w:tab/>
        </w:r>
        <w:r>
          <w:rPr>
            <w:noProof/>
            <w:webHidden/>
          </w:rPr>
          <w:fldChar w:fldCharType="begin"/>
        </w:r>
        <w:r>
          <w:rPr>
            <w:noProof/>
            <w:webHidden/>
          </w:rPr>
          <w:instrText xml:space="preserve"> PAGEREF _Toc255802915 \h </w:instrText>
        </w:r>
        <w:r>
          <w:rPr>
            <w:noProof/>
            <w:webHidden/>
          </w:rPr>
        </w:r>
        <w:r>
          <w:rPr>
            <w:noProof/>
            <w:webHidden/>
          </w:rPr>
          <w:fldChar w:fldCharType="separate"/>
        </w:r>
        <w:r>
          <w:rPr>
            <w:noProof/>
            <w:webHidden/>
          </w:rPr>
          <w:t>21</w:t>
        </w:r>
        <w:r>
          <w:rPr>
            <w:noProof/>
            <w:webHidden/>
          </w:rPr>
          <w:fldChar w:fldCharType="end"/>
        </w:r>
      </w:hyperlink>
    </w:p>
    <w:p w:rsidR="002843EA" w:rsidRDefault="002843EA">
      <w:pPr>
        <w:pStyle w:val="TDC1"/>
        <w:rPr>
          <w:rFonts w:asciiTheme="minorHAnsi" w:eastAsiaTheme="minorEastAsia" w:hAnsiTheme="minorHAnsi" w:cstheme="minorBidi"/>
          <w:noProof/>
          <w:sz w:val="22"/>
          <w:szCs w:val="22"/>
          <w:lang w:val="es-ES" w:eastAsia="es-ES"/>
        </w:rPr>
      </w:pPr>
      <w:hyperlink w:anchor="_Toc255802916" w:history="1">
        <w:r w:rsidRPr="00762E5D">
          <w:rPr>
            <w:rStyle w:val="Hipervnculo"/>
            <w:noProof/>
            <w:lang w:val="es-CR"/>
          </w:rPr>
          <w:t>Nota 15:   Valores Emitidos con Residentes</w:t>
        </w:r>
        <w:r>
          <w:rPr>
            <w:noProof/>
            <w:webHidden/>
          </w:rPr>
          <w:tab/>
        </w:r>
        <w:r>
          <w:rPr>
            <w:noProof/>
            <w:webHidden/>
          </w:rPr>
          <w:fldChar w:fldCharType="begin"/>
        </w:r>
        <w:r>
          <w:rPr>
            <w:noProof/>
            <w:webHidden/>
          </w:rPr>
          <w:instrText xml:space="preserve"> PAGEREF _Toc255802916 \h </w:instrText>
        </w:r>
        <w:r>
          <w:rPr>
            <w:noProof/>
            <w:webHidden/>
          </w:rPr>
        </w:r>
        <w:r>
          <w:rPr>
            <w:noProof/>
            <w:webHidden/>
          </w:rPr>
          <w:fldChar w:fldCharType="separate"/>
        </w:r>
        <w:r>
          <w:rPr>
            <w:noProof/>
            <w:webHidden/>
          </w:rPr>
          <w:t>22</w:t>
        </w:r>
        <w:r>
          <w:rPr>
            <w:noProof/>
            <w:webHidden/>
          </w:rPr>
          <w:fldChar w:fldCharType="end"/>
        </w:r>
      </w:hyperlink>
    </w:p>
    <w:p w:rsidR="002843EA" w:rsidRDefault="002843EA">
      <w:pPr>
        <w:pStyle w:val="TDC1"/>
        <w:rPr>
          <w:rFonts w:asciiTheme="minorHAnsi" w:eastAsiaTheme="minorEastAsia" w:hAnsiTheme="minorHAnsi" w:cstheme="minorBidi"/>
          <w:noProof/>
          <w:sz w:val="22"/>
          <w:szCs w:val="22"/>
          <w:lang w:val="es-ES" w:eastAsia="es-ES"/>
        </w:rPr>
      </w:pPr>
      <w:hyperlink w:anchor="_Toc255802917" w:history="1">
        <w:r w:rsidRPr="00762E5D">
          <w:rPr>
            <w:rStyle w:val="Hipervnculo"/>
            <w:noProof/>
            <w:lang w:val="es-CR"/>
          </w:rPr>
          <w:t>Nota 16:   Depósitos del Gobierno Central</w:t>
        </w:r>
        <w:r>
          <w:rPr>
            <w:noProof/>
            <w:webHidden/>
          </w:rPr>
          <w:tab/>
        </w:r>
        <w:r>
          <w:rPr>
            <w:noProof/>
            <w:webHidden/>
          </w:rPr>
          <w:fldChar w:fldCharType="begin"/>
        </w:r>
        <w:r>
          <w:rPr>
            <w:noProof/>
            <w:webHidden/>
          </w:rPr>
          <w:instrText xml:space="preserve"> PAGEREF _Toc255802917 \h </w:instrText>
        </w:r>
        <w:r>
          <w:rPr>
            <w:noProof/>
            <w:webHidden/>
          </w:rPr>
        </w:r>
        <w:r>
          <w:rPr>
            <w:noProof/>
            <w:webHidden/>
          </w:rPr>
          <w:fldChar w:fldCharType="separate"/>
        </w:r>
        <w:r>
          <w:rPr>
            <w:noProof/>
            <w:webHidden/>
          </w:rPr>
          <w:t>23</w:t>
        </w:r>
        <w:r>
          <w:rPr>
            <w:noProof/>
            <w:webHidden/>
          </w:rPr>
          <w:fldChar w:fldCharType="end"/>
        </w:r>
      </w:hyperlink>
    </w:p>
    <w:p w:rsidR="002843EA" w:rsidRDefault="002843EA">
      <w:pPr>
        <w:pStyle w:val="TDC1"/>
        <w:rPr>
          <w:rFonts w:asciiTheme="minorHAnsi" w:eastAsiaTheme="minorEastAsia" w:hAnsiTheme="minorHAnsi" w:cstheme="minorBidi"/>
          <w:noProof/>
          <w:sz w:val="22"/>
          <w:szCs w:val="22"/>
          <w:lang w:val="es-ES" w:eastAsia="es-ES"/>
        </w:rPr>
      </w:pPr>
      <w:hyperlink w:anchor="_Toc255802918" w:history="1">
        <w:r w:rsidRPr="00762E5D">
          <w:rPr>
            <w:rStyle w:val="Hipervnculo"/>
            <w:noProof/>
            <w:lang w:val="es-CR"/>
          </w:rPr>
          <w:t>Nota 17:   Obligaciones con el Gobierno Central</w:t>
        </w:r>
        <w:r>
          <w:rPr>
            <w:noProof/>
            <w:webHidden/>
          </w:rPr>
          <w:tab/>
        </w:r>
        <w:r>
          <w:rPr>
            <w:noProof/>
            <w:webHidden/>
          </w:rPr>
          <w:fldChar w:fldCharType="begin"/>
        </w:r>
        <w:r>
          <w:rPr>
            <w:noProof/>
            <w:webHidden/>
          </w:rPr>
          <w:instrText xml:space="preserve"> PAGEREF _Toc255802918 \h </w:instrText>
        </w:r>
        <w:r>
          <w:rPr>
            <w:noProof/>
            <w:webHidden/>
          </w:rPr>
        </w:r>
        <w:r>
          <w:rPr>
            <w:noProof/>
            <w:webHidden/>
          </w:rPr>
          <w:fldChar w:fldCharType="separate"/>
        </w:r>
        <w:r>
          <w:rPr>
            <w:noProof/>
            <w:webHidden/>
          </w:rPr>
          <w:t>23</w:t>
        </w:r>
        <w:r>
          <w:rPr>
            <w:noProof/>
            <w:webHidden/>
          </w:rPr>
          <w:fldChar w:fldCharType="end"/>
        </w:r>
      </w:hyperlink>
    </w:p>
    <w:p w:rsidR="002843EA" w:rsidRDefault="002843EA">
      <w:pPr>
        <w:pStyle w:val="TDC1"/>
        <w:rPr>
          <w:rFonts w:asciiTheme="minorHAnsi" w:eastAsiaTheme="minorEastAsia" w:hAnsiTheme="minorHAnsi" w:cstheme="minorBidi"/>
          <w:noProof/>
          <w:sz w:val="22"/>
          <w:szCs w:val="22"/>
          <w:lang w:val="es-ES" w:eastAsia="es-ES"/>
        </w:rPr>
      </w:pPr>
      <w:hyperlink w:anchor="_Toc255802919" w:history="1">
        <w:r w:rsidRPr="00762E5D">
          <w:rPr>
            <w:rStyle w:val="Hipervnculo"/>
            <w:noProof/>
            <w:lang w:val="es-CR"/>
          </w:rPr>
          <w:t>Nota 18:   Otros Pasivos (Internos)</w:t>
        </w:r>
        <w:r>
          <w:rPr>
            <w:noProof/>
            <w:webHidden/>
          </w:rPr>
          <w:tab/>
        </w:r>
        <w:r>
          <w:rPr>
            <w:noProof/>
            <w:webHidden/>
          </w:rPr>
          <w:fldChar w:fldCharType="begin"/>
        </w:r>
        <w:r>
          <w:rPr>
            <w:noProof/>
            <w:webHidden/>
          </w:rPr>
          <w:instrText xml:space="preserve"> PAGEREF _Toc255802919 \h </w:instrText>
        </w:r>
        <w:r>
          <w:rPr>
            <w:noProof/>
            <w:webHidden/>
          </w:rPr>
        </w:r>
        <w:r>
          <w:rPr>
            <w:noProof/>
            <w:webHidden/>
          </w:rPr>
          <w:fldChar w:fldCharType="separate"/>
        </w:r>
        <w:r>
          <w:rPr>
            <w:noProof/>
            <w:webHidden/>
          </w:rPr>
          <w:t>23</w:t>
        </w:r>
        <w:r>
          <w:rPr>
            <w:noProof/>
            <w:webHidden/>
          </w:rPr>
          <w:fldChar w:fldCharType="end"/>
        </w:r>
      </w:hyperlink>
    </w:p>
    <w:p w:rsidR="002843EA" w:rsidRDefault="002843EA">
      <w:pPr>
        <w:pStyle w:val="TDC1"/>
        <w:rPr>
          <w:rFonts w:asciiTheme="minorHAnsi" w:eastAsiaTheme="minorEastAsia" w:hAnsiTheme="minorHAnsi" w:cstheme="minorBidi"/>
          <w:noProof/>
          <w:sz w:val="22"/>
          <w:szCs w:val="22"/>
          <w:lang w:val="es-ES" w:eastAsia="es-ES"/>
        </w:rPr>
      </w:pPr>
      <w:hyperlink w:anchor="_Toc255802920" w:history="1">
        <w:r w:rsidRPr="00762E5D">
          <w:rPr>
            <w:rStyle w:val="Hipervnculo"/>
            <w:noProof/>
            <w:lang w:val="es-CR"/>
          </w:rPr>
          <w:t>Nota 19:   Cuentas de Capital</w:t>
        </w:r>
        <w:r>
          <w:rPr>
            <w:noProof/>
            <w:webHidden/>
          </w:rPr>
          <w:tab/>
        </w:r>
        <w:r>
          <w:rPr>
            <w:noProof/>
            <w:webHidden/>
          </w:rPr>
          <w:fldChar w:fldCharType="begin"/>
        </w:r>
        <w:r>
          <w:rPr>
            <w:noProof/>
            <w:webHidden/>
          </w:rPr>
          <w:instrText xml:space="preserve"> PAGEREF _Toc255802920 \h </w:instrText>
        </w:r>
        <w:r>
          <w:rPr>
            <w:noProof/>
            <w:webHidden/>
          </w:rPr>
        </w:r>
        <w:r>
          <w:rPr>
            <w:noProof/>
            <w:webHidden/>
          </w:rPr>
          <w:fldChar w:fldCharType="separate"/>
        </w:r>
        <w:r>
          <w:rPr>
            <w:noProof/>
            <w:webHidden/>
          </w:rPr>
          <w:t>24</w:t>
        </w:r>
        <w:r>
          <w:rPr>
            <w:noProof/>
            <w:webHidden/>
          </w:rPr>
          <w:fldChar w:fldCharType="end"/>
        </w:r>
      </w:hyperlink>
    </w:p>
    <w:p w:rsidR="002843EA" w:rsidRDefault="002843EA">
      <w:pPr>
        <w:pStyle w:val="TDC1"/>
        <w:rPr>
          <w:rFonts w:asciiTheme="minorHAnsi" w:eastAsiaTheme="minorEastAsia" w:hAnsiTheme="minorHAnsi" w:cstheme="minorBidi"/>
          <w:noProof/>
          <w:sz w:val="22"/>
          <w:szCs w:val="22"/>
          <w:lang w:val="es-ES" w:eastAsia="es-ES"/>
        </w:rPr>
      </w:pPr>
      <w:hyperlink w:anchor="_Toc255802921" w:history="1">
        <w:r w:rsidRPr="00762E5D">
          <w:rPr>
            <w:rStyle w:val="Hipervnculo"/>
            <w:noProof/>
            <w:lang w:val="es-CR"/>
          </w:rPr>
          <w:t>Nota 20:   Cuentas de Resultado Acreedoras</w:t>
        </w:r>
        <w:r>
          <w:rPr>
            <w:noProof/>
            <w:webHidden/>
          </w:rPr>
          <w:tab/>
        </w:r>
        <w:r>
          <w:rPr>
            <w:noProof/>
            <w:webHidden/>
          </w:rPr>
          <w:fldChar w:fldCharType="begin"/>
        </w:r>
        <w:r>
          <w:rPr>
            <w:noProof/>
            <w:webHidden/>
          </w:rPr>
          <w:instrText xml:space="preserve"> PAGEREF _Toc255802921 \h </w:instrText>
        </w:r>
        <w:r>
          <w:rPr>
            <w:noProof/>
            <w:webHidden/>
          </w:rPr>
        </w:r>
        <w:r>
          <w:rPr>
            <w:noProof/>
            <w:webHidden/>
          </w:rPr>
          <w:fldChar w:fldCharType="separate"/>
        </w:r>
        <w:r>
          <w:rPr>
            <w:noProof/>
            <w:webHidden/>
          </w:rPr>
          <w:t>25</w:t>
        </w:r>
        <w:r>
          <w:rPr>
            <w:noProof/>
            <w:webHidden/>
          </w:rPr>
          <w:fldChar w:fldCharType="end"/>
        </w:r>
      </w:hyperlink>
    </w:p>
    <w:p w:rsidR="002843EA" w:rsidRDefault="002843EA">
      <w:pPr>
        <w:pStyle w:val="TDC1"/>
        <w:rPr>
          <w:rFonts w:asciiTheme="minorHAnsi" w:eastAsiaTheme="minorEastAsia" w:hAnsiTheme="minorHAnsi" w:cstheme="minorBidi"/>
          <w:noProof/>
          <w:sz w:val="22"/>
          <w:szCs w:val="22"/>
          <w:lang w:val="es-ES" w:eastAsia="es-ES"/>
        </w:rPr>
      </w:pPr>
      <w:hyperlink w:anchor="_Toc255802922" w:history="1">
        <w:r w:rsidRPr="00762E5D">
          <w:rPr>
            <w:rStyle w:val="Hipervnculo"/>
            <w:noProof/>
            <w:lang w:val="es-CR"/>
          </w:rPr>
          <w:t>NOTAS COMPLEMENTARIAS PARA LAS PARTIDAS PRESENTADAS EN EL ESTADO DE FLUJO DE EFECTIVO (NOTAS A LOS ESTADOS FINANCIEROS)</w:t>
        </w:r>
        <w:r>
          <w:rPr>
            <w:noProof/>
            <w:webHidden/>
          </w:rPr>
          <w:tab/>
        </w:r>
        <w:r>
          <w:rPr>
            <w:noProof/>
            <w:webHidden/>
          </w:rPr>
          <w:fldChar w:fldCharType="begin"/>
        </w:r>
        <w:r>
          <w:rPr>
            <w:noProof/>
            <w:webHidden/>
          </w:rPr>
          <w:instrText xml:space="preserve"> PAGEREF _Toc255802922 \h </w:instrText>
        </w:r>
        <w:r>
          <w:rPr>
            <w:noProof/>
            <w:webHidden/>
          </w:rPr>
        </w:r>
        <w:r>
          <w:rPr>
            <w:noProof/>
            <w:webHidden/>
          </w:rPr>
          <w:fldChar w:fldCharType="separate"/>
        </w:r>
        <w:r>
          <w:rPr>
            <w:noProof/>
            <w:webHidden/>
          </w:rPr>
          <w:t>29</w:t>
        </w:r>
        <w:r>
          <w:rPr>
            <w:noProof/>
            <w:webHidden/>
          </w:rPr>
          <w:fldChar w:fldCharType="end"/>
        </w:r>
      </w:hyperlink>
    </w:p>
    <w:p w:rsidR="002843EA" w:rsidRDefault="002843EA">
      <w:pPr>
        <w:pStyle w:val="TDC1"/>
        <w:rPr>
          <w:rFonts w:asciiTheme="minorHAnsi" w:eastAsiaTheme="minorEastAsia" w:hAnsiTheme="minorHAnsi" w:cstheme="minorBidi"/>
          <w:noProof/>
          <w:sz w:val="22"/>
          <w:szCs w:val="22"/>
          <w:lang w:val="es-ES" w:eastAsia="es-ES"/>
        </w:rPr>
      </w:pPr>
      <w:hyperlink w:anchor="_Toc255802923" w:history="1">
        <w:r w:rsidRPr="00762E5D">
          <w:rPr>
            <w:rStyle w:val="Hipervnculo"/>
            <w:noProof/>
            <w:lang w:val="es-CR"/>
          </w:rPr>
          <w:t>VARIACIÓN DE LA BASE MONETARIA</w:t>
        </w:r>
        <w:r>
          <w:rPr>
            <w:noProof/>
            <w:webHidden/>
          </w:rPr>
          <w:tab/>
        </w:r>
        <w:r>
          <w:rPr>
            <w:noProof/>
            <w:webHidden/>
          </w:rPr>
          <w:fldChar w:fldCharType="begin"/>
        </w:r>
        <w:r>
          <w:rPr>
            <w:noProof/>
            <w:webHidden/>
          </w:rPr>
          <w:instrText xml:space="preserve"> PAGEREF _Toc255802923 \h </w:instrText>
        </w:r>
        <w:r>
          <w:rPr>
            <w:noProof/>
            <w:webHidden/>
          </w:rPr>
        </w:r>
        <w:r>
          <w:rPr>
            <w:noProof/>
            <w:webHidden/>
          </w:rPr>
          <w:fldChar w:fldCharType="separate"/>
        </w:r>
        <w:r>
          <w:rPr>
            <w:noProof/>
            <w:webHidden/>
          </w:rPr>
          <w:t>29</w:t>
        </w:r>
        <w:r>
          <w:rPr>
            <w:noProof/>
            <w:webHidden/>
          </w:rPr>
          <w:fldChar w:fldCharType="end"/>
        </w:r>
      </w:hyperlink>
    </w:p>
    <w:p w:rsidR="002843EA" w:rsidRDefault="002843EA">
      <w:pPr>
        <w:pStyle w:val="TDC1"/>
        <w:rPr>
          <w:rFonts w:asciiTheme="minorHAnsi" w:eastAsiaTheme="minorEastAsia" w:hAnsiTheme="minorHAnsi" w:cstheme="minorBidi"/>
          <w:noProof/>
          <w:sz w:val="22"/>
          <w:szCs w:val="22"/>
          <w:lang w:val="es-ES" w:eastAsia="es-ES"/>
        </w:rPr>
      </w:pPr>
      <w:hyperlink w:anchor="_Toc255802924" w:history="1">
        <w:r w:rsidRPr="00762E5D">
          <w:rPr>
            <w:rStyle w:val="Hipervnculo"/>
            <w:noProof/>
            <w:lang w:val="es-CR"/>
          </w:rPr>
          <w:t>I.</w:t>
        </w:r>
        <w:r>
          <w:rPr>
            <w:rFonts w:asciiTheme="minorHAnsi" w:eastAsiaTheme="minorEastAsia" w:hAnsiTheme="minorHAnsi" w:cstheme="minorBidi"/>
            <w:noProof/>
            <w:sz w:val="22"/>
            <w:szCs w:val="22"/>
            <w:lang w:val="es-ES" w:eastAsia="es-ES"/>
          </w:rPr>
          <w:tab/>
        </w:r>
        <w:r w:rsidRPr="00762E5D">
          <w:rPr>
            <w:rStyle w:val="Hipervnculo"/>
            <w:noProof/>
            <w:lang w:val="es-CR"/>
          </w:rPr>
          <w:t>OPERACIONES ACTIVAS GENERADORAS DE EFECTIVO:</w:t>
        </w:r>
        <w:r>
          <w:rPr>
            <w:noProof/>
            <w:webHidden/>
          </w:rPr>
          <w:tab/>
        </w:r>
        <w:r>
          <w:rPr>
            <w:noProof/>
            <w:webHidden/>
          </w:rPr>
          <w:fldChar w:fldCharType="begin"/>
        </w:r>
        <w:r>
          <w:rPr>
            <w:noProof/>
            <w:webHidden/>
          </w:rPr>
          <w:instrText xml:space="preserve"> PAGEREF _Toc255802924 \h </w:instrText>
        </w:r>
        <w:r>
          <w:rPr>
            <w:noProof/>
            <w:webHidden/>
          </w:rPr>
        </w:r>
        <w:r>
          <w:rPr>
            <w:noProof/>
            <w:webHidden/>
          </w:rPr>
          <w:fldChar w:fldCharType="separate"/>
        </w:r>
        <w:r>
          <w:rPr>
            <w:noProof/>
            <w:webHidden/>
          </w:rPr>
          <w:t>29</w:t>
        </w:r>
        <w:r>
          <w:rPr>
            <w:noProof/>
            <w:webHidden/>
          </w:rPr>
          <w:fldChar w:fldCharType="end"/>
        </w:r>
      </w:hyperlink>
    </w:p>
    <w:p w:rsidR="002843EA" w:rsidRDefault="002843EA" w:rsidP="002843EA">
      <w:pPr>
        <w:pStyle w:val="TDC1"/>
        <w:numPr>
          <w:ilvl w:val="0"/>
          <w:numId w:val="57"/>
        </w:numPr>
        <w:rPr>
          <w:rFonts w:asciiTheme="minorHAnsi" w:eastAsiaTheme="minorEastAsia" w:hAnsiTheme="minorHAnsi" w:cstheme="minorBidi"/>
          <w:noProof/>
          <w:sz w:val="22"/>
          <w:szCs w:val="22"/>
          <w:lang w:val="es-ES" w:eastAsia="es-ES"/>
        </w:rPr>
      </w:pPr>
      <w:hyperlink w:anchor="_Toc255802925" w:history="1">
        <w:r>
          <w:rPr>
            <w:rFonts w:asciiTheme="minorHAnsi" w:eastAsiaTheme="minorEastAsia" w:hAnsiTheme="minorHAnsi" w:cstheme="minorBidi"/>
            <w:noProof/>
            <w:sz w:val="22"/>
            <w:szCs w:val="22"/>
            <w:lang w:val="es-ES" w:eastAsia="es-ES"/>
          </w:rPr>
          <w:t xml:space="preserve">        </w:t>
        </w:r>
        <w:r w:rsidRPr="00762E5D">
          <w:rPr>
            <w:rStyle w:val="Hipervnculo"/>
            <w:noProof/>
            <w:lang w:val="es-CR"/>
          </w:rPr>
          <w:t>Operaciones con divisas (efecto neto)</w:t>
        </w:r>
        <w:r>
          <w:rPr>
            <w:noProof/>
            <w:webHidden/>
          </w:rPr>
          <w:tab/>
        </w:r>
        <w:r>
          <w:rPr>
            <w:noProof/>
            <w:webHidden/>
          </w:rPr>
          <w:fldChar w:fldCharType="begin"/>
        </w:r>
        <w:r>
          <w:rPr>
            <w:noProof/>
            <w:webHidden/>
          </w:rPr>
          <w:instrText xml:space="preserve"> PAGEREF _Toc255802925 \h </w:instrText>
        </w:r>
        <w:r>
          <w:rPr>
            <w:noProof/>
            <w:webHidden/>
          </w:rPr>
        </w:r>
        <w:r>
          <w:rPr>
            <w:noProof/>
            <w:webHidden/>
          </w:rPr>
          <w:fldChar w:fldCharType="separate"/>
        </w:r>
        <w:r>
          <w:rPr>
            <w:noProof/>
            <w:webHidden/>
          </w:rPr>
          <w:t>29</w:t>
        </w:r>
        <w:r>
          <w:rPr>
            <w:noProof/>
            <w:webHidden/>
          </w:rPr>
          <w:fldChar w:fldCharType="end"/>
        </w:r>
      </w:hyperlink>
    </w:p>
    <w:p w:rsidR="002843EA" w:rsidRDefault="002843EA">
      <w:pPr>
        <w:pStyle w:val="TDC1"/>
        <w:tabs>
          <w:tab w:val="left" w:pos="440"/>
        </w:tabs>
        <w:rPr>
          <w:rFonts w:asciiTheme="minorHAnsi" w:eastAsiaTheme="minorEastAsia" w:hAnsiTheme="minorHAnsi" w:cstheme="minorBidi"/>
          <w:noProof/>
          <w:sz w:val="22"/>
          <w:szCs w:val="22"/>
          <w:lang w:val="es-ES" w:eastAsia="es-ES"/>
        </w:rPr>
      </w:pPr>
      <w:hyperlink w:anchor="_Toc255802926" w:history="1">
        <w:r w:rsidRPr="00762E5D">
          <w:rPr>
            <w:rStyle w:val="Hipervnculo"/>
            <w:noProof/>
            <w:lang w:val="es-CR"/>
          </w:rPr>
          <w:t>ii.</w:t>
        </w:r>
        <w:r>
          <w:rPr>
            <w:rFonts w:asciiTheme="minorHAnsi" w:eastAsiaTheme="minorEastAsia" w:hAnsiTheme="minorHAnsi" w:cstheme="minorBidi"/>
            <w:noProof/>
            <w:sz w:val="22"/>
            <w:szCs w:val="22"/>
            <w:lang w:val="es-ES" w:eastAsia="es-ES"/>
          </w:rPr>
          <w:tab/>
        </w:r>
        <w:r w:rsidRPr="00762E5D">
          <w:rPr>
            <w:rStyle w:val="Hipervnculo"/>
            <w:noProof/>
            <w:lang w:val="es-CR"/>
          </w:rPr>
          <w:t>Inversiones en Valores Nacionales (MIB)</w:t>
        </w:r>
        <w:r>
          <w:rPr>
            <w:noProof/>
            <w:webHidden/>
          </w:rPr>
          <w:tab/>
        </w:r>
        <w:r>
          <w:rPr>
            <w:noProof/>
            <w:webHidden/>
          </w:rPr>
          <w:fldChar w:fldCharType="begin"/>
        </w:r>
        <w:r>
          <w:rPr>
            <w:noProof/>
            <w:webHidden/>
          </w:rPr>
          <w:instrText xml:space="preserve"> PAGEREF _Toc255802926 \h </w:instrText>
        </w:r>
        <w:r>
          <w:rPr>
            <w:noProof/>
            <w:webHidden/>
          </w:rPr>
        </w:r>
        <w:r>
          <w:rPr>
            <w:noProof/>
            <w:webHidden/>
          </w:rPr>
          <w:fldChar w:fldCharType="separate"/>
        </w:r>
        <w:r>
          <w:rPr>
            <w:noProof/>
            <w:webHidden/>
          </w:rPr>
          <w:t>29</w:t>
        </w:r>
        <w:r>
          <w:rPr>
            <w:noProof/>
            <w:webHidden/>
          </w:rPr>
          <w:fldChar w:fldCharType="end"/>
        </w:r>
      </w:hyperlink>
    </w:p>
    <w:p w:rsidR="002843EA" w:rsidRDefault="002843EA">
      <w:pPr>
        <w:pStyle w:val="TDC1"/>
        <w:tabs>
          <w:tab w:val="left" w:pos="440"/>
        </w:tabs>
        <w:rPr>
          <w:rFonts w:asciiTheme="minorHAnsi" w:eastAsiaTheme="minorEastAsia" w:hAnsiTheme="minorHAnsi" w:cstheme="minorBidi"/>
          <w:noProof/>
          <w:sz w:val="22"/>
          <w:szCs w:val="22"/>
          <w:lang w:val="es-ES" w:eastAsia="es-ES"/>
        </w:rPr>
      </w:pPr>
      <w:hyperlink w:anchor="_Toc255802927" w:history="1">
        <w:r w:rsidRPr="00762E5D">
          <w:rPr>
            <w:rStyle w:val="Hipervnculo"/>
            <w:noProof/>
            <w:lang w:val="es-CR"/>
          </w:rPr>
          <w:t>iii.</w:t>
        </w:r>
        <w:r>
          <w:rPr>
            <w:rFonts w:asciiTheme="minorHAnsi" w:eastAsiaTheme="minorEastAsia" w:hAnsiTheme="minorHAnsi" w:cstheme="minorBidi"/>
            <w:noProof/>
            <w:sz w:val="22"/>
            <w:szCs w:val="22"/>
            <w:lang w:val="es-ES" w:eastAsia="es-ES"/>
          </w:rPr>
          <w:tab/>
        </w:r>
        <w:r w:rsidRPr="00762E5D">
          <w:rPr>
            <w:rStyle w:val="Hipervnculo"/>
            <w:noProof/>
            <w:lang w:val="es-CR"/>
          </w:rPr>
          <w:t>Crédito Interno a Banca Estatal e Instituciones Públicas</w:t>
        </w:r>
        <w:r>
          <w:rPr>
            <w:noProof/>
            <w:webHidden/>
          </w:rPr>
          <w:tab/>
        </w:r>
        <w:r>
          <w:rPr>
            <w:noProof/>
            <w:webHidden/>
          </w:rPr>
          <w:fldChar w:fldCharType="begin"/>
        </w:r>
        <w:r>
          <w:rPr>
            <w:noProof/>
            <w:webHidden/>
          </w:rPr>
          <w:instrText xml:space="preserve"> PAGEREF _Toc255802927 \h </w:instrText>
        </w:r>
        <w:r>
          <w:rPr>
            <w:noProof/>
            <w:webHidden/>
          </w:rPr>
        </w:r>
        <w:r>
          <w:rPr>
            <w:noProof/>
            <w:webHidden/>
          </w:rPr>
          <w:fldChar w:fldCharType="separate"/>
        </w:r>
        <w:r>
          <w:rPr>
            <w:noProof/>
            <w:webHidden/>
          </w:rPr>
          <w:t>29</w:t>
        </w:r>
        <w:r>
          <w:rPr>
            <w:noProof/>
            <w:webHidden/>
          </w:rPr>
          <w:fldChar w:fldCharType="end"/>
        </w:r>
      </w:hyperlink>
    </w:p>
    <w:p w:rsidR="002843EA" w:rsidRDefault="002843EA">
      <w:pPr>
        <w:pStyle w:val="TDC1"/>
        <w:tabs>
          <w:tab w:val="left" w:pos="440"/>
        </w:tabs>
        <w:rPr>
          <w:rFonts w:asciiTheme="minorHAnsi" w:eastAsiaTheme="minorEastAsia" w:hAnsiTheme="minorHAnsi" w:cstheme="minorBidi"/>
          <w:noProof/>
          <w:sz w:val="22"/>
          <w:szCs w:val="22"/>
          <w:lang w:val="es-ES" w:eastAsia="es-ES"/>
        </w:rPr>
      </w:pPr>
      <w:hyperlink w:anchor="_Toc255802928" w:history="1">
        <w:r w:rsidRPr="00762E5D">
          <w:rPr>
            <w:rStyle w:val="Hipervnculo"/>
            <w:noProof/>
            <w:lang w:val="es-CR"/>
          </w:rPr>
          <w:t>iv.</w:t>
        </w:r>
        <w:r>
          <w:rPr>
            <w:rFonts w:asciiTheme="minorHAnsi" w:eastAsiaTheme="minorEastAsia" w:hAnsiTheme="minorHAnsi" w:cstheme="minorBidi"/>
            <w:noProof/>
            <w:sz w:val="22"/>
            <w:szCs w:val="22"/>
            <w:lang w:val="es-ES" w:eastAsia="es-ES"/>
          </w:rPr>
          <w:tab/>
        </w:r>
        <w:r w:rsidRPr="00762E5D">
          <w:rPr>
            <w:rStyle w:val="Hipervnculo"/>
            <w:noProof/>
            <w:lang w:val="es-CR"/>
          </w:rPr>
          <w:t>Otras Partidas del Activo</w:t>
        </w:r>
        <w:r>
          <w:rPr>
            <w:noProof/>
            <w:webHidden/>
          </w:rPr>
          <w:tab/>
        </w:r>
        <w:r>
          <w:rPr>
            <w:noProof/>
            <w:webHidden/>
          </w:rPr>
          <w:fldChar w:fldCharType="begin"/>
        </w:r>
        <w:r>
          <w:rPr>
            <w:noProof/>
            <w:webHidden/>
          </w:rPr>
          <w:instrText xml:space="preserve"> PAGEREF _Toc255802928 \h </w:instrText>
        </w:r>
        <w:r>
          <w:rPr>
            <w:noProof/>
            <w:webHidden/>
          </w:rPr>
        </w:r>
        <w:r>
          <w:rPr>
            <w:noProof/>
            <w:webHidden/>
          </w:rPr>
          <w:fldChar w:fldCharType="separate"/>
        </w:r>
        <w:r>
          <w:rPr>
            <w:noProof/>
            <w:webHidden/>
          </w:rPr>
          <w:t>29</w:t>
        </w:r>
        <w:r>
          <w:rPr>
            <w:noProof/>
            <w:webHidden/>
          </w:rPr>
          <w:fldChar w:fldCharType="end"/>
        </w:r>
      </w:hyperlink>
    </w:p>
    <w:p w:rsidR="002843EA" w:rsidRDefault="002843EA">
      <w:pPr>
        <w:pStyle w:val="TDC1"/>
        <w:rPr>
          <w:rFonts w:asciiTheme="minorHAnsi" w:eastAsiaTheme="minorEastAsia" w:hAnsiTheme="minorHAnsi" w:cstheme="minorBidi"/>
          <w:noProof/>
          <w:sz w:val="22"/>
          <w:szCs w:val="22"/>
          <w:lang w:val="es-ES" w:eastAsia="es-ES"/>
        </w:rPr>
      </w:pPr>
      <w:hyperlink w:anchor="_Toc255802929" w:history="1">
        <w:r w:rsidRPr="00762E5D">
          <w:rPr>
            <w:rStyle w:val="Hipervnculo"/>
            <w:noProof/>
            <w:lang w:val="es-CR"/>
          </w:rPr>
          <w:t>v.</w:t>
        </w:r>
        <w:r>
          <w:rPr>
            <w:rStyle w:val="Hipervnculo"/>
            <w:noProof/>
            <w:lang w:val="es-CR"/>
          </w:rPr>
          <w:t xml:space="preserve">         </w:t>
        </w:r>
        <w:r w:rsidRPr="00762E5D">
          <w:rPr>
            <w:rStyle w:val="Hipervnculo"/>
            <w:noProof/>
            <w:lang w:val="es-CR"/>
          </w:rPr>
          <w:t>Aportes a Organismos Internacionales</w:t>
        </w:r>
        <w:r>
          <w:rPr>
            <w:noProof/>
            <w:webHidden/>
          </w:rPr>
          <w:tab/>
        </w:r>
        <w:r>
          <w:rPr>
            <w:noProof/>
            <w:webHidden/>
          </w:rPr>
          <w:fldChar w:fldCharType="begin"/>
        </w:r>
        <w:r>
          <w:rPr>
            <w:noProof/>
            <w:webHidden/>
          </w:rPr>
          <w:instrText xml:space="preserve"> PAGEREF _Toc255802929 \h </w:instrText>
        </w:r>
        <w:r>
          <w:rPr>
            <w:noProof/>
            <w:webHidden/>
          </w:rPr>
        </w:r>
        <w:r>
          <w:rPr>
            <w:noProof/>
            <w:webHidden/>
          </w:rPr>
          <w:fldChar w:fldCharType="separate"/>
        </w:r>
        <w:r>
          <w:rPr>
            <w:noProof/>
            <w:webHidden/>
          </w:rPr>
          <w:t>30</w:t>
        </w:r>
        <w:r>
          <w:rPr>
            <w:noProof/>
            <w:webHidden/>
          </w:rPr>
          <w:fldChar w:fldCharType="end"/>
        </w:r>
      </w:hyperlink>
    </w:p>
    <w:p w:rsidR="002843EA" w:rsidRDefault="002843EA">
      <w:pPr>
        <w:pStyle w:val="TDC1"/>
        <w:tabs>
          <w:tab w:val="left" w:pos="440"/>
        </w:tabs>
        <w:rPr>
          <w:rFonts w:asciiTheme="minorHAnsi" w:eastAsiaTheme="minorEastAsia" w:hAnsiTheme="minorHAnsi" w:cstheme="minorBidi"/>
          <w:noProof/>
          <w:sz w:val="22"/>
          <w:szCs w:val="22"/>
          <w:lang w:val="es-ES" w:eastAsia="es-ES"/>
        </w:rPr>
      </w:pPr>
      <w:hyperlink w:anchor="_Toc255802930" w:history="1">
        <w:r w:rsidRPr="00762E5D">
          <w:rPr>
            <w:rStyle w:val="Hipervnculo"/>
            <w:noProof/>
            <w:lang w:val="es-CR"/>
          </w:rPr>
          <w:t>II.</w:t>
        </w:r>
        <w:r>
          <w:rPr>
            <w:rFonts w:asciiTheme="minorHAnsi" w:eastAsiaTheme="minorEastAsia" w:hAnsiTheme="minorHAnsi" w:cstheme="minorBidi"/>
            <w:noProof/>
            <w:sz w:val="22"/>
            <w:szCs w:val="22"/>
            <w:lang w:val="es-ES" w:eastAsia="es-ES"/>
          </w:rPr>
          <w:tab/>
        </w:r>
        <w:r w:rsidRPr="00762E5D">
          <w:rPr>
            <w:rStyle w:val="Hipervnculo"/>
            <w:noProof/>
            <w:lang w:val="es-CR"/>
          </w:rPr>
          <w:t>OPERACIONES PASIVAS GENERADORAS DE EFECTIVO:</w:t>
        </w:r>
        <w:r>
          <w:rPr>
            <w:noProof/>
            <w:webHidden/>
          </w:rPr>
          <w:tab/>
        </w:r>
        <w:r>
          <w:rPr>
            <w:noProof/>
            <w:webHidden/>
          </w:rPr>
          <w:fldChar w:fldCharType="begin"/>
        </w:r>
        <w:r>
          <w:rPr>
            <w:noProof/>
            <w:webHidden/>
          </w:rPr>
          <w:instrText xml:space="preserve"> PAGEREF _Toc255802930 \h </w:instrText>
        </w:r>
        <w:r>
          <w:rPr>
            <w:noProof/>
            <w:webHidden/>
          </w:rPr>
        </w:r>
        <w:r>
          <w:rPr>
            <w:noProof/>
            <w:webHidden/>
          </w:rPr>
          <w:fldChar w:fldCharType="separate"/>
        </w:r>
        <w:r>
          <w:rPr>
            <w:noProof/>
            <w:webHidden/>
          </w:rPr>
          <w:t>30</w:t>
        </w:r>
        <w:r>
          <w:rPr>
            <w:noProof/>
            <w:webHidden/>
          </w:rPr>
          <w:fldChar w:fldCharType="end"/>
        </w:r>
      </w:hyperlink>
    </w:p>
    <w:p w:rsidR="002843EA" w:rsidRDefault="002843EA" w:rsidP="002843EA">
      <w:pPr>
        <w:pStyle w:val="TDC1"/>
        <w:numPr>
          <w:ilvl w:val="0"/>
          <w:numId w:val="58"/>
        </w:numPr>
        <w:rPr>
          <w:rFonts w:asciiTheme="minorHAnsi" w:eastAsiaTheme="minorEastAsia" w:hAnsiTheme="minorHAnsi" w:cstheme="minorBidi"/>
          <w:noProof/>
          <w:sz w:val="22"/>
          <w:szCs w:val="22"/>
          <w:lang w:val="es-ES" w:eastAsia="es-ES"/>
        </w:rPr>
      </w:pPr>
      <w:hyperlink w:anchor="_Toc255802931" w:history="1">
        <w:r>
          <w:rPr>
            <w:rFonts w:asciiTheme="minorHAnsi" w:eastAsiaTheme="minorEastAsia" w:hAnsiTheme="minorHAnsi" w:cstheme="minorBidi"/>
            <w:noProof/>
            <w:sz w:val="22"/>
            <w:szCs w:val="22"/>
            <w:lang w:val="es-ES" w:eastAsia="es-ES"/>
          </w:rPr>
          <w:t xml:space="preserve">          </w:t>
        </w:r>
        <w:r w:rsidRPr="00762E5D">
          <w:rPr>
            <w:rStyle w:val="Hipervnculo"/>
            <w:noProof/>
            <w:lang w:val="es-CR"/>
          </w:rPr>
          <w:t>Valores a plazo emitidos por el BCCR</w:t>
        </w:r>
        <w:r>
          <w:rPr>
            <w:noProof/>
            <w:webHidden/>
          </w:rPr>
          <w:tab/>
        </w:r>
        <w:r>
          <w:rPr>
            <w:noProof/>
            <w:webHidden/>
          </w:rPr>
          <w:fldChar w:fldCharType="begin"/>
        </w:r>
        <w:r>
          <w:rPr>
            <w:noProof/>
            <w:webHidden/>
          </w:rPr>
          <w:instrText xml:space="preserve"> PAGEREF _Toc255802931 \h </w:instrText>
        </w:r>
        <w:r>
          <w:rPr>
            <w:noProof/>
            <w:webHidden/>
          </w:rPr>
        </w:r>
        <w:r>
          <w:rPr>
            <w:noProof/>
            <w:webHidden/>
          </w:rPr>
          <w:fldChar w:fldCharType="separate"/>
        </w:r>
        <w:r>
          <w:rPr>
            <w:noProof/>
            <w:webHidden/>
          </w:rPr>
          <w:t>30</w:t>
        </w:r>
        <w:r>
          <w:rPr>
            <w:noProof/>
            <w:webHidden/>
          </w:rPr>
          <w:fldChar w:fldCharType="end"/>
        </w:r>
      </w:hyperlink>
    </w:p>
    <w:p w:rsidR="002843EA" w:rsidRDefault="002843EA">
      <w:pPr>
        <w:pStyle w:val="TDC1"/>
        <w:tabs>
          <w:tab w:val="left" w:pos="440"/>
        </w:tabs>
        <w:rPr>
          <w:rFonts w:asciiTheme="minorHAnsi" w:eastAsiaTheme="minorEastAsia" w:hAnsiTheme="minorHAnsi" w:cstheme="minorBidi"/>
          <w:noProof/>
          <w:sz w:val="22"/>
          <w:szCs w:val="22"/>
          <w:lang w:val="es-ES" w:eastAsia="es-ES"/>
        </w:rPr>
      </w:pPr>
      <w:hyperlink w:anchor="_Toc255802932" w:history="1">
        <w:r w:rsidRPr="00762E5D">
          <w:rPr>
            <w:rStyle w:val="Hipervnculo"/>
            <w:noProof/>
            <w:lang w:val="es-CR"/>
          </w:rPr>
          <w:t>ii.</w:t>
        </w:r>
        <w:r>
          <w:rPr>
            <w:rFonts w:asciiTheme="minorHAnsi" w:eastAsiaTheme="minorEastAsia" w:hAnsiTheme="minorHAnsi" w:cstheme="minorBidi"/>
            <w:noProof/>
            <w:sz w:val="22"/>
            <w:szCs w:val="22"/>
            <w:lang w:val="es-ES" w:eastAsia="es-ES"/>
          </w:rPr>
          <w:tab/>
        </w:r>
        <w:r w:rsidRPr="00762E5D">
          <w:rPr>
            <w:rStyle w:val="Hipervnculo"/>
            <w:noProof/>
            <w:lang w:val="es-CR"/>
          </w:rPr>
          <w:t>Captaciones de Muy Corto Plazo</w:t>
        </w:r>
        <w:r>
          <w:rPr>
            <w:noProof/>
            <w:webHidden/>
          </w:rPr>
          <w:tab/>
        </w:r>
        <w:r>
          <w:rPr>
            <w:noProof/>
            <w:webHidden/>
          </w:rPr>
          <w:fldChar w:fldCharType="begin"/>
        </w:r>
        <w:r>
          <w:rPr>
            <w:noProof/>
            <w:webHidden/>
          </w:rPr>
          <w:instrText xml:space="preserve"> PAGEREF _Toc255802932 \h </w:instrText>
        </w:r>
        <w:r>
          <w:rPr>
            <w:noProof/>
            <w:webHidden/>
          </w:rPr>
        </w:r>
        <w:r>
          <w:rPr>
            <w:noProof/>
            <w:webHidden/>
          </w:rPr>
          <w:fldChar w:fldCharType="separate"/>
        </w:r>
        <w:r>
          <w:rPr>
            <w:noProof/>
            <w:webHidden/>
          </w:rPr>
          <w:t>30</w:t>
        </w:r>
        <w:r>
          <w:rPr>
            <w:noProof/>
            <w:webHidden/>
          </w:rPr>
          <w:fldChar w:fldCharType="end"/>
        </w:r>
      </w:hyperlink>
    </w:p>
    <w:p w:rsidR="002843EA" w:rsidRDefault="002843EA">
      <w:pPr>
        <w:pStyle w:val="TDC1"/>
        <w:tabs>
          <w:tab w:val="left" w:pos="440"/>
        </w:tabs>
        <w:rPr>
          <w:rFonts w:asciiTheme="minorHAnsi" w:eastAsiaTheme="minorEastAsia" w:hAnsiTheme="minorHAnsi" w:cstheme="minorBidi"/>
          <w:noProof/>
          <w:sz w:val="22"/>
          <w:szCs w:val="22"/>
          <w:lang w:val="es-ES" w:eastAsia="es-ES"/>
        </w:rPr>
      </w:pPr>
      <w:hyperlink w:anchor="_Toc255802933" w:history="1">
        <w:r w:rsidRPr="00762E5D">
          <w:rPr>
            <w:rStyle w:val="Hipervnculo"/>
            <w:noProof/>
            <w:lang w:val="es-CR"/>
          </w:rPr>
          <w:t>iii.</w:t>
        </w:r>
        <w:r>
          <w:rPr>
            <w:rFonts w:asciiTheme="minorHAnsi" w:eastAsiaTheme="minorEastAsia" w:hAnsiTheme="minorHAnsi" w:cstheme="minorBidi"/>
            <w:noProof/>
            <w:sz w:val="22"/>
            <w:szCs w:val="22"/>
            <w:lang w:val="es-ES" w:eastAsia="es-ES"/>
          </w:rPr>
          <w:tab/>
        </w:r>
        <w:r w:rsidRPr="00762E5D">
          <w:rPr>
            <w:rStyle w:val="Hipervnculo"/>
            <w:noProof/>
            <w:lang w:val="es-CR"/>
          </w:rPr>
          <w:t>Depósitos del Sector Financiero en BCCR</w:t>
        </w:r>
        <w:r>
          <w:rPr>
            <w:noProof/>
            <w:webHidden/>
          </w:rPr>
          <w:tab/>
        </w:r>
        <w:r>
          <w:rPr>
            <w:noProof/>
            <w:webHidden/>
          </w:rPr>
          <w:fldChar w:fldCharType="begin"/>
        </w:r>
        <w:r>
          <w:rPr>
            <w:noProof/>
            <w:webHidden/>
          </w:rPr>
          <w:instrText xml:space="preserve"> PAGEREF _Toc255802933 \h </w:instrText>
        </w:r>
        <w:r>
          <w:rPr>
            <w:noProof/>
            <w:webHidden/>
          </w:rPr>
        </w:r>
        <w:r>
          <w:rPr>
            <w:noProof/>
            <w:webHidden/>
          </w:rPr>
          <w:fldChar w:fldCharType="separate"/>
        </w:r>
        <w:r>
          <w:rPr>
            <w:noProof/>
            <w:webHidden/>
          </w:rPr>
          <w:t>30</w:t>
        </w:r>
        <w:r>
          <w:rPr>
            <w:noProof/>
            <w:webHidden/>
          </w:rPr>
          <w:fldChar w:fldCharType="end"/>
        </w:r>
      </w:hyperlink>
    </w:p>
    <w:p w:rsidR="002843EA" w:rsidRDefault="002843EA">
      <w:pPr>
        <w:pStyle w:val="TDC1"/>
        <w:tabs>
          <w:tab w:val="left" w:pos="440"/>
        </w:tabs>
        <w:rPr>
          <w:rFonts w:asciiTheme="minorHAnsi" w:eastAsiaTheme="minorEastAsia" w:hAnsiTheme="minorHAnsi" w:cstheme="minorBidi"/>
          <w:noProof/>
          <w:sz w:val="22"/>
          <w:szCs w:val="22"/>
          <w:lang w:val="es-ES" w:eastAsia="es-ES"/>
        </w:rPr>
      </w:pPr>
      <w:hyperlink w:anchor="_Toc255802934" w:history="1">
        <w:r w:rsidRPr="00762E5D">
          <w:rPr>
            <w:rStyle w:val="Hipervnculo"/>
            <w:noProof/>
            <w:lang w:val="es-CR"/>
          </w:rPr>
          <w:t>iv.</w:t>
        </w:r>
        <w:r>
          <w:rPr>
            <w:rFonts w:asciiTheme="minorHAnsi" w:eastAsiaTheme="minorEastAsia" w:hAnsiTheme="minorHAnsi" w:cstheme="minorBidi"/>
            <w:noProof/>
            <w:sz w:val="22"/>
            <w:szCs w:val="22"/>
            <w:lang w:val="es-ES" w:eastAsia="es-ES"/>
          </w:rPr>
          <w:tab/>
        </w:r>
        <w:r w:rsidRPr="00762E5D">
          <w:rPr>
            <w:rStyle w:val="Hipervnculo"/>
            <w:noProof/>
            <w:lang w:val="es-CR"/>
          </w:rPr>
          <w:t>Depósitos de Otras Entidades</w:t>
        </w:r>
        <w:r>
          <w:rPr>
            <w:noProof/>
            <w:webHidden/>
          </w:rPr>
          <w:tab/>
        </w:r>
        <w:r>
          <w:rPr>
            <w:noProof/>
            <w:webHidden/>
          </w:rPr>
          <w:fldChar w:fldCharType="begin"/>
        </w:r>
        <w:r>
          <w:rPr>
            <w:noProof/>
            <w:webHidden/>
          </w:rPr>
          <w:instrText xml:space="preserve"> PAGEREF _Toc255802934 \h </w:instrText>
        </w:r>
        <w:r>
          <w:rPr>
            <w:noProof/>
            <w:webHidden/>
          </w:rPr>
        </w:r>
        <w:r>
          <w:rPr>
            <w:noProof/>
            <w:webHidden/>
          </w:rPr>
          <w:fldChar w:fldCharType="separate"/>
        </w:r>
        <w:r>
          <w:rPr>
            <w:noProof/>
            <w:webHidden/>
          </w:rPr>
          <w:t>30</w:t>
        </w:r>
        <w:r>
          <w:rPr>
            <w:noProof/>
            <w:webHidden/>
          </w:rPr>
          <w:fldChar w:fldCharType="end"/>
        </w:r>
      </w:hyperlink>
    </w:p>
    <w:p w:rsidR="002843EA" w:rsidRDefault="002843EA">
      <w:pPr>
        <w:pStyle w:val="TDC1"/>
        <w:rPr>
          <w:rFonts w:asciiTheme="minorHAnsi" w:eastAsiaTheme="minorEastAsia" w:hAnsiTheme="minorHAnsi" w:cstheme="minorBidi"/>
          <w:noProof/>
          <w:sz w:val="22"/>
          <w:szCs w:val="22"/>
          <w:lang w:val="es-ES" w:eastAsia="es-ES"/>
        </w:rPr>
      </w:pPr>
      <w:hyperlink w:anchor="_Toc255802935" w:history="1">
        <w:r w:rsidRPr="00762E5D">
          <w:rPr>
            <w:rStyle w:val="Hipervnculo"/>
            <w:noProof/>
            <w:lang w:val="es-CR"/>
          </w:rPr>
          <w:t>v.</w:t>
        </w:r>
        <w:r>
          <w:rPr>
            <w:rStyle w:val="Hipervnculo"/>
            <w:noProof/>
            <w:lang w:val="es-CR"/>
          </w:rPr>
          <w:t xml:space="preserve">        </w:t>
        </w:r>
        <w:r w:rsidRPr="00762E5D">
          <w:rPr>
            <w:rStyle w:val="Hipervnculo"/>
            <w:noProof/>
            <w:lang w:val="es-CR"/>
          </w:rPr>
          <w:t>Operaciones del Gobierno Central</w:t>
        </w:r>
        <w:r>
          <w:rPr>
            <w:noProof/>
            <w:webHidden/>
          </w:rPr>
          <w:tab/>
        </w:r>
        <w:r>
          <w:rPr>
            <w:noProof/>
            <w:webHidden/>
          </w:rPr>
          <w:fldChar w:fldCharType="begin"/>
        </w:r>
        <w:r>
          <w:rPr>
            <w:noProof/>
            <w:webHidden/>
          </w:rPr>
          <w:instrText xml:space="preserve"> PAGEREF _Toc255802935 \h </w:instrText>
        </w:r>
        <w:r>
          <w:rPr>
            <w:noProof/>
            <w:webHidden/>
          </w:rPr>
        </w:r>
        <w:r>
          <w:rPr>
            <w:noProof/>
            <w:webHidden/>
          </w:rPr>
          <w:fldChar w:fldCharType="separate"/>
        </w:r>
        <w:r>
          <w:rPr>
            <w:noProof/>
            <w:webHidden/>
          </w:rPr>
          <w:t>30</w:t>
        </w:r>
        <w:r>
          <w:rPr>
            <w:noProof/>
            <w:webHidden/>
          </w:rPr>
          <w:fldChar w:fldCharType="end"/>
        </w:r>
      </w:hyperlink>
    </w:p>
    <w:p w:rsidR="002843EA" w:rsidRDefault="002843EA">
      <w:pPr>
        <w:pStyle w:val="TDC1"/>
        <w:tabs>
          <w:tab w:val="left" w:pos="440"/>
        </w:tabs>
        <w:rPr>
          <w:rFonts w:asciiTheme="minorHAnsi" w:eastAsiaTheme="minorEastAsia" w:hAnsiTheme="minorHAnsi" w:cstheme="minorBidi"/>
          <w:noProof/>
          <w:sz w:val="22"/>
          <w:szCs w:val="22"/>
          <w:lang w:val="es-ES" w:eastAsia="es-ES"/>
        </w:rPr>
      </w:pPr>
      <w:hyperlink w:anchor="_Toc255802936" w:history="1">
        <w:r w:rsidRPr="00762E5D">
          <w:rPr>
            <w:rStyle w:val="Hipervnculo"/>
            <w:noProof/>
            <w:lang w:val="es-CR"/>
          </w:rPr>
          <w:t>vi.</w:t>
        </w:r>
        <w:r>
          <w:rPr>
            <w:rFonts w:asciiTheme="minorHAnsi" w:eastAsiaTheme="minorEastAsia" w:hAnsiTheme="minorHAnsi" w:cstheme="minorBidi"/>
            <w:noProof/>
            <w:sz w:val="22"/>
            <w:szCs w:val="22"/>
            <w:lang w:val="es-ES" w:eastAsia="es-ES"/>
          </w:rPr>
          <w:tab/>
        </w:r>
        <w:r w:rsidRPr="00762E5D">
          <w:rPr>
            <w:rStyle w:val="Hipervnculo"/>
            <w:noProof/>
            <w:lang w:val="es-CR"/>
          </w:rPr>
          <w:t>Endeudamiento Externo</w:t>
        </w:r>
        <w:r>
          <w:rPr>
            <w:noProof/>
            <w:webHidden/>
          </w:rPr>
          <w:tab/>
        </w:r>
        <w:r>
          <w:rPr>
            <w:noProof/>
            <w:webHidden/>
          </w:rPr>
          <w:fldChar w:fldCharType="begin"/>
        </w:r>
        <w:r>
          <w:rPr>
            <w:noProof/>
            <w:webHidden/>
          </w:rPr>
          <w:instrText xml:space="preserve"> PAGEREF _Toc255802936 \h </w:instrText>
        </w:r>
        <w:r>
          <w:rPr>
            <w:noProof/>
            <w:webHidden/>
          </w:rPr>
        </w:r>
        <w:r>
          <w:rPr>
            <w:noProof/>
            <w:webHidden/>
          </w:rPr>
          <w:fldChar w:fldCharType="separate"/>
        </w:r>
        <w:r>
          <w:rPr>
            <w:noProof/>
            <w:webHidden/>
          </w:rPr>
          <w:t>30</w:t>
        </w:r>
        <w:r>
          <w:rPr>
            <w:noProof/>
            <w:webHidden/>
          </w:rPr>
          <w:fldChar w:fldCharType="end"/>
        </w:r>
      </w:hyperlink>
    </w:p>
    <w:p w:rsidR="002843EA" w:rsidRDefault="002843EA">
      <w:pPr>
        <w:pStyle w:val="TDC1"/>
        <w:tabs>
          <w:tab w:val="left" w:pos="440"/>
        </w:tabs>
        <w:rPr>
          <w:rFonts w:asciiTheme="minorHAnsi" w:eastAsiaTheme="minorEastAsia" w:hAnsiTheme="minorHAnsi" w:cstheme="minorBidi"/>
          <w:noProof/>
          <w:sz w:val="22"/>
          <w:szCs w:val="22"/>
          <w:lang w:val="es-ES" w:eastAsia="es-ES"/>
        </w:rPr>
      </w:pPr>
      <w:hyperlink w:anchor="_Toc255802937" w:history="1">
        <w:r w:rsidRPr="00762E5D">
          <w:rPr>
            <w:rStyle w:val="Hipervnculo"/>
            <w:noProof/>
            <w:lang w:val="es-CR"/>
          </w:rPr>
          <w:t>vii.</w:t>
        </w:r>
        <w:r>
          <w:rPr>
            <w:rFonts w:asciiTheme="minorHAnsi" w:eastAsiaTheme="minorEastAsia" w:hAnsiTheme="minorHAnsi" w:cstheme="minorBidi"/>
            <w:noProof/>
            <w:sz w:val="22"/>
            <w:szCs w:val="22"/>
            <w:lang w:val="es-ES" w:eastAsia="es-ES"/>
          </w:rPr>
          <w:tab/>
        </w:r>
        <w:r w:rsidRPr="00762E5D">
          <w:rPr>
            <w:rStyle w:val="Hipervnculo"/>
            <w:noProof/>
            <w:lang w:val="es-CR"/>
          </w:rPr>
          <w:t>Otras Partidas del Pasivo</w:t>
        </w:r>
        <w:r>
          <w:rPr>
            <w:noProof/>
            <w:webHidden/>
          </w:rPr>
          <w:tab/>
        </w:r>
        <w:r>
          <w:rPr>
            <w:noProof/>
            <w:webHidden/>
          </w:rPr>
          <w:fldChar w:fldCharType="begin"/>
        </w:r>
        <w:r>
          <w:rPr>
            <w:noProof/>
            <w:webHidden/>
          </w:rPr>
          <w:instrText xml:space="preserve"> PAGEREF _Toc255802937 \h </w:instrText>
        </w:r>
        <w:r>
          <w:rPr>
            <w:noProof/>
            <w:webHidden/>
          </w:rPr>
        </w:r>
        <w:r>
          <w:rPr>
            <w:noProof/>
            <w:webHidden/>
          </w:rPr>
          <w:fldChar w:fldCharType="separate"/>
        </w:r>
        <w:r>
          <w:rPr>
            <w:noProof/>
            <w:webHidden/>
          </w:rPr>
          <w:t>31</w:t>
        </w:r>
        <w:r>
          <w:rPr>
            <w:noProof/>
            <w:webHidden/>
          </w:rPr>
          <w:fldChar w:fldCharType="end"/>
        </w:r>
      </w:hyperlink>
    </w:p>
    <w:p w:rsidR="002843EA" w:rsidRDefault="002843EA">
      <w:pPr>
        <w:pStyle w:val="TDC1"/>
        <w:tabs>
          <w:tab w:val="left" w:pos="440"/>
        </w:tabs>
        <w:rPr>
          <w:rFonts w:asciiTheme="minorHAnsi" w:eastAsiaTheme="minorEastAsia" w:hAnsiTheme="minorHAnsi" w:cstheme="minorBidi"/>
          <w:noProof/>
          <w:sz w:val="22"/>
          <w:szCs w:val="22"/>
          <w:lang w:val="es-ES" w:eastAsia="es-ES"/>
        </w:rPr>
      </w:pPr>
      <w:hyperlink w:anchor="_Toc255802938" w:history="1">
        <w:r w:rsidRPr="00762E5D">
          <w:rPr>
            <w:rStyle w:val="Hipervnculo"/>
            <w:noProof/>
            <w:lang w:val="es-CR"/>
          </w:rPr>
          <w:t>III.</w:t>
        </w:r>
        <w:r>
          <w:rPr>
            <w:rFonts w:asciiTheme="minorHAnsi" w:eastAsiaTheme="minorEastAsia" w:hAnsiTheme="minorHAnsi" w:cstheme="minorBidi"/>
            <w:noProof/>
            <w:sz w:val="22"/>
            <w:szCs w:val="22"/>
            <w:lang w:val="es-ES" w:eastAsia="es-ES"/>
          </w:rPr>
          <w:tab/>
        </w:r>
        <w:r w:rsidRPr="00762E5D">
          <w:rPr>
            <w:rStyle w:val="Hipervnculo"/>
            <w:noProof/>
            <w:lang w:val="es-CR"/>
          </w:rPr>
          <w:t>RESULTADOS DE LAS OPERACIONES EFECTIVAS:</w:t>
        </w:r>
        <w:r>
          <w:rPr>
            <w:noProof/>
            <w:webHidden/>
          </w:rPr>
          <w:tab/>
        </w:r>
        <w:r>
          <w:rPr>
            <w:noProof/>
            <w:webHidden/>
          </w:rPr>
          <w:fldChar w:fldCharType="begin"/>
        </w:r>
        <w:r>
          <w:rPr>
            <w:noProof/>
            <w:webHidden/>
          </w:rPr>
          <w:instrText xml:space="preserve"> PAGEREF _Toc255802938 \h </w:instrText>
        </w:r>
        <w:r>
          <w:rPr>
            <w:noProof/>
            <w:webHidden/>
          </w:rPr>
        </w:r>
        <w:r>
          <w:rPr>
            <w:noProof/>
            <w:webHidden/>
          </w:rPr>
          <w:fldChar w:fldCharType="separate"/>
        </w:r>
        <w:r>
          <w:rPr>
            <w:noProof/>
            <w:webHidden/>
          </w:rPr>
          <w:t>31</w:t>
        </w:r>
        <w:r>
          <w:rPr>
            <w:noProof/>
            <w:webHidden/>
          </w:rPr>
          <w:fldChar w:fldCharType="end"/>
        </w:r>
      </w:hyperlink>
    </w:p>
    <w:p w:rsidR="002843EA" w:rsidRDefault="002843EA" w:rsidP="002843EA">
      <w:pPr>
        <w:pStyle w:val="TDC1"/>
        <w:numPr>
          <w:ilvl w:val="0"/>
          <w:numId w:val="59"/>
        </w:numPr>
        <w:rPr>
          <w:rFonts w:asciiTheme="minorHAnsi" w:eastAsiaTheme="minorEastAsia" w:hAnsiTheme="minorHAnsi" w:cstheme="minorBidi"/>
          <w:noProof/>
          <w:sz w:val="22"/>
          <w:szCs w:val="22"/>
          <w:lang w:val="es-ES" w:eastAsia="es-ES"/>
        </w:rPr>
      </w:pPr>
      <w:hyperlink w:anchor="_Toc255802939" w:history="1">
        <w:r>
          <w:rPr>
            <w:rFonts w:asciiTheme="minorHAnsi" w:eastAsiaTheme="minorEastAsia" w:hAnsiTheme="minorHAnsi" w:cstheme="minorBidi"/>
            <w:noProof/>
            <w:sz w:val="22"/>
            <w:szCs w:val="22"/>
            <w:lang w:val="es-ES" w:eastAsia="es-ES"/>
          </w:rPr>
          <w:t xml:space="preserve">         </w:t>
        </w:r>
        <w:r w:rsidRPr="00762E5D">
          <w:rPr>
            <w:rStyle w:val="Hipervnculo"/>
            <w:noProof/>
            <w:lang w:val="es-CR"/>
          </w:rPr>
          <w:t>Intereses y Comisiones Cobrados</w:t>
        </w:r>
        <w:r>
          <w:rPr>
            <w:noProof/>
            <w:webHidden/>
          </w:rPr>
          <w:tab/>
        </w:r>
        <w:r>
          <w:rPr>
            <w:noProof/>
            <w:webHidden/>
          </w:rPr>
          <w:fldChar w:fldCharType="begin"/>
        </w:r>
        <w:r>
          <w:rPr>
            <w:noProof/>
            <w:webHidden/>
          </w:rPr>
          <w:instrText xml:space="preserve"> PAGEREF _Toc255802939 \h </w:instrText>
        </w:r>
        <w:r>
          <w:rPr>
            <w:noProof/>
            <w:webHidden/>
          </w:rPr>
        </w:r>
        <w:r>
          <w:rPr>
            <w:noProof/>
            <w:webHidden/>
          </w:rPr>
          <w:fldChar w:fldCharType="separate"/>
        </w:r>
        <w:r>
          <w:rPr>
            <w:noProof/>
            <w:webHidden/>
          </w:rPr>
          <w:t>31</w:t>
        </w:r>
        <w:r>
          <w:rPr>
            <w:noProof/>
            <w:webHidden/>
          </w:rPr>
          <w:fldChar w:fldCharType="end"/>
        </w:r>
      </w:hyperlink>
    </w:p>
    <w:p w:rsidR="002843EA" w:rsidRDefault="002843EA">
      <w:pPr>
        <w:pStyle w:val="TDC1"/>
        <w:tabs>
          <w:tab w:val="left" w:pos="440"/>
        </w:tabs>
        <w:rPr>
          <w:rFonts w:asciiTheme="minorHAnsi" w:eastAsiaTheme="minorEastAsia" w:hAnsiTheme="minorHAnsi" w:cstheme="minorBidi"/>
          <w:noProof/>
          <w:sz w:val="22"/>
          <w:szCs w:val="22"/>
          <w:lang w:val="es-ES" w:eastAsia="es-ES"/>
        </w:rPr>
      </w:pPr>
      <w:hyperlink w:anchor="_Toc255802940" w:history="1">
        <w:r w:rsidRPr="00762E5D">
          <w:rPr>
            <w:rStyle w:val="Hipervnculo"/>
            <w:noProof/>
            <w:lang w:val="es-CR"/>
          </w:rPr>
          <w:t>ii.</w:t>
        </w:r>
        <w:r>
          <w:rPr>
            <w:rFonts w:asciiTheme="minorHAnsi" w:eastAsiaTheme="minorEastAsia" w:hAnsiTheme="minorHAnsi" w:cstheme="minorBidi"/>
            <w:noProof/>
            <w:sz w:val="22"/>
            <w:szCs w:val="22"/>
            <w:lang w:val="es-ES" w:eastAsia="es-ES"/>
          </w:rPr>
          <w:tab/>
        </w:r>
        <w:r w:rsidRPr="00762E5D">
          <w:rPr>
            <w:rStyle w:val="Hipervnculo"/>
            <w:noProof/>
            <w:lang w:val="es-CR"/>
          </w:rPr>
          <w:t>Intereses y Comisiones Pagados</w:t>
        </w:r>
        <w:r>
          <w:rPr>
            <w:noProof/>
            <w:webHidden/>
          </w:rPr>
          <w:tab/>
        </w:r>
        <w:r>
          <w:rPr>
            <w:noProof/>
            <w:webHidden/>
          </w:rPr>
          <w:fldChar w:fldCharType="begin"/>
        </w:r>
        <w:r>
          <w:rPr>
            <w:noProof/>
            <w:webHidden/>
          </w:rPr>
          <w:instrText xml:space="preserve"> PAGEREF _Toc255802940 \h </w:instrText>
        </w:r>
        <w:r>
          <w:rPr>
            <w:noProof/>
            <w:webHidden/>
          </w:rPr>
        </w:r>
        <w:r>
          <w:rPr>
            <w:noProof/>
            <w:webHidden/>
          </w:rPr>
          <w:fldChar w:fldCharType="separate"/>
        </w:r>
        <w:r>
          <w:rPr>
            <w:noProof/>
            <w:webHidden/>
          </w:rPr>
          <w:t>31</w:t>
        </w:r>
        <w:r>
          <w:rPr>
            <w:noProof/>
            <w:webHidden/>
          </w:rPr>
          <w:fldChar w:fldCharType="end"/>
        </w:r>
      </w:hyperlink>
    </w:p>
    <w:p w:rsidR="002843EA" w:rsidRDefault="002843EA">
      <w:pPr>
        <w:pStyle w:val="TDC1"/>
        <w:tabs>
          <w:tab w:val="left" w:pos="440"/>
        </w:tabs>
        <w:rPr>
          <w:rFonts w:asciiTheme="minorHAnsi" w:eastAsiaTheme="minorEastAsia" w:hAnsiTheme="minorHAnsi" w:cstheme="minorBidi"/>
          <w:noProof/>
          <w:sz w:val="22"/>
          <w:szCs w:val="22"/>
          <w:lang w:val="es-ES" w:eastAsia="es-ES"/>
        </w:rPr>
      </w:pPr>
      <w:hyperlink w:anchor="_Toc255802941" w:history="1">
        <w:r w:rsidRPr="00762E5D">
          <w:rPr>
            <w:rStyle w:val="Hipervnculo"/>
            <w:noProof/>
            <w:lang w:val="es-CR"/>
          </w:rPr>
          <w:t>iii.</w:t>
        </w:r>
        <w:r>
          <w:rPr>
            <w:rFonts w:asciiTheme="minorHAnsi" w:eastAsiaTheme="minorEastAsia" w:hAnsiTheme="minorHAnsi" w:cstheme="minorBidi"/>
            <w:noProof/>
            <w:sz w:val="22"/>
            <w:szCs w:val="22"/>
            <w:lang w:val="es-ES" w:eastAsia="es-ES"/>
          </w:rPr>
          <w:tab/>
        </w:r>
        <w:r w:rsidRPr="00762E5D">
          <w:rPr>
            <w:rStyle w:val="Hipervnculo"/>
            <w:noProof/>
            <w:lang w:val="es-CR"/>
          </w:rPr>
          <w:t>Gastos Administrativos</w:t>
        </w:r>
        <w:r>
          <w:rPr>
            <w:noProof/>
            <w:webHidden/>
          </w:rPr>
          <w:tab/>
        </w:r>
        <w:r>
          <w:rPr>
            <w:noProof/>
            <w:webHidden/>
          </w:rPr>
          <w:fldChar w:fldCharType="begin"/>
        </w:r>
        <w:r>
          <w:rPr>
            <w:noProof/>
            <w:webHidden/>
          </w:rPr>
          <w:instrText xml:space="preserve"> PAGEREF _Toc255802941 \h </w:instrText>
        </w:r>
        <w:r>
          <w:rPr>
            <w:noProof/>
            <w:webHidden/>
          </w:rPr>
        </w:r>
        <w:r>
          <w:rPr>
            <w:noProof/>
            <w:webHidden/>
          </w:rPr>
          <w:fldChar w:fldCharType="separate"/>
        </w:r>
        <w:r>
          <w:rPr>
            <w:noProof/>
            <w:webHidden/>
          </w:rPr>
          <w:t>31</w:t>
        </w:r>
        <w:r>
          <w:rPr>
            <w:noProof/>
            <w:webHidden/>
          </w:rPr>
          <w:fldChar w:fldCharType="end"/>
        </w:r>
      </w:hyperlink>
    </w:p>
    <w:p w:rsidR="002843EA" w:rsidRDefault="002843EA">
      <w:pPr>
        <w:pStyle w:val="TDC1"/>
        <w:rPr>
          <w:rFonts w:asciiTheme="minorHAnsi" w:eastAsiaTheme="minorEastAsia" w:hAnsiTheme="minorHAnsi" w:cstheme="minorBidi"/>
          <w:noProof/>
          <w:sz w:val="22"/>
          <w:szCs w:val="22"/>
          <w:lang w:val="es-ES" w:eastAsia="es-ES"/>
        </w:rPr>
      </w:pPr>
      <w:hyperlink w:anchor="_Toc255802942" w:history="1">
        <w:r w:rsidRPr="00762E5D">
          <w:rPr>
            <w:rStyle w:val="Hipervnculo"/>
            <w:noProof/>
            <w:lang w:val="es-CR"/>
          </w:rPr>
          <w:t>NOTAS CONCERNIENTES A LOS PASIVOS CONTINGENTES AL 28 DE FEBRERO DEL 2009</w:t>
        </w:r>
        <w:r>
          <w:rPr>
            <w:noProof/>
            <w:webHidden/>
          </w:rPr>
          <w:tab/>
        </w:r>
        <w:r>
          <w:rPr>
            <w:noProof/>
            <w:webHidden/>
          </w:rPr>
          <w:fldChar w:fldCharType="begin"/>
        </w:r>
        <w:r>
          <w:rPr>
            <w:noProof/>
            <w:webHidden/>
          </w:rPr>
          <w:instrText xml:space="preserve"> PAGEREF _Toc255802942 \h </w:instrText>
        </w:r>
        <w:r>
          <w:rPr>
            <w:noProof/>
            <w:webHidden/>
          </w:rPr>
        </w:r>
        <w:r>
          <w:rPr>
            <w:noProof/>
            <w:webHidden/>
          </w:rPr>
          <w:fldChar w:fldCharType="separate"/>
        </w:r>
        <w:r>
          <w:rPr>
            <w:noProof/>
            <w:webHidden/>
          </w:rPr>
          <w:t>32</w:t>
        </w:r>
        <w:r>
          <w:rPr>
            <w:noProof/>
            <w:webHidden/>
          </w:rPr>
          <w:fldChar w:fldCharType="end"/>
        </w:r>
      </w:hyperlink>
    </w:p>
    <w:p w:rsidR="00BC62B7" w:rsidRDefault="00082551" w:rsidP="00C82E3B">
      <w:pPr>
        <w:jc w:val="both"/>
      </w:pPr>
      <w:r w:rsidRPr="0019670A">
        <w:rPr>
          <w:lang w:val="es-CR"/>
        </w:rPr>
        <w:fldChar w:fldCharType="end"/>
      </w:r>
    </w:p>
    <w:p w:rsidR="00BC62B7" w:rsidRDefault="00BC62B7" w:rsidP="00C82E3B">
      <w:pPr>
        <w:pStyle w:val="Ttulo1"/>
        <w:jc w:val="both"/>
        <w:rPr>
          <w:rFonts w:ascii="Times New Roman" w:hAnsi="Times New Roman" w:cs="Times New Roman"/>
          <w:color w:val="000080"/>
          <w:sz w:val="28"/>
          <w:szCs w:val="28"/>
          <w:lang w:val="es-CR"/>
        </w:rPr>
        <w:sectPr w:rsidR="00BC62B7" w:rsidSect="00A30E31">
          <w:headerReference w:type="default" r:id="rId9"/>
          <w:footerReference w:type="even" r:id="rId10"/>
          <w:footerReference w:type="default" r:id="rId11"/>
          <w:type w:val="continuous"/>
          <w:pgSz w:w="12240" w:h="15840"/>
          <w:pgMar w:top="1440" w:right="1800" w:bottom="1440" w:left="1800" w:header="708" w:footer="708" w:gutter="0"/>
          <w:pgNumType w:start="1"/>
          <w:cols w:space="708"/>
          <w:titlePg/>
          <w:docGrid w:linePitch="360"/>
        </w:sectPr>
      </w:pPr>
    </w:p>
    <w:p w:rsidR="00BC62B7" w:rsidRPr="008A54C7" w:rsidRDefault="00BC62B7" w:rsidP="00C82E3B">
      <w:pPr>
        <w:pStyle w:val="Ttulo1"/>
        <w:jc w:val="both"/>
        <w:rPr>
          <w:rFonts w:ascii="Times New Roman" w:hAnsi="Times New Roman" w:cs="Times New Roman"/>
          <w:color w:val="000080"/>
          <w:sz w:val="28"/>
          <w:szCs w:val="28"/>
          <w:lang w:val="es-CR"/>
        </w:rPr>
      </w:pPr>
      <w:bookmarkStart w:id="1" w:name="_Toc255802877"/>
      <w:r w:rsidRPr="00C82E3B">
        <w:rPr>
          <w:rFonts w:ascii="Times New Roman" w:hAnsi="Times New Roman" w:cs="Times New Roman"/>
          <w:color w:val="000080"/>
          <w:sz w:val="28"/>
          <w:szCs w:val="28"/>
          <w:lang w:val="es-CR"/>
        </w:rPr>
        <w:lastRenderedPageBreak/>
        <w:t>INFORMACIÓN A REVELAR EN LOS ESTADOS FINANCIEROS</w:t>
      </w:r>
      <w:r w:rsidRPr="00C82E3B">
        <w:rPr>
          <w:rFonts w:ascii="Times New Roman" w:hAnsi="Times New Roman" w:cs="Times New Roman"/>
          <w:color w:val="000080"/>
          <w:sz w:val="28"/>
          <w:szCs w:val="28"/>
          <w:lang w:val="es-CR"/>
        </w:rPr>
        <w:br/>
        <w:t xml:space="preserve">AL </w:t>
      </w:r>
      <w:r w:rsidR="003C101D">
        <w:rPr>
          <w:rFonts w:ascii="Times New Roman" w:hAnsi="Times New Roman" w:cs="Times New Roman"/>
          <w:color w:val="000080"/>
          <w:sz w:val="28"/>
          <w:szCs w:val="28"/>
          <w:lang w:val="es-CR"/>
        </w:rPr>
        <w:t>28</w:t>
      </w:r>
      <w:r w:rsidR="00855B94">
        <w:rPr>
          <w:rFonts w:ascii="Times New Roman" w:hAnsi="Times New Roman" w:cs="Times New Roman"/>
          <w:color w:val="000080"/>
          <w:sz w:val="28"/>
          <w:szCs w:val="28"/>
          <w:lang w:val="es-CR"/>
        </w:rPr>
        <w:t xml:space="preserve"> DE </w:t>
      </w:r>
      <w:r w:rsidR="003C101D">
        <w:rPr>
          <w:rFonts w:ascii="Times New Roman" w:hAnsi="Times New Roman" w:cs="Times New Roman"/>
          <w:color w:val="000080"/>
          <w:sz w:val="28"/>
          <w:szCs w:val="28"/>
          <w:lang w:val="es-CR"/>
        </w:rPr>
        <w:t>FEBRERO</w:t>
      </w:r>
      <w:r w:rsidR="002059AB">
        <w:rPr>
          <w:rFonts w:ascii="Times New Roman" w:hAnsi="Times New Roman" w:cs="Times New Roman"/>
          <w:color w:val="000080"/>
          <w:sz w:val="28"/>
          <w:szCs w:val="28"/>
          <w:lang w:val="es-CR"/>
        </w:rPr>
        <w:t xml:space="preserve"> </w:t>
      </w:r>
      <w:r w:rsidRPr="00C82E3B">
        <w:rPr>
          <w:rFonts w:ascii="Times New Roman" w:hAnsi="Times New Roman" w:cs="Times New Roman"/>
          <w:color w:val="000080"/>
          <w:sz w:val="28"/>
          <w:szCs w:val="28"/>
          <w:lang w:val="es-CR"/>
        </w:rPr>
        <w:t>DEL 200</w:t>
      </w:r>
      <w:r w:rsidR="002059AB">
        <w:rPr>
          <w:rFonts w:ascii="Times New Roman" w:hAnsi="Times New Roman" w:cs="Times New Roman"/>
          <w:color w:val="000080"/>
          <w:sz w:val="28"/>
          <w:szCs w:val="28"/>
          <w:lang w:val="es-CR"/>
        </w:rPr>
        <w:t>9</w:t>
      </w:r>
      <w:bookmarkEnd w:id="1"/>
    </w:p>
    <w:p w:rsidR="00BC62B7" w:rsidRPr="0019670A" w:rsidRDefault="00BC62B7" w:rsidP="00C82E3B">
      <w:pPr>
        <w:pStyle w:val="Ttulo1"/>
        <w:jc w:val="both"/>
        <w:rPr>
          <w:rFonts w:ascii="Times New Roman" w:hAnsi="Times New Roman" w:cs="Times New Roman"/>
          <w:color w:val="000080"/>
          <w:sz w:val="24"/>
          <w:szCs w:val="24"/>
          <w:lang w:val="es-CR"/>
        </w:rPr>
      </w:pPr>
      <w:bookmarkStart w:id="2" w:name="_Toc255802878"/>
      <w:r w:rsidRPr="0019670A">
        <w:rPr>
          <w:rFonts w:ascii="Times New Roman" w:hAnsi="Times New Roman" w:cs="Times New Roman"/>
          <w:color w:val="000080"/>
          <w:sz w:val="24"/>
          <w:szCs w:val="24"/>
          <w:lang w:val="es-CR"/>
        </w:rPr>
        <w:t xml:space="preserve">Antecedentes de </w:t>
      </w:r>
      <w:smartTag w:uri="urn:schemas-microsoft-com:office:smarttags" w:element="PersonName">
        <w:smartTagPr>
          <w:attr w:name="ProductID" w:val="la Instituci￳n"/>
        </w:smartTagPr>
        <w:r w:rsidRPr="0019670A">
          <w:rPr>
            <w:rFonts w:ascii="Times New Roman" w:hAnsi="Times New Roman" w:cs="Times New Roman"/>
            <w:color w:val="000080"/>
            <w:sz w:val="24"/>
            <w:szCs w:val="24"/>
            <w:lang w:val="es-CR"/>
          </w:rPr>
          <w:t>la Institución</w:t>
        </w:r>
      </w:smartTag>
      <w:bookmarkEnd w:id="2"/>
    </w:p>
    <w:p w:rsidR="00BC62B7" w:rsidRPr="0019670A" w:rsidRDefault="00BC62B7" w:rsidP="00C82E3B">
      <w:pPr>
        <w:jc w:val="both"/>
        <w:rPr>
          <w:lang w:val="es-CR"/>
        </w:rPr>
      </w:pPr>
    </w:p>
    <w:p w:rsidR="00BC62B7" w:rsidRPr="0019670A" w:rsidRDefault="00BC62B7" w:rsidP="00C82E3B">
      <w:pPr>
        <w:jc w:val="both"/>
        <w:rPr>
          <w:lang w:val="es-CR"/>
        </w:rPr>
      </w:pPr>
      <w:r w:rsidRPr="0019670A">
        <w:rPr>
          <w:lang w:val="es-CR"/>
        </w:rPr>
        <w:t>El Banco Central de Costa Rica es una institución autónoma de derecho público con personería jurídica y patrimonio propio, que forma parte del Sistema Bancario Nacional.</w:t>
      </w:r>
    </w:p>
    <w:p w:rsidR="00BC62B7" w:rsidRPr="0019670A" w:rsidRDefault="00BC62B7" w:rsidP="00C82E3B">
      <w:pPr>
        <w:pStyle w:val="TextoparrafosCar"/>
        <w:rPr>
          <w:rFonts w:ascii="Times New Roman" w:hAnsi="Times New Roman"/>
        </w:rPr>
      </w:pPr>
      <w:r w:rsidRPr="0019670A">
        <w:rPr>
          <w:rFonts w:ascii="Times New Roman" w:hAnsi="Times New Roman"/>
        </w:rPr>
        <w:t>Por la naturaleza de</w:t>
      </w:r>
      <w:r>
        <w:rPr>
          <w:rFonts w:ascii="Times New Roman" w:hAnsi="Times New Roman"/>
        </w:rPr>
        <w:t>l</w:t>
      </w:r>
      <w:r w:rsidRPr="0019670A">
        <w:rPr>
          <w:rFonts w:ascii="Times New Roman" w:hAnsi="Times New Roman"/>
        </w:rPr>
        <w:t xml:space="preserve"> Banco Central, sus operaciones y principales actividades están orientadas a mantener la estabilidad interna y externa de la moneda nacional y asegurar su conversión a otras monedas.</w:t>
      </w:r>
    </w:p>
    <w:p w:rsidR="00BC62B7" w:rsidRPr="0019670A" w:rsidRDefault="00BC62B7" w:rsidP="00C82E3B">
      <w:pPr>
        <w:pStyle w:val="TextoparrafosCar"/>
        <w:rPr>
          <w:rFonts w:ascii="Times New Roman" w:hAnsi="Times New Roman"/>
        </w:rPr>
      </w:pPr>
      <w:r w:rsidRPr="0019670A">
        <w:rPr>
          <w:rFonts w:ascii="Times New Roman" w:hAnsi="Times New Roman"/>
        </w:rPr>
        <w:t>Como objetivos subsidiarios, tiene los siguientes:</w:t>
      </w:r>
    </w:p>
    <w:p w:rsidR="00BC62B7" w:rsidRPr="0019670A" w:rsidRDefault="00BC62B7" w:rsidP="00A8084E">
      <w:pPr>
        <w:pStyle w:val="listaa"/>
        <w:numPr>
          <w:ilvl w:val="0"/>
          <w:numId w:val="1"/>
        </w:numPr>
        <w:tabs>
          <w:tab w:val="clear" w:pos="720"/>
        </w:tabs>
        <w:ind w:left="567" w:hanging="283"/>
      </w:pPr>
      <w:r w:rsidRPr="0019670A">
        <w:t xml:space="preserve">Promover el ordenado desarrollo de la economía costarricense, a fin de lograr la ocupación plena de los recursos productivos de </w:t>
      </w:r>
      <w:smartTag w:uri="urn:schemas-microsoft-com:office:smarttags" w:element="PersonName">
        <w:smartTagPr>
          <w:attr w:name="ProductID" w:val="la Naci￳n"/>
        </w:smartTagPr>
        <w:r w:rsidRPr="0019670A">
          <w:t>la Nación</w:t>
        </w:r>
      </w:smartTag>
      <w:r w:rsidRPr="0019670A">
        <w:t>, procurando evitar o moderar las tendencias inflacionistas o deflacionistas que puedan surgir en el mercado monetario y crediticio.</w:t>
      </w:r>
    </w:p>
    <w:p w:rsidR="00BC62B7" w:rsidRPr="0019670A" w:rsidRDefault="00BC62B7" w:rsidP="00A8084E">
      <w:pPr>
        <w:pStyle w:val="listaa"/>
        <w:numPr>
          <w:ilvl w:val="0"/>
          <w:numId w:val="1"/>
        </w:numPr>
        <w:tabs>
          <w:tab w:val="clear" w:pos="720"/>
        </w:tabs>
        <w:ind w:left="567" w:hanging="283"/>
      </w:pPr>
      <w:r w:rsidRPr="0019670A">
        <w:t xml:space="preserve">Velar por el buen uso de las reservas monetarias internacionales de </w:t>
      </w:r>
      <w:smartTag w:uri="urn:schemas-microsoft-com:office:smarttags" w:element="PersonName">
        <w:smartTagPr>
          <w:attr w:name="ProductID" w:val="la Naci￳n"/>
        </w:smartTagPr>
        <w:r w:rsidRPr="0019670A">
          <w:t>la Nación</w:t>
        </w:r>
      </w:smartTag>
      <w:r w:rsidRPr="0019670A">
        <w:t xml:space="preserve"> para el logro de la estabilidad económica general.</w:t>
      </w:r>
    </w:p>
    <w:p w:rsidR="00BC62B7" w:rsidRPr="0019670A" w:rsidRDefault="00BC62B7" w:rsidP="00A8084E">
      <w:pPr>
        <w:pStyle w:val="listaa"/>
        <w:numPr>
          <w:ilvl w:val="0"/>
          <w:numId w:val="1"/>
        </w:numPr>
        <w:tabs>
          <w:tab w:val="clear" w:pos="720"/>
        </w:tabs>
        <w:ind w:left="567" w:hanging="283"/>
      </w:pPr>
      <w:r w:rsidRPr="0019670A">
        <w:t>Promover la eficiencia del sistema de pagos internos y externos y mantener su normal funcionamiento.</w:t>
      </w:r>
    </w:p>
    <w:p w:rsidR="00BC62B7" w:rsidRPr="0019670A" w:rsidRDefault="00BC62B7" w:rsidP="00A8084E">
      <w:pPr>
        <w:pStyle w:val="listaa"/>
        <w:numPr>
          <w:ilvl w:val="0"/>
          <w:numId w:val="1"/>
        </w:numPr>
        <w:tabs>
          <w:tab w:val="clear" w:pos="720"/>
        </w:tabs>
        <w:ind w:left="567" w:hanging="283"/>
      </w:pPr>
      <w:r w:rsidRPr="0019670A">
        <w:t>Promover un sistema de intermediación financiera estable, eficiente y competitivo.</w:t>
      </w:r>
    </w:p>
    <w:p w:rsidR="00BC62B7" w:rsidRPr="0019670A" w:rsidRDefault="00BC62B7" w:rsidP="00C82E3B">
      <w:pPr>
        <w:pStyle w:val="TextoparrafosCar"/>
        <w:rPr>
          <w:rFonts w:ascii="Times New Roman" w:hAnsi="Times New Roman"/>
        </w:rPr>
      </w:pPr>
      <w:r w:rsidRPr="0019670A">
        <w:rPr>
          <w:rFonts w:ascii="Times New Roman" w:hAnsi="Times New Roman"/>
        </w:rPr>
        <w:t>Las funciones esenciales que le competen al Banco Central de Costa Rica,</w:t>
      </w:r>
      <w:r>
        <w:rPr>
          <w:rFonts w:ascii="Times New Roman" w:hAnsi="Times New Roman"/>
        </w:rPr>
        <w:t xml:space="preserve"> </w:t>
      </w:r>
      <w:r w:rsidRPr="0019670A">
        <w:rPr>
          <w:rFonts w:ascii="Times New Roman" w:hAnsi="Times New Roman"/>
        </w:rPr>
        <w:t>para el debido cumplimiento de sus fines, de acuerdo con lo establecido en su ley orgánica, corresponden a:</w:t>
      </w:r>
    </w:p>
    <w:p w:rsidR="00BC62B7" w:rsidRPr="0019670A" w:rsidRDefault="00BC62B7" w:rsidP="00A8084E">
      <w:pPr>
        <w:pStyle w:val="listaa"/>
        <w:numPr>
          <w:ilvl w:val="0"/>
          <w:numId w:val="2"/>
        </w:numPr>
        <w:tabs>
          <w:tab w:val="clear" w:pos="720"/>
        </w:tabs>
        <w:ind w:left="567" w:hanging="283"/>
      </w:pPr>
      <w:r w:rsidRPr="0019670A">
        <w:t xml:space="preserve">El mantenimiento del valor externo y de la conversión de la moneda nacional. </w:t>
      </w:r>
    </w:p>
    <w:p w:rsidR="00BC62B7" w:rsidRPr="0019670A" w:rsidRDefault="00BC62B7" w:rsidP="00A8084E">
      <w:pPr>
        <w:pStyle w:val="listaa"/>
        <w:numPr>
          <w:ilvl w:val="0"/>
          <w:numId w:val="2"/>
        </w:numPr>
        <w:tabs>
          <w:tab w:val="clear" w:pos="720"/>
        </w:tabs>
        <w:ind w:left="567" w:hanging="283"/>
      </w:pPr>
      <w:r w:rsidRPr="0019670A">
        <w:t xml:space="preserve">La custodia y la administración de las reservas monetarias internacionales de la nación. </w:t>
      </w:r>
    </w:p>
    <w:p w:rsidR="00BC62B7" w:rsidRPr="0019670A" w:rsidRDefault="00BC62B7" w:rsidP="00A8084E">
      <w:pPr>
        <w:pStyle w:val="listaa"/>
        <w:numPr>
          <w:ilvl w:val="0"/>
          <w:numId w:val="2"/>
        </w:numPr>
        <w:tabs>
          <w:tab w:val="clear" w:pos="720"/>
        </w:tabs>
        <w:ind w:left="567" w:hanging="283"/>
      </w:pPr>
      <w:r w:rsidRPr="0019670A">
        <w:t xml:space="preserve">La definición y el manejo de la política monetaria y cambiaria. </w:t>
      </w:r>
    </w:p>
    <w:p w:rsidR="00BC62B7" w:rsidRPr="0019670A" w:rsidRDefault="00BC62B7" w:rsidP="00A8084E">
      <w:pPr>
        <w:pStyle w:val="listaa"/>
        <w:numPr>
          <w:ilvl w:val="0"/>
          <w:numId w:val="2"/>
        </w:numPr>
        <w:tabs>
          <w:tab w:val="clear" w:pos="720"/>
        </w:tabs>
        <w:ind w:left="567" w:hanging="283"/>
      </w:pPr>
      <w:r w:rsidRPr="0019670A">
        <w:t xml:space="preserve">La gestión como consejero y banco-cajero del Estado. </w:t>
      </w:r>
    </w:p>
    <w:p w:rsidR="00BC62B7" w:rsidRPr="0019670A" w:rsidRDefault="00BC62B7" w:rsidP="00A8084E">
      <w:pPr>
        <w:pStyle w:val="listaa"/>
        <w:numPr>
          <w:ilvl w:val="0"/>
          <w:numId w:val="2"/>
        </w:numPr>
        <w:tabs>
          <w:tab w:val="clear" w:pos="720"/>
        </w:tabs>
        <w:ind w:left="567" w:hanging="283"/>
      </w:pPr>
      <w:r w:rsidRPr="0019670A">
        <w:t xml:space="preserve">La promoción de condiciones favorables al robustecimiento, la liquidez, la solvencia y el buen funcionamiento del Sistema Financiero Nacional. </w:t>
      </w:r>
    </w:p>
    <w:p w:rsidR="00BC62B7" w:rsidRPr="0019670A" w:rsidRDefault="00BC62B7" w:rsidP="00A8084E">
      <w:pPr>
        <w:pStyle w:val="listaa"/>
        <w:numPr>
          <w:ilvl w:val="0"/>
          <w:numId w:val="2"/>
        </w:numPr>
        <w:tabs>
          <w:tab w:val="clear" w:pos="720"/>
        </w:tabs>
        <w:ind w:left="567" w:hanging="283"/>
      </w:pPr>
      <w:r w:rsidRPr="0019670A">
        <w:t xml:space="preserve">La emisión de billetes y monedas, de acuerdo con las necesidades reales de la economía nacional. </w:t>
      </w:r>
    </w:p>
    <w:p w:rsidR="00BC62B7" w:rsidRPr="0019670A" w:rsidRDefault="00BC62B7" w:rsidP="00A8084E">
      <w:pPr>
        <w:pStyle w:val="listaa"/>
        <w:numPr>
          <w:ilvl w:val="0"/>
          <w:numId w:val="2"/>
        </w:numPr>
        <w:tabs>
          <w:tab w:val="clear" w:pos="720"/>
        </w:tabs>
        <w:ind w:left="567" w:hanging="283"/>
      </w:pPr>
      <w:r w:rsidRPr="0019670A">
        <w:lastRenderedPageBreak/>
        <w:t xml:space="preserve">La determinación de políticas generales de crédito y la vigilancia y coordinación del Sistema Financiero Nacional. </w:t>
      </w:r>
    </w:p>
    <w:p w:rsidR="00BC62B7" w:rsidRPr="0019670A" w:rsidRDefault="00BC62B7" w:rsidP="00A8084E">
      <w:pPr>
        <w:pStyle w:val="listaa"/>
        <w:numPr>
          <w:ilvl w:val="0"/>
          <w:numId w:val="2"/>
        </w:numPr>
        <w:tabs>
          <w:tab w:val="clear" w:pos="720"/>
        </w:tabs>
        <w:ind w:left="567" w:hanging="283"/>
      </w:pPr>
      <w:r w:rsidRPr="0019670A">
        <w:t xml:space="preserve">La custodia de los encajes legales de los intermediarios financieros. </w:t>
      </w:r>
    </w:p>
    <w:p w:rsidR="00BC62B7" w:rsidRPr="0019670A" w:rsidRDefault="00BC62B7" w:rsidP="00A8084E">
      <w:pPr>
        <w:pStyle w:val="listaa"/>
        <w:numPr>
          <w:ilvl w:val="0"/>
          <w:numId w:val="2"/>
        </w:numPr>
        <w:tabs>
          <w:tab w:val="clear" w:pos="720"/>
        </w:tabs>
        <w:ind w:left="567" w:hanging="283"/>
      </w:pPr>
      <w:r w:rsidRPr="0019670A">
        <w:t xml:space="preserve">El establecimiento, la operación y la vigilancia de los sistemas de compensación. </w:t>
      </w:r>
    </w:p>
    <w:p w:rsidR="00BC62B7" w:rsidRPr="0019670A" w:rsidRDefault="00BC62B7" w:rsidP="00A8084E">
      <w:pPr>
        <w:pStyle w:val="listaa"/>
        <w:numPr>
          <w:ilvl w:val="0"/>
          <w:numId w:val="2"/>
        </w:numPr>
        <w:tabs>
          <w:tab w:val="clear" w:pos="720"/>
        </w:tabs>
        <w:ind w:left="567" w:hanging="283"/>
      </w:pPr>
      <w:r w:rsidRPr="0019670A">
        <w:t xml:space="preserve">El establecimiento de las regulaciones para la creación, el funcionamiento y el control de las entidades financieras. </w:t>
      </w:r>
    </w:p>
    <w:p w:rsidR="00BC62B7" w:rsidRPr="0019670A" w:rsidRDefault="00BC62B7" w:rsidP="00A8084E">
      <w:pPr>
        <w:pStyle w:val="listaa"/>
        <w:numPr>
          <w:ilvl w:val="0"/>
          <w:numId w:val="2"/>
        </w:numPr>
        <w:tabs>
          <w:tab w:val="clear" w:pos="720"/>
        </w:tabs>
        <w:ind w:left="567" w:hanging="283"/>
      </w:pPr>
      <w:r w:rsidRPr="0019670A">
        <w:t xml:space="preserve">La colaboración con los organismos de carácter económico del país, para el mejor logro de sus fines. </w:t>
      </w:r>
    </w:p>
    <w:p w:rsidR="00BC62B7" w:rsidRPr="0019670A" w:rsidRDefault="00BC62B7" w:rsidP="00A8084E">
      <w:pPr>
        <w:pStyle w:val="listaa"/>
        <w:numPr>
          <w:ilvl w:val="0"/>
          <w:numId w:val="2"/>
        </w:numPr>
        <w:tabs>
          <w:tab w:val="clear" w:pos="720"/>
        </w:tabs>
        <w:ind w:left="567" w:hanging="283"/>
      </w:pPr>
      <w:r w:rsidRPr="0019670A">
        <w:t>El desempeño de cualesquiera otras funciones que, de acuerdo con su condición esencial de Banco Central, le correspondan.</w:t>
      </w:r>
    </w:p>
    <w:p w:rsidR="00BC62B7" w:rsidRPr="0019670A" w:rsidRDefault="00BC62B7" w:rsidP="00C82E3B">
      <w:pPr>
        <w:pStyle w:val="TextoparrafosCar"/>
        <w:spacing w:before="0" w:after="0"/>
        <w:rPr>
          <w:rFonts w:ascii="Times New Roman" w:hAnsi="Times New Roman"/>
        </w:rPr>
      </w:pPr>
      <w:r w:rsidRPr="0019670A">
        <w:rPr>
          <w:rFonts w:ascii="Times New Roman" w:hAnsi="Times New Roman"/>
        </w:rPr>
        <w:t xml:space="preserve">El Banco Central de Costa Rica tiene su domicilio en San José, Costa Rica, entre avenida central y primera, calles dos y cuatro; y domicilio legal en </w:t>
      </w:r>
      <w:smartTag w:uri="urn:schemas-microsoft-com:office:smarttags" w:element="PersonName">
        <w:smartTagPr>
          <w:attr w:name="ProductID" w:val="la Gerencia"/>
        </w:smartTagPr>
        <w:r w:rsidRPr="0019670A">
          <w:rPr>
            <w:rFonts w:ascii="Times New Roman" w:hAnsi="Times New Roman"/>
          </w:rPr>
          <w:t>la Gerencia</w:t>
        </w:r>
      </w:smartTag>
      <w:r w:rsidRPr="0019670A">
        <w:rPr>
          <w:rFonts w:ascii="Times New Roman" w:hAnsi="Times New Roman"/>
        </w:rPr>
        <w:t xml:space="preserve"> cuarto piso del Edificio Central avenida central y primera, calles dos y cuatro. </w:t>
      </w:r>
    </w:p>
    <w:p w:rsidR="00BC62B7" w:rsidRPr="0019670A" w:rsidRDefault="00BC62B7" w:rsidP="00C82E3B">
      <w:pPr>
        <w:pStyle w:val="TextoparrafosCar"/>
        <w:spacing w:before="0" w:after="0"/>
        <w:rPr>
          <w:rFonts w:ascii="Times New Roman" w:hAnsi="Times New Roman"/>
        </w:rPr>
      </w:pPr>
    </w:p>
    <w:p w:rsidR="00BC62B7" w:rsidRPr="0019670A" w:rsidRDefault="00BC62B7" w:rsidP="00C82E3B">
      <w:pPr>
        <w:pStyle w:val="Ttulo1"/>
        <w:jc w:val="both"/>
        <w:rPr>
          <w:rFonts w:ascii="Times New Roman" w:hAnsi="Times New Roman" w:cs="Times New Roman"/>
          <w:color w:val="000080"/>
          <w:sz w:val="28"/>
          <w:szCs w:val="28"/>
          <w:lang w:val="es-CR"/>
        </w:rPr>
      </w:pPr>
      <w:bookmarkStart w:id="3" w:name="_Toc255802879"/>
      <w:r w:rsidRPr="0019670A">
        <w:rPr>
          <w:rFonts w:ascii="Times New Roman" w:hAnsi="Times New Roman" w:cs="Times New Roman"/>
          <w:color w:val="000080"/>
          <w:sz w:val="28"/>
          <w:szCs w:val="28"/>
          <w:lang w:val="es-CR"/>
        </w:rPr>
        <w:t xml:space="preserve">BASES PARA </w:t>
      </w:r>
      <w:smartTag w:uri="urn:schemas-microsoft-com:office:smarttags" w:element="PersonName">
        <w:smartTagPr>
          <w:attr w:name="ProductID" w:val="LA PREPARACIￓN DE"/>
        </w:smartTagPr>
        <w:r w:rsidRPr="0019670A">
          <w:rPr>
            <w:rFonts w:ascii="Times New Roman" w:hAnsi="Times New Roman" w:cs="Times New Roman"/>
            <w:color w:val="000080"/>
            <w:sz w:val="28"/>
            <w:szCs w:val="28"/>
            <w:lang w:val="es-CR"/>
          </w:rPr>
          <w:t>LA PREPARACIÓN DE</w:t>
        </w:r>
      </w:smartTag>
      <w:r w:rsidRPr="0019670A">
        <w:rPr>
          <w:rFonts w:ascii="Times New Roman" w:hAnsi="Times New Roman" w:cs="Times New Roman"/>
          <w:color w:val="000080"/>
          <w:sz w:val="28"/>
          <w:szCs w:val="28"/>
          <w:lang w:val="es-CR"/>
        </w:rPr>
        <w:t xml:space="preserve"> LOS ESTADOS FINANCIEROS</w:t>
      </w:r>
      <w:bookmarkEnd w:id="3"/>
    </w:p>
    <w:p w:rsidR="00BC62B7" w:rsidRPr="0019670A" w:rsidRDefault="00BC62B7" w:rsidP="00C82E3B">
      <w:pPr>
        <w:pStyle w:val="TextoparrafosCar"/>
        <w:spacing w:before="0" w:after="0"/>
        <w:rPr>
          <w:rFonts w:ascii="Times New Roman" w:hAnsi="Times New Roman"/>
          <w:b/>
          <w:color w:val="000080"/>
        </w:rPr>
      </w:pPr>
    </w:p>
    <w:p w:rsidR="00BC62B7" w:rsidRPr="0019670A" w:rsidRDefault="00BC62B7" w:rsidP="00C82E3B">
      <w:pPr>
        <w:pStyle w:val="Ttulo1"/>
        <w:jc w:val="both"/>
        <w:rPr>
          <w:rFonts w:ascii="Times New Roman" w:hAnsi="Times New Roman" w:cs="Times New Roman"/>
          <w:color w:val="000080"/>
          <w:sz w:val="24"/>
          <w:szCs w:val="24"/>
          <w:lang w:val="es-CR"/>
        </w:rPr>
      </w:pPr>
      <w:bookmarkStart w:id="4" w:name="_Toc255802880"/>
      <w:r w:rsidRPr="0019670A">
        <w:rPr>
          <w:rFonts w:ascii="Times New Roman" w:hAnsi="Times New Roman" w:cs="Times New Roman"/>
          <w:color w:val="000080"/>
          <w:sz w:val="24"/>
          <w:szCs w:val="24"/>
          <w:lang w:val="es-CR"/>
        </w:rPr>
        <w:t>Declaración de Cumplimiento sobre las NIC</w:t>
      </w:r>
      <w:r>
        <w:rPr>
          <w:rFonts w:ascii="Times New Roman" w:hAnsi="Times New Roman" w:cs="Times New Roman"/>
          <w:color w:val="000080"/>
          <w:sz w:val="24"/>
          <w:szCs w:val="24"/>
          <w:lang w:val="es-CR"/>
        </w:rPr>
        <w:t>/NIIF</w:t>
      </w:r>
      <w:bookmarkEnd w:id="4"/>
    </w:p>
    <w:p w:rsidR="00BC62B7" w:rsidRPr="0019670A" w:rsidRDefault="00BC62B7" w:rsidP="00C82E3B">
      <w:pPr>
        <w:pStyle w:val="TextoparrafosCar"/>
        <w:rPr>
          <w:rFonts w:ascii="Times New Roman" w:hAnsi="Times New Roman"/>
        </w:rPr>
      </w:pPr>
      <w:r w:rsidRPr="0019670A">
        <w:rPr>
          <w:rFonts w:ascii="Times New Roman" w:hAnsi="Times New Roman"/>
        </w:rPr>
        <w:t>Los Estados Financieros siguen las Normas Internacionales de Contabilidad</w:t>
      </w:r>
      <w:r>
        <w:rPr>
          <w:rFonts w:ascii="Times New Roman" w:hAnsi="Times New Roman"/>
        </w:rPr>
        <w:t>/NIIF</w:t>
      </w:r>
      <w:r w:rsidRPr="0019670A">
        <w:rPr>
          <w:rFonts w:ascii="Times New Roman" w:hAnsi="Times New Roman"/>
        </w:rPr>
        <w:t>, que les sea de aplicación, considerando de previo cuando corresponde la normativa local vigente emitida por la autoridad pública u organismos profesionales competentes.</w:t>
      </w:r>
    </w:p>
    <w:p w:rsidR="00BC62B7" w:rsidRPr="0019670A" w:rsidRDefault="00BC62B7" w:rsidP="00C82E3B">
      <w:pPr>
        <w:pStyle w:val="Ttulo1"/>
        <w:jc w:val="both"/>
        <w:rPr>
          <w:rFonts w:ascii="Times New Roman" w:hAnsi="Times New Roman" w:cs="Times New Roman"/>
          <w:color w:val="000080"/>
          <w:sz w:val="24"/>
          <w:szCs w:val="24"/>
          <w:lang w:val="es-CR"/>
        </w:rPr>
      </w:pPr>
      <w:bookmarkStart w:id="5" w:name="_Toc255802881"/>
      <w:r w:rsidRPr="0019670A">
        <w:rPr>
          <w:rFonts w:ascii="Times New Roman" w:hAnsi="Times New Roman" w:cs="Times New Roman"/>
          <w:color w:val="000080"/>
          <w:sz w:val="24"/>
          <w:szCs w:val="24"/>
          <w:lang w:val="es-CR"/>
        </w:rPr>
        <w:t>Aspectos Generales de los Estados Financieros</w:t>
      </w:r>
      <w:bookmarkEnd w:id="5"/>
    </w:p>
    <w:p w:rsidR="00BC62B7" w:rsidRPr="0019670A" w:rsidRDefault="00BC62B7" w:rsidP="00C82E3B">
      <w:pPr>
        <w:jc w:val="both"/>
        <w:rPr>
          <w:lang w:val="es-CR"/>
        </w:rPr>
      </w:pPr>
      <w:r w:rsidRPr="0019670A">
        <w:rPr>
          <w:lang w:val="es-CR"/>
        </w:rPr>
        <w:t>La elaboración de los Estados Financieros del Banco Central de Costa Rica se realiza de acuerdo con las disposiciones legales, reglamentarias y normativas vigentes en la Ley Orgánica del Banco Central de Costa Rica, Nº 7558, Sección II Capital, Reservas y Utilidades, Artículos del 6 al 1</w:t>
      </w:r>
      <w:r w:rsidR="005C0E00">
        <w:rPr>
          <w:lang w:val="es-CR"/>
        </w:rPr>
        <w:t>1</w:t>
      </w:r>
      <w:r w:rsidRPr="0019670A">
        <w:rPr>
          <w:lang w:val="es-CR"/>
        </w:rPr>
        <w:t xml:space="preserve"> y Sección III Vigilancia, Balances y Publicaciones, Artículos 13, 14 y 16.</w:t>
      </w:r>
    </w:p>
    <w:p w:rsidR="00BC62B7" w:rsidRPr="0019670A" w:rsidRDefault="00BC62B7" w:rsidP="00C82E3B">
      <w:pPr>
        <w:pStyle w:val="TextoparrafosCar"/>
        <w:rPr>
          <w:rFonts w:ascii="Times New Roman" w:hAnsi="Times New Roman"/>
        </w:rPr>
      </w:pPr>
      <w:r w:rsidRPr="0019670A">
        <w:rPr>
          <w:rFonts w:ascii="Times New Roman" w:hAnsi="Times New Roman"/>
        </w:rPr>
        <w:t xml:space="preserve">De acuerdo al artículo 9 de </w:t>
      </w:r>
      <w:smartTag w:uri="urn:schemas-microsoft-com:office:smarttags" w:element="PersonName">
        <w:smartTagPr>
          <w:attr w:name="ProductID" w:val="la Ley Org￡nica"/>
        </w:smartTagPr>
        <w:r w:rsidRPr="0019670A">
          <w:rPr>
            <w:rFonts w:ascii="Times New Roman" w:hAnsi="Times New Roman"/>
          </w:rPr>
          <w:t>la Ley Orgánica</w:t>
        </w:r>
      </w:smartTag>
      <w:r w:rsidRPr="0019670A">
        <w:rPr>
          <w:rFonts w:ascii="Times New Roman" w:hAnsi="Times New Roman"/>
        </w:rPr>
        <w:t xml:space="preserve"> del Banco Central de Costa Rica, el ejercicio financiero del Banco será el año natural. Sin embargo, practicará una liquidación completa y formal de sus ganancias y pérdidas independientes, al cierre de cada semestre y para su validez deberá ser aprobada por el Auditor Interno del Banco.</w:t>
      </w:r>
      <w:r w:rsidRPr="0019670A">
        <w:t xml:space="preserve"> </w:t>
      </w:r>
      <w:r w:rsidRPr="0019670A">
        <w:rPr>
          <w:rFonts w:ascii="Times New Roman" w:hAnsi="Times New Roman"/>
        </w:rPr>
        <w:t xml:space="preserve">Asimismo, el artículo 14, inciso a) de </w:t>
      </w:r>
      <w:smartTag w:uri="urn:schemas-microsoft-com:office:smarttags" w:element="PersonName">
        <w:smartTagPr>
          <w:attr w:name="ProductID" w:val="la Ley Org￡nica"/>
        </w:smartTagPr>
        <w:r w:rsidRPr="0019670A">
          <w:rPr>
            <w:rFonts w:ascii="Times New Roman" w:hAnsi="Times New Roman"/>
          </w:rPr>
          <w:t>la Ley Orgánica</w:t>
        </w:r>
      </w:smartTag>
      <w:r w:rsidRPr="0019670A">
        <w:rPr>
          <w:rFonts w:ascii="Times New Roman" w:hAnsi="Times New Roman"/>
        </w:rPr>
        <w:t xml:space="preserve"> del Banco Central de Costa Rica, le indica que deberá publicar, dentro de los primeros quince días hábiles de cada mes, un balance gen</w:t>
      </w:r>
      <w:r>
        <w:rPr>
          <w:rFonts w:ascii="Times New Roman" w:hAnsi="Times New Roman"/>
        </w:rPr>
        <w:t xml:space="preserve">eral de su situación financiera, el cual es publicado en el diario </w:t>
      </w:r>
      <w:smartTag w:uri="urn:schemas-microsoft-com:office:smarttags" w:element="PersonName">
        <w:smartTagPr>
          <w:attr w:name="ProductID" w:val="La Gaceta"/>
        </w:smartTagPr>
        <w:r>
          <w:rPr>
            <w:rFonts w:ascii="Times New Roman" w:hAnsi="Times New Roman"/>
          </w:rPr>
          <w:t>La Gaceta</w:t>
        </w:r>
      </w:smartTag>
      <w:r>
        <w:rPr>
          <w:rFonts w:ascii="Times New Roman" w:hAnsi="Times New Roman"/>
        </w:rPr>
        <w:t xml:space="preserve"> y la página web del banco www.bccr.fi.cr</w:t>
      </w:r>
    </w:p>
    <w:p w:rsidR="00BC62B7" w:rsidRDefault="00BC62B7" w:rsidP="00C82E3B">
      <w:pPr>
        <w:pStyle w:val="TextoparrafosCar"/>
        <w:rPr>
          <w:rFonts w:ascii="Times New Roman" w:hAnsi="Times New Roman"/>
        </w:rPr>
      </w:pPr>
      <w:r w:rsidRPr="0019670A">
        <w:rPr>
          <w:rFonts w:ascii="Times New Roman" w:hAnsi="Times New Roman"/>
        </w:rPr>
        <w:lastRenderedPageBreak/>
        <w:t xml:space="preserve">Los Estados Financieros del Banco Central de Costa Rica al </w:t>
      </w:r>
      <w:r w:rsidR="003C101D">
        <w:rPr>
          <w:rFonts w:ascii="Times New Roman" w:hAnsi="Times New Roman"/>
        </w:rPr>
        <w:t>28</w:t>
      </w:r>
      <w:r w:rsidR="00855B94">
        <w:rPr>
          <w:rFonts w:ascii="Times New Roman" w:hAnsi="Times New Roman"/>
        </w:rPr>
        <w:t xml:space="preserve"> de </w:t>
      </w:r>
      <w:r w:rsidR="003C101D">
        <w:rPr>
          <w:rFonts w:ascii="Times New Roman" w:hAnsi="Times New Roman"/>
        </w:rPr>
        <w:tab/>
        <w:t xml:space="preserve">Febrero </w:t>
      </w:r>
      <w:r w:rsidR="00B06892">
        <w:rPr>
          <w:rFonts w:ascii="Times New Roman" w:hAnsi="Times New Roman"/>
        </w:rPr>
        <w:t>del 200</w:t>
      </w:r>
      <w:r w:rsidR="002059AB">
        <w:rPr>
          <w:rFonts w:ascii="Times New Roman" w:hAnsi="Times New Roman"/>
        </w:rPr>
        <w:t>9</w:t>
      </w:r>
      <w:r w:rsidRPr="0019670A">
        <w:rPr>
          <w:rFonts w:ascii="Times New Roman" w:hAnsi="Times New Roman"/>
        </w:rPr>
        <w:t xml:space="preserve">, se encuentran debidamente autorizados por la Gerencia con </w:t>
      </w:r>
      <w:r w:rsidRPr="001C33C4">
        <w:rPr>
          <w:rFonts w:ascii="Times New Roman" w:hAnsi="Times New Roman"/>
        </w:rPr>
        <w:t xml:space="preserve">fecha </w:t>
      </w:r>
      <w:r w:rsidR="002059AB" w:rsidRPr="001C33C4">
        <w:rPr>
          <w:rFonts w:ascii="Times New Roman" w:hAnsi="Times New Roman"/>
        </w:rPr>
        <w:t>0</w:t>
      </w:r>
      <w:r w:rsidR="005E3192">
        <w:rPr>
          <w:rFonts w:ascii="Times New Roman" w:hAnsi="Times New Roman"/>
        </w:rPr>
        <w:t>3</w:t>
      </w:r>
      <w:r w:rsidRPr="001C33C4">
        <w:rPr>
          <w:rFonts w:ascii="Times New Roman" w:hAnsi="Times New Roman"/>
        </w:rPr>
        <w:t xml:space="preserve"> de </w:t>
      </w:r>
      <w:r w:rsidR="003C101D" w:rsidRPr="001C33C4">
        <w:rPr>
          <w:rFonts w:ascii="Times New Roman" w:hAnsi="Times New Roman"/>
        </w:rPr>
        <w:t>Marzo</w:t>
      </w:r>
      <w:r w:rsidR="00C52802" w:rsidRPr="001C33C4">
        <w:rPr>
          <w:rFonts w:ascii="Times New Roman" w:hAnsi="Times New Roman"/>
        </w:rPr>
        <w:t xml:space="preserve"> </w:t>
      </w:r>
      <w:r w:rsidRPr="001C33C4">
        <w:rPr>
          <w:rFonts w:ascii="Times New Roman" w:hAnsi="Times New Roman"/>
        </w:rPr>
        <w:t>del 200</w:t>
      </w:r>
      <w:r w:rsidR="00C52802" w:rsidRPr="001C33C4">
        <w:rPr>
          <w:rFonts w:ascii="Times New Roman" w:hAnsi="Times New Roman"/>
        </w:rPr>
        <w:t>9</w:t>
      </w:r>
      <w:r w:rsidRPr="0062224E">
        <w:rPr>
          <w:rFonts w:ascii="Times New Roman" w:hAnsi="Times New Roman"/>
        </w:rPr>
        <w:t xml:space="preserve"> y</w:t>
      </w:r>
      <w:r>
        <w:rPr>
          <w:rFonts w:ascii="Times New Roman" w:hAnsi="Times New Roman"/>
        </w:rPr>
        <w:t xml:space="preserve"> refrendados</w:t>
      </w:r>
      <w:r w:rsidR="002F35A4">
        <w:rPr>
          <w:rFonts w:ascii="Times New Roman" w:hAnsi="Times New Roman"/>
        </w:rPr>
        <w:t xml:space="preserve"> por la Auditorí</w:t>
      </w:r>
      <w:r w:rsidRPr="0019670A">
        <w:rPr>
          <w:rFonts w:ascii="Times New Roman" w:hAnsi="Times New Roman"/>
        </w:rPr>
        <w:t>a Interna, para su publicación</w:t>
      </w:r>
      <w:r>
        <w:rPr>
          <w:rFonts w:ascii="Times New Roman" w:hAnsi="Times New Roman"/>
        </w:rPr>
        <w:t xml:space="preserve">.  </w:t>
      </w:r>
    </w:p>
    <w:p w:rsidR="00BC62B7" w:rsidRDefault="00BC62B7" w:rsidP="00C82E3B">
      <w:pPr>
        <w:pStyle w:val="TextoparrafosCar"/>
        <w:rPr>
          <w:rFonts w:ascii="Times New Roman" w:hAnsi="Times New Roman"/>
        </w:rPr>
      </w:pPr>
      <w:r w:rsidRPr="0019670A">
        <w:rPr>
          <w:rFonts w:ascii="Times New Roman" w:hAnsi="Times New Roman"/>
        </w:rPr>
        <w:t>El Banco Central emite como estados financieros el Balance General</w:t>
      </w:r>
      <w:r>
        <w:rPr>
          <w:rFonts w:ascii="Times New Roman" w:hAnsi="Times New Roman"/>
        </w:rPr>
        <w:t>,</w:t>
      </w:r>
      <w:r w:rsidRPr="0019670A">
        <w:rPr>
          <w:rFonts w:ascii="Times New Roman" w:hAnsi="Times New Roman"/>
        </w:rPr>
        <w:t xml:space="preserve"> </w:t>
      </w:r>
      <w:r>
        <w:rPr>
          <w:rFonts w:ascii="Times New Roman" w:hAnsi="Times New Roman"/>
        </w:rPr>
        <w:t xml:space="preserve">Estado de Flujo de Efectivo, Estado de Cambios en el Patrimonio Neto, </w:t>
      </w:r>
      <w:r w:rsidRPr="0019670A">
        <w:rPr>
          <w:rFonts w:ascii="Times New Roman" w:hAnsi="Times New Roman"/>
        </w:rPr>
        <w:t>Estado de Resultados</w:t>
      </w:r>
      <w:r w:rsidR="001C1725">
        <w:rPr>
          <w:rFonts w:ascii="Times New Roman" w:hAnsi="Times New Roman"/>
        </w:rPr>
        <w:t xml:space="preserve">; asimismo forman parte de estos </w:t>
      </w:r>
      <w:r>
        <w:rPr>
          <w:rFonts w:ascii="Times New Roman" w:hAnsi="Times New Roman"/>
        </w:rPr>
        <w:t xml:space="preserve">las Notas Complementarias a los Estados Financieros. El Estado de Resultados se emite semestralmente en atención a lo dispuesto en el artículo 9 de </w:t>
      </w:r>
      <w:smartTag w:uri="urn:schemas-microsoft-com:office:smarttags" w:element="PersonName">
        <w:smartTagPr>
          <w:attr w:name="ProductID" w:val="la Ley Org￡nica"/>
        </w:smartTagPr>
        <w:r>
          <w:rPr>
            <w:rFonts w:ascii="Times New Roman" w:hAnsi="Times New Roman"/>
          </w:rPr>
          <w:t>la Ley Orgánica</w:t>
        </w:r>
      </w:smartTag>
      <w:r>
        <w:rPr>
          <w:rFonts w:ascii="Times New Roman" w:hAnsi="Times New Roman"/>
        </w:rPr>
        <w:t xml:space="preserve"> del Banco Central; así mismo, s</w:t>
      </w:r>
      <w:r w:rsidRPr="0019670A">
        <w:rPr>
          <w:rFonts w:ascii="Times New Roman" w:hAnsi="Times New Roman"/>
        </w:rPr>
        <w:t xml:space="preserve">e declara </w:t>
      </w:r>
      <w:r>
        <w:rPr>
          <w:rFonts w:ascii="Times New Roman" w:hAnsi="Times New Roman"/>
        </w:rPr>
        <w:t>que se han seguido</w:t>
      </w:r>
      <w:r w:rsidRPr="0019670A">
        <w:rPr>
          <w:rFonts w:ascii="Times New Roman" w:hAnsi="Times New Roman"/>
        </w:rPr>
        <w:t xml:space="preserve"> las mismas políticas y métodos contables en l</w:t>
      </w:r>
      <w:r>
        <w:rPr>
          <w:rFonts w:ascii="Times New Roman" w:hAnsi="Times New Roman"/>
        </w:rPr>
        <w:t>a elaboración</w:t>
      </w:r>
      <w:r w:rsidRPr="0019670A">
        <w:rPr>
          <w:rFonts w:ascii="Times New Roman" w:hAnsi="Times New Roman"/>
        </w:rPr>
        <w:t xml:space="preserve"> </w:t>
      </w:r>
      <w:r>
        <w:rPr>
          <w:rFonts w:ascii="Times New Roman" w:hAnsi="Times New Roman"/>
        </w:rPr>
        <w:t xml:space="preserve">de los </w:t>
      </w:r>
      <w:r w:rsidRPr="0019670A">
        <w:rPr>
          <w:rFonts w:ascii="Times New Roman" w:hAnsi="Times New Roman"/>
        </w:rPr>
        <w:t>Estados Financieros</w:t>
      </w:r>
      <w:r>
        <w:rPr>
          <w:rFonts w:ascii="Times New Roman" w:hAnsi="Times New Roman"/>
        </w:rPr>
        <w:t>.</w:t>
      </w:r>
    </w:p>
    <w:p w:rsidR="00BC62B7" w:rsidRPr="0019670A" w:rsidRDefault="00BC62B7" w:rsidP="00C82E3B">
      <w:pPr>
        <w:pStyle w:val="Ttulo1"/>
        <w:jc w:val="both"/>
        <w:rPr>
          <w:rFonts w:ascii="Times New Roman" w:hAnsi="Times New Roman" w:cs="Times New Roman"/>
          <w:color w:val="000080"/>
          <w:sz w:val="28"/>
          <w:szCs w:val="28"/>
          <w:lang w:val="es-CR"/>
        </w:rPr>
      </w:pPr>
      <w:bookmarkStart w:id="6" w:name="_Toc255802882"/>
      <w:r w:rsidRPr="0019670A">
        <w:rPr>
          <w:rFonts w:ascii="Times New Roman" w:hAnsi="Times New Roman" w:cs="Times New Roman"/>
          <w:color w:val="000080"/>
          <w:sz w:val="28"/>
          <w:szCs w:val="28"/>
          <w:lang w:val="es-CR"/>
        </w:rPr>
        <w:t xml:space="preserve">BASES DE MEDICIÓN PARA </w:t>
      </w:r>
      <w:smartTag w:uri="urn:schemas-microsoft-com:office:smarttags" w:element="PersonName">
        <w:smartTagPr>
          <w:attr w:name="ProductID" w:val="LA PREPARACIￓN DE"/>
        </w:smartTagPr>
        <w:r w:rsidRPr="0019670A">
          <w:rPr>
            <w:rFonts w:ascii="Times New Roman" w:hAnsi="Times New Roman" w:cs="Times New Roman"/>
            <w:color w:val="000080"/>
            <w:sz w:val="28"/>
            <w:szCs w:val="28"/>
            <w:lang w:val="es-CR"/>
          </w:rPr>
          <w:t>LA PREPARACIÓN DE</w:t>
        </w:r>
      </w:smartTag>
      <w:r w:rsidRPr="0019670A">
        <w:rPr>
          <w:rFonts w:ascii="Times New Roman" w:hAnsi="Times New Roman" w:cs="Times New Roman"/>
          <w:color w:val="000080"/>
          <w:sz w:val="28"/>
          <w:szCs w:val="28"/>
          <w:lang w:val="es-CR"/>
        </w:rPr>
        <w:t xml:space="preserve"> LOS ESTADOS FINANCIEROS</w:t>
      </w:r>
      <w:bookmarkEnd w:id="6"/>
    </w:p>
    <w:p w:rsidR="00BC62B7" w:rsidRPr="0019670A" w:rsidRDefault="00BC62B7" w:rsidP="00C82E3B">
      <w:pPr>
        <w:pStyle w:val="Ttulo1"/>
        <w:jc w:val="both"/>
        <w:rPr>
          <w:rFonts w:ascii="Times New Roman" w:hAnsi="Times New Roman" w:cs="Times New Roman"/>
          <w:color w:val="000080"/>
          <w:sz w:val="24"/>
          <w:szCs w:val="24"/>
          <w:lang w:val="es-CR"/>
        </w:rPr>
      </w:pPr>
      <w:bookmarkStart w:id="7" w:name="_Toc255802883"/>
      <w:r w:rsidRPr="0019670A">
        <w:rPr>
          <w:rFonts w:ascii="Times New Roman" w:hAnsi="Times New Roman" w:cs="Times New Roman"/>
          <w:color w:val="000080"/>
          <w:sz w:val="24"/>
          <w:szCs w:val="24"/>
          <w:lang w:val="es-CR"/>
        </w:rPr>
        <w:t>Saldos y Operaciones en Moneda Extranjera</w:t>
      </w:r>
      <w:bookmarkEnd w:id="7"/>
    </w:p>
    <w:p w:rsidR="00BC62B7" w:rsidRDefault="00BC62B7" w:rsidP="00C82E3B">
      <w:pPr>
        <w:pStyle w:val="TextoparrafosCar"/>
        <w:rPr>
          <w:rFonts w:ascii="Times New Roman" w:hAnsi="Times New Roman"/>
        </w:rPr>
      </w:pPr>
      <w:r w:rsidRPr="0019670A">
        <w:rPr>
          <w:rFonts w:ascii="Times New Roman" w:hAnsi="Times New Roman"/>
        </w:rPr>
        <w:t xml:space="preserve">Los Estados Financieros se expresan en colones costarricenses, las operaciones en moneda extranjera, se </w:t>
      </w:r>
      <w:r>
        <w:rPr>
          <w:rFonts w:ascii="Times New Roman" w:hAnsi="Times New Roman"/>
        </w:rPr>
        <w:t xml:space="preserve">reconocen en la moneda funcional, aplicando al importe en moneda extranjera (dólares equivalentes) la tasa de contado a la fecha de la transacción, que es la fecha en que la transacción cumple las condiciones para su reconocimiento. </w:t>
      </w:r>
    </w:p>
    <w:p w:rsidR="00BC62B7" w:rsidRDefault="00BC62B7" w:rsidP="00C82E3B">
      <w:pPr>
        <w:pStyle w:val="TextoparrafosCar"/>
        <w:rPr>
          <w:rFonts w:ascii="Times New Roman" w:hAnsi="Times New Roman"/>
        </w:rPr>
      </w:pPr>
      <w:r>
        <w:rPr>
          <w:rFonts w:ascii="Times New Roman" w:hAnsi="Times New Roman"/>
        </w:rPr>
        <w:t>Al final del día los saldos en moneda extranjera (dólares equivalentes), se convertirán a la moneda funcional, utilizando la tasa de cambio de cierre, que corresponde al tipo de cambio promedio ponderado (TCPP) diario de todas las transacciones en el Mercado de Moneda Extranjera (MONEX), correspondiente al día de cierre.</w:t>
      </w:r>
    </w:p>
    <w:p w:rsidR="00BC62B7" w:rsidRPr="0019670A" w:rsidRDefault="00BC62B7" w:rsidP="00C82E3B">
      <w:pPr>
        <w:pStyle w:val="TextoparrafosCar"/>
        <w:rPr>
          <w:rFonts w:ascii="Times New Roman" w:hAnsi="Times New Roman"/>
        </w:rPr>
      </w:pPr>
      <w:r>
        <w:rPr>
          <w:rFonts w:ascii="Times New Roman" w:hAnsi="Times New Roman"/>
        </w:rPr>
        <w:t xml:space="preserve">Lo anteriormente expuesto, se puso en práctica a partir del </w:t>
      </w:r>
      <w:r w:rsidRPr="00B850E3">
        <w:rPr>
          <w:rFonts w:ascii="Times New Roman" w:hAnsi="Times New Roman"/>
        </w:rPr>
        <w:t>25 de octubre del 2006</w:t>
      </w:r>
      <w:r w:rsidRPr="00236BE5">
        <w:rPr>
          <w:rFonts w:ascii="Times New Roman" w:hAnsi="Times New Roman"/>
          <w:b/>
        </w:rPr>
        <w:t>,</w:t>
      </w:r>
      <w:r>
        <w:rPr>
          <w:rFonts w:ascii="Times New Roman" w:hAnsi="Times New Roman"/>
        </w:rPr>
        <w:t xml:space="preserve"> en vista que el BCCR abandonó el Régimen de las minidevaluaciones, con el cual se utilizaba para efectos de contabilización el tipo de cambio de compra de referencia, e inició con el Régimen </w:t>
      </w:r>
      <w:r w:rsidR="006B3BA1">
        <w:rPr>
          <w:rFonts w:ascii="Times New Roman" w:hAnsi="Times New Roman"/>
        </w:rPr>
        <w:t xml:space="preserve">de </w:t>
      </w:r>
      <w:r>
        <w:rPr>
          <w:rFonts w:ascii="Times New Roman" w:hAnsi="Times New Roman"/>
        </w:rPr>
        <w:t>Bandas Cambiarias.</w:t>
      </w:r>
    </w:p>
    <w:p w:rsidR="00BC62B7" w:rsidRPr="0019670A" w:rsidRDefault="00BC62B7" w:rsidP="00C82E3B">
      <w:pPr>
        <w:pStyle w:val="TextoparrafosCar"/>
        <w:rPr>
          <w:rFonts w:ascii="Times New Roman" w:hAnsi="Times New Roman"/>
        </w:rPr>
      </w:pPr>
      <w:r w:rsidRPr="0019670A">
        <w:rPr>
          <w:rFonts w:ascii="Times New Roman" w:hAnsi="Times New Roman"/>
        </w:rPr>
        <w:t>Para efectos del cierre, las cotizaciones utilizadas son las siguientes:</w:t>
      </w:r>
    </w:p>
    <w:p w:rsidR="00BC62B7" w:rsidRPr="0019670A" w:rsidRDefault="00BC62B7" w:rsidP="00A8084E">
      <w:pPr>
        <w:pStyle w:val="listaa"/>
        <w:numPr>
          <w:ilvl w:val="0"/>
          <w:numId w:val="3"/>
        </w:numPr>
        <w:tabs>
          <w:tab w:val="clear" w:pos="900"/>
        </w:tabs>
        <w:ind w:left="567" w:hanging="283"/>
      </w:pPr>
      <w:r w:rsidRPr="0019670A">
        <w:t>El colón respecto al dólar.</w:t>
      </w:r>
    </w:p>
    <w:p w:rsidR="00BC62B7" w:rsidRPr="0019670A" w:rsidRDefault="00BC62B7" w:rsidP="00A8084E">
      <w:pPr>
        <w:pStyle w:val="listaa"/>
        <w:numPr>
          <w:ilvl w:val="0"/>
          <w:numId w:val="3"/>
        </w:numPr>
        <w:tabs>
          <w:tab w:val="clear" w:pos="900"/>
        </w:tabs>
        <w:ind w:left="567" w:hanging="283"/>
      </w:pPr>
      <w:r w:rsidRPr="0019670A">
        <w:t>Factores de equivalencia de las monedas extranjeras.</w:t>
      </w:r>
    </w:p>
    <w:p w:rsidR="00BC62B7" w:rsidRPr="0019670A" w:rsidRDefault="00BC62B7" w:rsidP="00A8084E">
      <w:pPr>
        <w:pStyle w:val="listaa"/>
        <w:numPr>
          <w:ilvl w:val="0"/>
          <w:numId w:val="3"/>
        </w:numPr>
        <w:tabs>
          <w:tab w:val="clear" w:pos="900"/>
        </w:tabs>
        <w:ind w:left="567" w:hanging="283"/>
      </w:pPr>
      <w:r w:rsidRPr="0019670A">
        <w:t xml:space="preserve">La unidad de desarrollo respecto al colón es calculada en forma mensual por </w:t>
      </w:r>
      <w:smartTag w:uri="urn:schemas-microsoft-com:office:smarttags" w:element="PersonName">
        <w:smartTagPr>
          <w:attr w:name="ProductID" w:val="la Superintendencia General"/>
        </w:smartTagPr>
        <w:r w:rsidRPr="0019670A">
          <w:t>la Superintendencia General</w:t>
        </w:r>
      </w:smartTag>
      <w:r w:rsidRPr="0019670A">
        <w:t xml:space="preserve"> de Valores (SUGEVAL).</w:t>
      </w:r>
    </w:p>
    <w:p w:rsidR="00BC62B7" w:rsidRPr="0019670A" w:rsidRDefault="00BC62B7" w:rsidP="00A8084E">
      <w:pPr>
        <w:pStyle w:val="listaa"/>
        <w:numPr>
          <w:ilvl w:val="0"/>
          <w:numId w:val="3"/>
        </w:numPr>
        <w:tabs>
          <w:tab w:val="clear" w:pos="900"/>
        </w:tabs>
        <w:ind w:left="567" w:hanging="283"/>
      </w:pPr>
      <w:r w:rsidRPr="0019670A">
        <w:t>El Sistema de Canasta de Monedas, emitido por</w:t>
      </w:r>
      <w:r>
        <w:t xml:space="preserve"> el</w:t>
      </w:r>
      <w:r w:rsidRPr="0019670A">
        <w:t xml:space="preserve"> Banco Interamericano de Desarrollo- División de Administración de Préstam</w:t>
      </w:r>
      <w:r>
        <w:t>os y Banca Institucional (</w:t>
      </w:r>
      <w:proofErr w:type="spellStart"/>
      <w:r>
        <w:t>UA´s</w:t>
      </w:r>
      <w:proofErr w:type="spellEnd"/>
      <w:r>
        <w:t>), el cual es obtenido de la página Web del BID.</w:t>
      </w:r>
    </w:p>
    <w:p w:rsidR="00BC62B7" w:rsidRPr="0019670A" w:rsidRDefault="00BC62B7" w:rsidP="00A8084E">
      <w:pPr>
        <w:pStyle w:val="listaa"/>
        <w:numPr>
          <w:ilvl w:val="0"/>
          <w:numId w:val="3"/>
        </w:numPr>
        <w:tabs>
          <w:tab w:val="clear" w:pos="900"/>
        </w:tabs>
        <w:ind w:left="567" w:hanging="283"/>
      </w:pPr>
      <w:r w:rsidRPr="0019670A">
        <w:t>Derechos especiales de giro (DEGS), el tipo de cambio de los DEGS es obtenido de la página Web del Fondo Monetario Internacional (FMI).</w:t>
      </w:r>
    </w:p>
    <w:p w:rsidR="00BC62B7" w:rsidRPr="0019670A" w:rsidRDefault="00BC62B7" w:rsidP="00A8084E">
      <w:pPr>
        <w:ind w:left="567" w:hanging="283"/>
        <w:jc w:val="both"/>
        <w:rPr>
          <w:lang w:val="es-CR"/>
        </w:rPr>
      </w:pPr>
    </w:p>
    <w:p w:rsidR="00855B94" w:rsidRPr="0019670A" w:rsidRDefault="00855B94" w:rsidP="00855B94">
      <w:pPr>
        <w:pStyle w:val="Tabla-texto-principal"/>
        <w:framePr w:hSpace="0" w:wrap="auto" w:vAnchor="margin" w:hAnchor="text" w:xAlign="left" w:yAlign="inline"/>
        <w:jc w:val="both"/>
        <w:rPr>
          <w:b w:val="0"/>
        </w:rPr>
      </w:pPr>
    </w:p>
    <w:tbl>
      <w:tblPr>
        <w:tblpPr w:leftFromText="180" w:rightFromText="180" w:vertAnchor="text" w:horzAnchor="margin" w:tblpY="40"/>
        <w:tblW w:w="8952" w:type="dxa"/>
        <w:tblCellSpacing w:w="20" w:type="dxa"/>
        <w:tblBorders>
          <w:top w:val="outset" w:sz="6" w:space="0" w:color="000080"/>
          <w:left w:val="outset" w:sz="6" w:space="0" w:color="000080"/>
          <w:bottom w:val="inset" w:sz="6" w:space="0" w:color="000080"/>
          <w:right w:val="inset" w:sz="6" w:space="0" w:color="000080"/>
        </w:tblBorders>
        <w:tblLook w:val="0000"/>
      </w:tblPr>
      <w:tblGrid>
        <w:gridCol w:w="2581"/>
        <w:gridCol w:w="2619"/>
        <w:gridCol w:w="1857"/>
        <w:gridCol w:w="1895"/>
      </w:tblGrid>
      <w:tr w:rsidR="00E524E4" w:rsidRPr="00D65625" w:rsidTr="003C101D">
        <w:trPr>
          <w:trHeight w:val="280"/>
          <w:tblCellSpacing w:w="20" w:type="dxa"/>
        </w:trPr>
        <w:tc>
          <w:tcPr>
            <w:tcW w:w="2506" w:type="dxa"/>
            <w:tcBorders>
              <w:top w:val="outset" w:sz="6" w:space="0" w:color="000080"/>
            </w:tcBorders>
            <w:shd w:val="clear" w:color="auto" w:fill="333399"/>
            <w:noWrap/>
            <w:vAlign w:val="bottom"/>
          </w:tcPr>
          <w:p w:rsidR="00855B94" w:rsidRPr="0019670A" w:rsidRDefault="00855B94" w:rsidP="00855B94">
            <w:pPr>
              <w:pStyle w:val="Tabla-texto-principal"/>
              <w:framePr w:hSpace="0" w:wrap="auto" w:vAnchor="margin" w:hAnchor="text" w:xAlign="left" w:yAlign="inline"/>
              <w:jc w:val="both"/>
            </w:pPr>
            <w:r w:rsidRPr="0019670A">
              <w:rPr>
                <w:b w:val="0"/>
              </w:rPr>
              <w:t>Moneda</w:t>
            </w:r>
          </w:p>
        </w:tc>
        <w:tc>
          <w:tcPr>
            <w:tcW w:w="2579" w:type="dxa"/>
            <w:tcBorders>
              <w:top w:val="outset" w:sz="6" w:space="0" w:color="000080"/>
            </w:tcBorders>
            <w:shd w:val="clear" w:color="auto" w:fill="333399"/>
            <w:noWrap/>
            <w:vAlign w:val="bottom"/>
          </w:tcPr>
          <w:p w:rsidR="00855B94" w:rsidRPr="0019670A" w:rsidRDefault="00855B94" w:rsidP="00E524E4">
            <w:pPr>
              <w:pStyle w:val="Tabla-texto-principal"/>
              <w:framePr w:hSpace="0" w:wrap="auto" w:vAnchor="margin" w:hAnchor="text" w:xAlign="left" w:yAlign="inline"/>
              <w:jc w:val="both"/>
            </w:pPr>
            <w:r w:rsidRPr="0019670A">
              <w:rPr>
                <w:b w:val="0"/>
              </w:rPr>
              <w:t>Referencia</w:t>
            </w:r>
            <w:r w:rsidR="00E524E4">
              <w:rPr>
                <w:b w:val="0"/>
              </w:rPr>
              <w:t xml:space="preserve"> </w:t>
            </w:r>
            <w:r w:rsidRPr="0019670A">
              <w:rPr>
                <w:b w:val="0"/>
              </w:rPr>
              <w:t>de Intercambio</w:t>
            </w:r>
          </w:p>
        </w:tc>
        <w:tc>
          <w:tcPr>
            <w:tcW w:w="1817" w:type="dxa"/>
            <w:tcBorders>
              <w:top w:val="outset" w:sz="6" w:space="0" w:color="000080"/>
            </w:tcBorders>
            <w:shd w:val="clear" w:color="auto" w:fill="333399"/>
            <w:noWrap/>
            <w:vAlign w:val="bottom"/>
          </w:tcPr>
          <w:p w:rsidR="00855B94" w:rsidRPr="0019670A" w:rsidRDefault="00E524E4" w:rsidP="0085799B">
            <w:pPr>
              <w:pStyle w:val="Tabla-texto-principal"/>
              <w:framePr w:hSpace="0" w:wrap="auto" w:vAnchor="margin" w:hAnchor="text" w:xAlign="left" w:yAlign="inline"/>
              <w:ind w:left="-285" w:right="-113"/>
            </w:pPr>
            <w:r>
              <w:t xml:space="preserve">   </w:t>
            </w:r>
            <w:r w:rsidR="0085799B">
              <w:t>28</w:t>
            </w:r>
            <w:r w:rsidR="00C52802">
              <w:t xml:space="preserve"> </w:t>
            </w:r>
            <w:r w:rsidR="0085799B">
              <w:t>Febrero</w:t>
            </w:r>
            <w:r w:rsidR="002059AB">
              <w:t xml:space="preserve"> </w:t>
            </w:r>
            <w:r w:rsidR="00855B94" w:rsidRPr="00BA306E">
              <w:t xml:space="preserve"> 200</w:t>
            </w:r>
            <w:r w:rsidR="002059AB">
              <w:t>9</w:t>
            </w:r>
          </w:p>
        </w:tc>
        <w:tc>
          <w:tcPr>
            <w:tcW w:w="1850" w:type="dxa"/>
            <w:tcBorders>
              <w:top w:val="outset" w:sz="6" w:space="0" w:color="000080"/>
            </w:tcBorders>
            <w:shd w:val="clear" w:color="auto" w:fill="333399"/>
            <w:vAlign w:val="bottom"/>
          </w:tcPr>
          <w:p w:rsidR="00855B94" w:rsidRPr="0019670A" w:rsidRDefault="00286707" w:rsidP="003C101D">
            <w:pPr>
              <w:pStyle w:val="Tabla-texto-principal"/>
              <w:framePr w:hSpace="0" w:wrap="auto" w:vAnchor="margin" w:hAnchor="text" w:xAlign="left" w:yAlign="inline"/>
              <w:tabs>
                <w:tab w:val="left" w:pos="664"/>
              </w:tabs>
              <w:ind w:left="-143" w:right="-163"/>
            </w:pPr>
            <w:r>
              <w:t>3</w:t>
            </w:r>
            <w:r w:rsidR="002563D7">
              <w:t>1</w:t>
            </w:r>
            <w:r>
              <w:t xml:space="preserve"> </w:t>
            </w:r>
            <w:r w:rsidR="003C101D">
              <w:t>Enero</w:t>
            </w:r>
            <w:r w:rsidR="006E1D95">
              <w:t xml:space="preserve"> </w:t>
            </w:r>
            <w:r w:rsidR="00855B94">
              <w:t>200</w:t>
            </w:r>
            <w:r w:rsidR="003C101D">
              <w:t>9</w:t>
            </w:r>
          </w:p>
        </w:tc>
      </w:tr>
      <w:tr w:rsidR="00855B94" w:rsidRPr="00D65625" w:rsidTr="003C101D">
        <w:trPr>
          <w:trHeight w:val="280"/>
          <w:tblCellSpacing w:w="20" w:type="dxa"/>
        </w:trPr>
        <w:tc>
          <w:tcPr>
            <w:tcW w:w="2506" w:type="dxa"/>
            <w:noWrap/>
          </w:tcPr>
          <w:p w:rsidR="00855B94" w:rsidRPr="00D65625" w:rsidRDefault="00855B94" w:rsidP="00855B94">
            <w:pPr>
              <w:pStyle w:val="texto-cuadros"/>
              <w:framePr w:hSpace="0" w:wrap="auto" w:vAnchor="margin" w:hAnchor="text" w:yAlign="inline"/>
              <w:rPr>
                <w:b/>
              </w:rPr>
            </w:pPr>
            <w:r w:rsidRPr="00D65625">
              <w:rPr>
                <w:b/>
              </w:rPr>
              <w:t>Dólar EE.UU.</w:t>
            </w:r>
          </w:p>
        </w:tc>
        <w:tc>
          <w:tcPr>
            <w:tcW w:w="2579" w:type="dxa"/>
            <w:noWrap/>
          </w:tcPr>
          <w:p w:rsidR="00855B94" w:rsidRPr="00D65625" w:rsidRDefault="00855B94" w:rsidP="00855B94">
            <w:pPr>
              <w:pStyle w:val="texto-cuadros"/>
              <w:framePr w:hSpace="0" w:wrap="auto" w:vAnchor="margin" w:hAnchor="text" w:yAlign="inline"/>
              <w:jc w:val="center"/>
              <w:rPr>
                <w:rFonts w:ascii="Book Antiqua" w:hAnsi="Book Antiqua" w:cs="Arial"/>
                <w:color w:val="333399"/>
              </w:rPr>
            </w:pPr>
          </w:p>
        </w:tc>
        <w:tc>
          <w:tcPr>
            <w:tcW w:w="1817" w:type="dxa"/>
            <w:noWrap/>
          </w:tcPr>
          <w:p w:rsidR="00855B94" w:rsidRPr="0019670A" w:rsidRDefault="00855B94" w:rsidP="00855B94">
            <w:pPr>
              <w:pStyle w:val="texto-cuadros"/>
              <w:framePr w:hSpace="0" w:wrap="auto" w:vAnchor="margin" w:hAnchor="text" w:yAlign="inline"/>
            </w:pPr>
            <w:r w:rsidRPr="0019670A">
              <w:t> </w:t>
            </w:r>
          </w:p>
        </w:tc>
        <w:tc>
          <w:tcPr>
            <w:tcW w:w="1850" w:type="dxa"/>
          </w:tcPr>
          <w:p w:rsidR="00855B94" w:rsidRPr="0019670A" w:rsidRDefault="00855B94" w:rsidP="00855B94">
            <w:pPr>
              <w:pStyle w:val="texto-cuadros"/>
              <w:framePr w:hSpace="0" w:wrap="auto" w:vAnchor="margin" w:hAnchor="text" w:yAlign="inline"/>
            </w:pPr>
            <w:r w:rsidRPr="0019670A">
              <w:t> </w:t>
            </w:r>
          </w:p>
        </w:tc>
      </w:tr>
      <w:tr w:rsidR="003C101D" w:rsidRPr="00D65625" w:rsidTr="003C101D">
        <w:trPr>
          <w:trHeight w:val="520"/>
          <w:tblCellSpacing w:w="20" w:type="dxa"/>
        </w:trPr>
        <w:tc>
          <w:tcPr>
            <w:tcW w:w="2506" w:type="dxa"/>
            <w:noWrap/>
          </w:tcPr>
          <w:p w:rsidR="003C101D" w:rsidRPr="0019670A" w:rsidRDefault="003C101D" w:rsidP="003C101D">
            <w:pPr>
              <w:pStyle w:val="texto-cuadros"/>
              <w:framePr w:hSpace="0" w:wrap="auto" w:vAnchor="margin" w:hAnchor="text" w:yAlign="inline"/>
            </w:pPr>
            <w:r>
              <w:t>T.C.P.P MONEX</w:t>
            </w:r>
          </w:p>
        </w:tc>
        <w:tc>
          <w:tcPr>
            <w:tcW w:w="2579" w:type="dxa"/>
            <w:noWrap/>
          </w:tcPr>
          <w:p w:rsidR="003C101D" w:rsidRPr="0019670A" w:rsidRDefault="003C101D" w:rsidP="003C101D">
            <w:pPr>
              <w:pStyle w:val="texto-cuadros"/>
              <w:framePr w:hSpace="0" w:wrap="auto" w:vAnchor="margin" w:hAnchor="text" w:yAlign="inline"/>
              <w:jc w:val="center"/>
            </w:pPr>
            <w:r>
              <w:t>Colones por dólar</w:t>
            </w:r>
          </w:p>
        </w:tc>
        <w:tc>
          <w:tcPr>
            <w:tcW w:w="1817" w:type="dxa"/>
            <w:noWrap/>
          </w:tcPr>
          <w:p w:rsidR="003C101D" w:rsidRPr="00C81492" w:rsidRDefault="0085799B" w:rsidP="003C101D">
            <w:pPr>
              <w:pStyle w:val="texto-cuadros"/>
              <w:framePr w:hSpace="0" w:wrap="auto" w:vAnchor="margin" w:hAnchor="text" w:yAlign="inline"/>
              <w:jc w:val="right"/>
            </w:pPr>
            <w:r>
              <w:t>568.41</w:t>
            </w:r>
          </w:p>
        </w:tc>
        <w:tc>
          <w:tcPr>
            <w:tcW w:w="1850" w:type="dxa"/>
          </w:tcPr>
          <w:p w:rsidR="003C101D" w:rsidRPr="00C81492" w:rsidRDefault="003C101D" w:rsidP="003C101D">
            <w:pPr>
              <w:pStyle w:val="texto-cuadros"/>
              <w:framePr w:hSpace="0" w:wrap="auto" w:vAnchor="margin" w:hAnchor="text" w:yAlign="inline"/>
              <w:jc w:val="right"/>
            </w:pPr>
            <w:r>
              <w:t>564.03</w:t>
            </w:r>
          </w:p>
        </w:tc>
      </w:tr>
      <w:tr w:rsidR="003C101D" w:rsidRPr="00D65625" w:rsidTr="003C101D">
        <w:trPr>
          <w:trHeight w:val="515"/>
          <w:tblCellSpacing w:w="20" w:type="dxa"/>
        </w:trPr>
        <w:tc>
          <w:tcPr>
            <w:tcW w:w="2506" w:type="dxa"/>
            <w:noWrap/>
          </w:tcPr>
          <w:p w:rsidR="003C101D" w:rsidRPr="0019670A" w:rsidRDefault="003C101D" w:rsidP="003C101D">
            <w:pPr>
              <w:pStyle w:val="texto-cuadros"/>
              <w:framePr w:hSpace="0" w:wrap="auto" w:vAnchor="margin" w:hAnchor="text" w:yAlign="inline"/>
            </w:pPr>
            <w:r w:rsidRPr="0019670A">
              <w:t>Libra Esterlina</w:t>
            </w:r>
          </w:p>
        </w:tc>
        <w:tc>
          <w:tcPr>
            <w:tcW w:w="2579" w:type="dxa"/>
            <w:noWrap/>
          </w:tcPr>
          <w:p w:rsidR="003C101D" w:rsidRPr="0019670A" w:rsidRDefault="003C101D" w:rsidP="003C101D">
            <w:pPr>
              <w:pStyle w:val="texto-cuadros"/>
              <w:framePr w:hSpace="0" w:wrap="auto" w:vAnchor="margin" w:hAnchor="text" w:yAlign="inline"/>
              <w:jc w:val="center"/>
            </w:pPr>
            <w:r w:rsidRPr="0019670A">
              <w:t>Dólares por unida</w:t>
            </w:r>
            <w:r>
              <w:t>d</w:t>
            </w:r>
          </w:p>
        </w:tc>
        <w:tc>
          <w:tcPr>
            <w:tcW w:w="1817" w:type="dxa"/>
            <w:noWrap/>
          </w:tcPr>
          <w:p w:rsidR="003C101D" w:rsidRPr="00C81492" w:rsidRDefault="0085799B" w:rsidP="003C101D">
            <w:pPr>
              <w:pStyle w:val="texto-cuadros"/>
              <w:framePr w:hSpace="0" w:wrap="auto" w:vAnchor="margin" w:hAnchor="text" w:yAlign="inline"/>
              <w:jc w:val="right"/>
            </w:pPr>
            <w:r>
              <w:t>1.431719</w:t>
            </w:r>
          </w:p>
        </w:tc>
        <w:tc>
          <w:tcPr>
            <w:tcW w:w="1850" w:type="dxa"/>
          </w:tcPr>
          <w:p w:rsidR="003C101D" w:rsidRPr="00C81492" w:rsidRDefault="003C101D" w:rsidP="003C101D">
            <w:pPr>
              <w:pStyle w:val="texto-cuadros"/>
              <w:framePr w:hSpace="0" w:wrap="auto" w:vAnchor="margin" w:hAnchor="text" w:yAlign="inline"/>
              <w:jc w:val="right"/>
            </w:pPr>
            <w:r>
              <w:t>1.453849</w:t>
            </w:r>
          </w:p>
        </w:tc>
      </w:tr>
      <w:tr w:rsidR="003C101D" w:rsidRPr="00D65625" w:rsidTr="003C101D">
        <w:trPr>
          <w:trHeight w:val="280"/>
          <w:tblCellSpacing w:w="20" w:type="dxa"/>
        </w:trPr>
        <w:tc>
          <w:tcPr>
            <w:tcW w:w="2506" w:type="dxa"/>
            <w:noWrap/>
          </w:tcPr>
          <w:p w:rsidR="003C101D" w:rsidRPr="0019670A" w:rsidRDefault="003C101D" w:rsidP="003C101D">
            <w:pPr>
              <w:pStyle w:val="texto-cuadros"/>
              <w:framePr w:hSpace="0" w:wrap="auto" w:vAnchor="margin" w:hAnchor="text" w:yAlign="inline"/>
            </w:pPr>
            <w:r w:rsidRPr="0019670A">
              <w:t>Franco Suizo</w:t>
            </w:r>
          </w:p>
        </w:tc>
        <w:tc>
          <w:tcPr>
            <w:tcW w:w="2579" w:type="dxa"/>
            <w:noWrap/>
          </w:tcPr>
          <w:p w:rsidR="003C101D" w:rsidRPr="0019670A" w:rsidRDefault="003C101D" w:rsidP="003C101D">
            <w:pPr>
              <w:pStyle w:val="texto-cuadros"/>
              <w:framePr w:hSpace="0" w:wrap="auto" w:vAnchor="margin" w:hAnchor="text" w:yAlign="inline"/>
              <w:jc w:val="center"/>
            </w:pPr>
            <w:r w:rsidRPr="0019670A">
              <w:t>Unidades por dólar</w:t>
            </w:r>
          </w:p>
        </w:tc>
        <w:tc>
          <w:tcPr>
            <w:tcW w:w="1817" w:type="dxa"/>
            <w:noWrap/>
          </w:tcPr>
          <w:p w:rsidR="003C101D" w:rsidRPr="00C81492" w:rsidRDefault="0085799B" w:rsidP="003C101D">
            <w:pPr>
              <w:pStyle w:val="texto-cuadros"/>
              <w:framePr w:hSpace="0" w:wrap="auto" w:vAnchor="margin" w:hAnchor="text" w:yAlign="inline"/>
              <w:jc w:val="right"/>
            </w:pPr>
            <w:r>
              <w:t>1.168892</w:t>
            </w:r>
          </w:p>
        </w:tc>
        <w:tc>
          <w:tcPr>
            <w:tcW w:w="1850" w:type="dxa"/>
          </w:tcPr>
          <w:p w:rsidR="003C101D" w:rsidRPr="00C81492" w:rsidRDefault="003C101D" w:rsidP="003C101D">
            <w:pPr>
              <w:pStyle w:val="texto-cuadros"/>
              <w:framePr w:hSpace="0" w:wrap="auto" w:vAnchor="margin" w:hAnchor="text" w:yAlign="inline"/>
              <w:jc w:val="right"/>
            </w:pPr>
            <w:r>
              <w:t>1.161891</w:t>
            </w:r>
          </w:p>
        </w:tc>
      </w:tr>
      <w:tr w:rsidR="003C101D" w:rsidRPr="00D65625" w:rsidTr="003C101D">
        <w:trPr>
          <w:trHeight w:val="280"/>
          <w:tblCellSpacing w:w="20" w:type="dxa"/>
        </w:trPr>
        <w:tc>
          <w:tcPr>
            <w:tcW w:w="2506" w:type="dxa"/>
            <w:noWrap/>
          </w:tcPr>
          <w:p w:rsidR="003C101D" w:rsidRPr="0019670A" w:rsidRDefault="003C101D" w:rsidP="003C101D">
            <w:pPr>
              <w:pStyle w:val="texto-cuadros"/>
              <w:framePr w:hSpace="0" w:wrap="auto" w:vAnchor="margin" w:hAnchor="text" w:yAlign="inline"/>
            </w:pPr>
            <w:r>
              <w:t>Peso Mexicano</w:t>
            </w:r>
          </w:p>
        </w:tc>
        <w:tc>
          <w:tcPr>
            <w:tcW w:w="2579" w:type="dxa"/>
            <w:noWrap/>
          </w:tcPr>
          <w:p w:rsidR="003C101D" w:rsidRPr="0019670A" w:rsidRDefault="003C101D" w:rsidP="003C101D">
            <w:pPr>
              <w:pStyle w:val="texto-cuadros"/>
              <w:framePr w:hSpace="0" w:wrap="auto" w:vAnchor="margin" w:hAnchor="text" w:yAlign="inline"/>
              <w:jc w:val="center"/>
            </w:pPr>
            <w:r>
              <w:t>Unidades por dólar</w:t>
            </w:r>
          </w:p>
        </w:tc>
        <w:tc>
          <w:tcPr>
            <w:tcW w:w="1817" w:type="dxa"/>
            <w:noWrap/>
          </w:tcPr>
          <w:p w:rsidR="003C101D" w:rsidRDefault="0085799B" w:rsidP="003C101D">
            <w:pPr>
              <w:pStyle w:val="texto-cuadros"/>
              <w:framePr w:hSpace="0" w:wrap="auto" w:vAnchor="margin" w:hAnchor="text" w:yAlign="inline"/>
              <w:jc w:val="right"/>
            </w:pPr>
            <w:r>
              <w:t>15.249379</w:t>
            </w:r>
          </w:p>
        </w:tc>
        <w:tc>
          <w:tcPr>
            <w:tcW w:w="1850" w:type="dxa"/>
          </w:tcPr>
          <w:p w:rsidR="003C101D" w:rsidRDefault="003C101D" w:rsidP="003C101D">
            <w:pPr>
              <w:pStyle w:val="texto-cuadros"/>
              <w:framePr w:hSpace="0" w:wrap="auto" w:vAnchor="margin" w:hAnchor="text" w:yAlign="inline"/>
              <w:jc w:val="right"/>
            </w:pPr>
            <w:r>
              <w:t>14.328129</w:t>
            </w:r>
          </w:p>
        </w:tc>
      </w:tr>
      <w:tr w:rsidR="003C101D" w:rsidRPr="00D65625" w:rsidTr="003C101D">
        <w:trPr>
          <w:trHeight w:val="280"/>
          <w:tblCellSpacing w:w="20" w:type="dxa"/>
        </w:trPr>
        <w:tc>
          <w:tcPr>
            <w:tcW w:w="2506" w:type="dxa"/>
            <w:noWrap/>
          </w:tcPr>
          <w:p w:rsidR="003C101D" w:rsidRPr="0019670A" w:rsidRDefault="003C101D" w:rsidP="003C101D">
            <w:pPr>
              <w:pStyle w:val="texto-cuadros"/>
              <w:framePr w:hSpace="0" w:wrap="auto" w:vAnchor="margin" w:hAnchor="text" w:yAlign="inline"/>
            </w:pPr>
            <w:r w:rsidRPr="0019670A">
              <w:t>Dólar Canadiense</w:t>
            </w:r>
          </w:p>
        </w:tc>
        <w:tc>
          <w:tcPr>
            <w:tcW w:w="2579" w:type="dxa"/>
            <w:noWrap/>
          </w:tcPr>
          <w:p w:rsidR="003C101D" w:rsidRPr="0019670A" w:rsidRDefault="003C101D" w:rsidP="003C101D">
            <w:pPr>
              <w:pStyle w:val="texto-cuadros"/>
              <w:framePr w:hSpace="0" w:wrap="auto" w:vAnchor="margin" w:hAnchor="text" w:yAlign="inline"/>
              <w:jc w:val="center"/>
            </w:pPr>
            <w:r w:rsidRPr="0019670A">
              <w:t>Unidades por dólar</w:t>
            </w:r>
          </w:p>
        </w:tc>
        <w:tc>
          <w:tcPr>
            <w:tcW w:w="1817" w:type="dxa"/>
            <w:noWrap/>
          </w:tcPr>
          <w:p w:rsidR="003C101D" w:rsidRPr="00C81492" w:rsidRDefault="0085799B" w:rsidP="003C101D">
            <w:pPr>
              <w:pStyle w:val="texto-cuadros"/>
              <w:framePr w:hSpace="0" w:wrap="auto" w:vAnchor="margin" w:hAnchor="text" w:yAlign="inline"/>
              <w:jc w:val="right"/>
            </w:pPr>
            <w:r>
              <w:t>1.276218</w:t>
            </w:r>
          </w:p>
        </w:tc>
        <w:tc>
          <w:tcPr>
            <w:tcW w:w="1850" w:type="dxa"/>
          </w:tcPr>
          <w:p w:rsidR="003C101D" w:rsidRPr="00C81492" w:rsidRDefault="003C101D" w:rsidP="003C101D">
            <w:pPr>
              <w:pStyle w:val="texto-cuadros"/>
              <w:framePr w:hSpace="0" w:wrap="auto" w:vAnchor="margin" w:hAnchor="text" w:yAlign="inline"/>
              <w:jc w:val="right"/>
            </w:pPr>
            <w:r>
              <w:t>1.229521</w:t>
            </w:r>
          </w:p>
        </w:tc>
      </w:tr>
      <w:tr w:rsidR="003C101D" w:rsidRPr="00A776E7" w:rsidTr="003C101D">
        <w:trPr>
          <w:trHeight w:val="280"/>
          <w:tblCellSpacing w:w="20" w:type="dxa"/>
        </w:trPr>
        <w:tc>
          <w:tcPr>
            <w:tcW w:w="2506" w:type="dxa"/>
            <w:noWrap/>
          </w:tcPr>
          <w:p w:rsidR="003C101D" w:rsidRPr="0019670A" w:rsidRDefault="003C101D" w:rsidP="003C101D">
            <w:pPr>
              <w:pStyle w:val="texto-cuadros"/>
              <w:framePr w:hSpace="0" w:wrap="auto" w:vAnchor="margin" w:hAnchor="text" w:yAlign="inline"/>
            </w:pPr>
            <w:r w:rsidRPr="0019670A">
              <w:t>Yen</w:t>
            </w:r>
          </w:p>
        </w:tc>
        <w:tc>
          <w:tcPr>
            <w:tcW w:w="2579" w:type="dxa"/>
            <w:noWrap/>
          </w:tcPr>
          <w:p w:rsidR="003C101D" w:rsidRPr="0019670A" w:rsidRDefault="003C101D" w:rsidP="003C101D">
            <w:pPr>
              <w:pStyle w:val="texto-cuadros"/>
              <w:framePr w:hSpace="0" w:wrap="auto" w:vAnchor="margin" w:hAnchor="text" w:yAlign="inline"/>
              <w:jc w:val="center"/>
            </w:pPr>
            <w:r w:rsidRPr="0019670A">
              <w:t>Unidades por dólar</w:t>
            </w:r>
          </w:p>
        </w:tc>
        <w:tc>
          <w:tcPr>
            <w:tcW w:w="1817" w:type="dxa"/>
            <w:noWrap/>
          </w:tcPr>
          <w:p w:rsidR="003C101D" w:rsidRPr="00C81492" w:rsidRDefault="0085799B" w:rsidP="003C101D">
            <w:pPr>
              <w:pStyle w:val="texto-cuadros"/>
              <w:framePr w:hSpace="0" w:wrap="auto" w:vAnchor="margin" w:hAnchor="text" w:yAlign="inline"/>
              <w:jc w:val="right"/>
            </w:pPr>
            <w:r>
              <w:t>97.567942</w:t>
            </w:r>
          </w:p>
        </w:tc>
        <w:tc>
          <w:tcPr>
            <w:tcW w:w="1850" w:type="dxa"/>
          </w:tcPr>
          <w:p w:rsidR="003C101D" w:rsidRPr="00C81492" w:rsidRDefault="003C101D" w:rsidP="003C101D">
            <w:pPr>
              <w:pStyle w:val="texto-cuadros"/>
              <w:framePr w:hSpace="0" w:wrap="auto" w:vAnchor="margin" w:hAnchor="text" w:yAlign="inline"/>
              <w:jc w:val="right"/>
            </w:pPr>
            <w:r>
              <w:t>89.9108016</w:t>
            </w:r>
          </w:p>
        </w:tc>
      </w:tr>
      <w:tr w:rsidR="003C101D" w:rsidRPr="00A776E7" w:rsidTr="003C101D">
        <w:trPr>
          <w:trHeight w:val="280"/>
          <w:tblCellSpacing w:w="20" w:type="dxa"/>
        </w:trPr>
        <w:tc>
          <w:tcPr>
            <w:tcW w:w="2506" w:type="dxa"/>
            <w:noWrap/>
          </w:tcPr>
          <w:p w:rsidR="003C101D" w:rsidRPr="0019670A" w:rsidRDefault="003C101D" w:rsidP="003C101D">
            <w:pPr>
              <w:pStyle w:val="texto-cuadros"/>
              <w:framePr w:hSpace="0" w:wrap="auto" w:vAnchor="margin" w:hAnchor="text" w:yAlign="inline"/>
            </w:pPr>
            <w:r w:rsidRPr="0019670A">
              <w:t>EURO</w:t>
            </w:r>
          </w:p>
        </w:tc>
        <w:tc>
          <w:tcPr>
            <w:tcW w:w="2579" w:type="dxa"/>
            <w:noWrap/>
          </w:tcPr>
          <w:p w:rsidR="003C101D" w:rsidRPr="0019670A" w:rsidRDefault="003C101D" w:rsidP="003C101D">
            <w:pPr>
              <w:pStyle w:val="texto-cuadros"/>
              <w:framePr w:hSpace="0" w:wrap="auto" w:vAnchor="margin" w:hAnchor="text" w:yAlign="inline"/>
              <w:jc w:val="center"/>
            </w:pPr>
            <w:r w:rsidRPr="0019670A">
              <w:t>Dólares por unidad</w:t>
            </w:r>
          </w:p>
        </w:tc>
        <w:tc>
          <w:tcPr>
            <w:tcW w:w="1817" w:type="dxa"/>
            <w:noWrap/>
          </w:tcPr>
          <w:p w:rsidR="003C101D" w:rsidRPr="00C81492" w:rsidRDefault="0085799B" w:rsidP="003C101D">
            <w:pPr>
              <w:pStyle w:val="texto-cuadros"/>
              <w:framePr w:hSpace="0" w:wrap="auto" w:vAnchor="margin" w:hAnchor="text" w:yAlign="inline"/>
              <w:jc w:val="right"/>
            </w:pPr>
            <w:r>
              <w:t>1.266765</w:t>
            </w:r>
          </w:p>
        </w:tc>
        <w:tc>
          <w:tcPr>
            <w:tcW w:w="1850" w:type="dxa"/>
          </w:tcPr>
          <w:p w:rsidR="003C101D" w:rsidRPr="00C81492" w:rsidRDefault="003C101D" w:rsidP="003C101D">
            <w:pPr>
              <w:pStyle w:val="texto-cuadros"/>
              <w:framePr w:hSpace="0" w:wrap="auto" w:vAnchor="margin" w:hAnchor="text" w:yAlign="inline"/>
              <w:jc w:val="right"/>
            </w:pPr>
            <w:r>
              <w:t>1.281175</w:t>
            </w:r>
          </w:p>
        </w:tc>
      </w:tr>
      <w:tr w:rsidR="003C101D" w:rsidRPr="001062E3" w:rsidTr="003C101D">
        <w:trPr>
          <w:trHeight w:val="280"/>
          <w:tblCellSpacing w:w="20" w:type="dxa"/>
        </w:trPr>
        <w:tc>
          <w:tcPr>
            <w:tcW w:w="2506" w:type="dxa"/>
            <w:noWrap/>
          </w:tcPr>
          <w:p w:rsidR="003C101D" w:rsidRPr="0019670A" w:rsidRDefault="003C101D" w:rsidP="003C101D">
            <w:pPr>
              <w:pStyle w:val="texto-cuadros"/>
              <w:framePr w:hSpace="0" w:wrap="auto" w:vAnchor="margin" w:hAnchor="text" w:yAlign="inline"/>
            </w:pPr>
            <w:r w:rsidRPr="0019670A">
              <w:t>DEG</w:t>
            </w:r>
          </w:p>
        </w:tc>
        <w:tc>
          <w:tcPr>
            <w:tcW w:w="2579" w:type="dxa"/>
            <w:noWrap/>
          </w:tcPr>
          <w:p w:rsidR="003C101D" w:rsidRPr="0019670A" w:rsidRDefault="003C101D" w:rsidP="003C101D">
            <w:pPr>
              <w:pStyle w:val="texto-cuadros"/>
              <w:framePr w:hSpace="0" w:wrap="auto" w:vAnchor="margin" w:hAnchor="text" w:yAlign="inline"/>
              <w:jc w:val="center"/>
            </w:pPr>
            <w:r w:rsidRPr="0019670A">
              <w:t>Dólares por unidad</w:t>
            </w:r>
          </w:p>
        </w:tc>
        <w:tc>
          <w:tcPr>
            <w:tcW w:w="1817" w:type="dxa"/>
            <w:noWrap/>
          </w:tcPr>
          <w:p w:rsidR="003C101D" w:rsidRPr="00C81492" w:rsidRDefault="0085799B" w:rsidP="003C101D">
            <w:pPr>
              <w:pStyle w:val="texto-cuadros"/>
              <w:framePr w:hSpace="0" w:wrap="auto" w:vAnchor="margin" w:hAnchor="text" w:yAlign="inline"/>
              <w:jc w:val="right"/>
            </w:pPr>
            <w:r>
              <w:t>1.467360</w:t>
            </w:r>
          </w:p>
        </w:tc>
        <w:tc>
          <w:tcPr>
            <w:tcW w:w="1850" w:type="dxa"/>
          </w:tcPr>
          <w:p w:rsidR="003C101D" w:rsidRPr="00C81492" w:rsidRDefault="003C101D" w:rsidP="003C101D">
            <w:pPr>
              <w:pStyle w:val="texto-cuadros"/>
              <w:framePr w:hSpace="0" w:wrap="auto" w:vAnchor="margin" w:hAnchor="text" w:yAlign="inline"/>
              <w:jc w:val="right"/>
            </w:pPr>
            <w:r>
              <w:t>1.491920</w:t>
            </w:r>
          </w:p>
        </w:tc>
      </w:tr>
      <w:tr w:rsidR="003C101D" w:rsidRPr="001062E3" w:rsidTr="003C101D">
        <w:trPr>
          <w:trHeight w:val="280"/>
          <w:tblCellSpacing w:w="20" w:type="dxa"/>
        </w:trPr>
        <w:tc>
          <w:tcPr>
            <w:tcW w:w="2506" w:type="dxa"/>
            <w:noWrap/>
          </w:tcPr>
          <w:p w:rsidR="003C101D" w:rsidRPr="0019670A" w:rsidRDefault="003C101D" w:rsidP="003C101D">
            <w:pPr>
              <w:pStyle w:val="texto-cuadros"/>
              <w:framePr w:hSpace="0" w:wrap="auto" w:vAnchor="margin" w:hAnchor="text" w:yAlign="inline"/>
            </w:pPr>
            <w:r w:rsidRPr="0019670A">
              <w:t>Oro Monetario</w:t>
            </w:r>
          </w:p>
        </w:tc>
        <w:tc>
          <w:tcPr>
            <w:tcW w:w="2579" w:type="dxa"/>
            <w:noWrap/>
          </w:tcPr>
          <w:p w:rsidR="003C101D" w:rsidRPr="005E619D" w:rsidRDefault="003C101D" w:rsidP="003C101D">
            <w:pPr>
              <w:pStyle w:val="texto-cuadros"/>
              <w:framePr w:hSpace="0" w:wrap="auto" w:vAnchor="margin" w:hAnchor="text" w:yAlign="inline"/>
              <w:jc w:val="center"/>
            </w:pPr>
            <w:r w:rsidRPr="005E619D">
              <w:t>Dólares por Gramo</w:t>
            </w:r>
          </w:p>
        </w:tc>
        <w:tc>
          <w:tcPr>
            <w:tcW w:w="1817" w:type="dxa"/>
            <w:noWrap/>
          </w:tcPr>
          <w:p w:rsidR="003C101D" w:rsidRPr="00C81492" w:rsidRDefault="0085799B" w:rsidP="003C101D">
            <w:pPr>
              <w:pStyle w:val="texto-cuadros"/>
              <w:framePr w:hSpace="0" w:wrap="auto" w:vAnchor="margin" w:hAnchor="text" w:yAlign="inline"/>
              <w:jc w:val="right"/>
            </w:pPr>
            <w:r>
              <w:t>953.380000</w:t>
            </w:r>
          </w:p>
        </w:tc>
        <w:tc>
          <w:tcPr>
            <w:tcW w:w="1850" w:type="dxa"/>
          </w:tcPr>
          <w:p w:rsidR="003C101D" w:rsidRPr="00C81492" w:rsidRDefault="003C101D" w:rsidP="003C101D">
            <w:pPr>
              <w:pStyle w:val="texto-cuadros"/>
              <w:framePr w:hSpace="0" w:wrap="auto" w:vAnchor="margin" w:hAnchor="text" w:yAlign="inline"/>
              <w:jc w:val="right"/>
            </w:pPr>
            <w:r>
              <w:t>924.630000</w:t>
            </w:r>
          </w:p>
        </w:tc>
      </w:tr>
      <w:tr w:rsidR="003C101D" w:rsidRPr="001062E3" w:rsidTr="003C101D">
        <w:trPr>
          <w:trHeight w:val="280"/>
          <w:tblCellSpacing w:w="20" w:type="dxa"/>
        </w:trPr>
        <w:tc>
          <w:tcPr>
            <w:tcW w:w="2506" w:type="dxa"/>
            <w:noWrap/>
          </w:tcPr>
          <w:p w:rsidR="003C101D" w:rsidRPr="0019670A" w:rsidRDefault="003C101D" w:rsidP="003C101D">
            <w:pPr>
              <w:pStyle w:val="texto-cuadros"/>
              <w:framePr w:hSpace="0" w:wrap="auto" w:vAnchor="margin" w:hAnchor="text" w:yAlign="inline"/>
            </w:pPr>
            <w:r>
              <w:t>Corona Danesa</w:t>
            </w:r>
          </w:p>
        </w:tc>
        <w:tc>
          <w:tcPr>
            <w:tcW w:w="2579" w:type="dxa"/>
            <w:noWrap/>
          </w:tcPr>
          <w:p w:rsidR="003C101D" w:rsidRPr="0019670A" w:rsidRDefault="003C101D" w:rsidP="003C101D">
            <w:pPr>
              <w:pStyle w:val="texto-cuadros"/>
              <w:framePr w:hSpace="0" w:wrap="auto" w:vAnchor="margin" w:hAnchor="text" w:yAlign="inline"/>
              <w:jc w:val="center"/>
            </w:pPr>
            <w:r w:rsidRPr="0019670A">
              <w:t>Unidades por dólar</w:t>
            </w:r>
          </w:p>
        </w:tc>
        <w:tc>
          <w:tcPr>
            <w:tcW w:w="1817" w:type="dxa"/>
            <w:noWrap/>
          </w:tcPr>
          <w:p w:rsidR="003C101D" w:rsidRPr="00C81492" w:rsidRDefault="0085799B" w:rsidP="003C101D">
            <w:pPr>
              <w:pStyle w:val="texto-cuadros"/>
              <w:framePr w:hSpace="0" w:wrap="auto" w:vAnchor="margin" w:hAnchor="text" w:yAlign="inline"/>
              <w:jc w:val="right"/>
            </w:pPr>
            <w:r>
              <w:t>5.878493</w:t>
            </w:r>
          </w:p>
        </w:tc>
        <w:tc>
          <w:tcPr>
            <w:tcW w:w="1850" w:type="dxa"/>
          </w:tcPr>
          <w:p w:rsidR="003C101D" w:rsidRPr="00C81492" w:rsidRDefault="003C101D" w:rsidP="003C101D">
            <w:pPr>
              <w:pStyle w:val="texto-cuadros"/>
              <w:framePr w:hSpace="0" w:wrap="auto" w:vAnchor="margin" w:hAnchor="text" w:yAlign="inline"/>
              <w:jc w:val="right"/>
            </w:pPr>
            <w:r>
              <w:t>5.815617</w:t>
            </w:r>
          </w:p>
        </w:tc>
      </w:tr>
      <w:tr w:rsidR="003C101D" w:rsidRPr="00D65625" w:rsidTr="003C101D">
        <w:trPr>
          <w:trHeight w:val="280"/>
          <w:tblCellSpacing w:w="20" w:type="dxa"/>
        </w:trPr>
        <w:tc>
          <w:tcPr>
            <w:tcW w:w="2506" w:type="dxa"/>
            <w:noWrap/>
          </w:tcPr>
          <w:p w:rsidR="003C101D" w:rsidRDefault="003C101D" w:rsidP="003C101D">
            <w:pPr>
              <w:pStyle w:val="texto-cuadros"/>
              <w:framePr w:hSpace="0" w:wrap="auto" w:vAnchor="margin" w:hAnchor="text" w:yAlign="inline"/>
            </w:pPr>
            <w:r>
              <w:t>Corona Sueca</w:t>
            </w:r>
          </w:p>
        </w:tc>
        <w:tc>
          <w:tcPr>
            <w:tcW w:w="2579" w:type="dxa"/>
            <w:noWrap/>
          </w:tcPr>
          <w:p w:rsidR="003C101D" w:rsidRDefault="003C101D" w:rsidP="003C101D">
            <w:pPr>
              <w:pStyle w:val="texto-cuadros"/>
              <w:framePr w:hSpace="0" w:wrap="auto" w:vAnchor="margin" w:hAnchor="text" w:yAlign="inline"/>
              <w:jc w:val="center"/>
            </w:pPr>
            <w:r w:rsidRPr="0019670A">
              <w:t>Unidades por dólar</w:t>
            </w:r>
          </w:p>
        </w:tc>
        <w:tc>
          <w:tcPr>
            <w:tcW w:w="1817" w:type="dxa"/>
            <w:noWrap/>
          </w:tcPr>
          <w:p w:rsidR="003C101D" w:rsidRDefault="0085799B" w:rsidP="003C101D">
            <w:pPr>
              <w:pStyle w:val="texto-cuadros"/>
              <w:framePr w:hSpace="0" w:wrap="auto" w:vAnchor="margin" w:hAnchor="text" w:yAlign="inline"/>
              <w:jc w:val="right"/>
            </w:pPr>
            <w:r>
              <w:t>9.014387</w:t>
            </w:r>
          </w:p>
        </w:tc>
        <w:tc>
          <w:tcPr>
            <w:tcW w:w="1850" w:type="dxa"/>
          </w:tcPr>
          <w:p w:rsidR="003C101D" w:rsidRDefault="003C101D" w:rsidP="003C101D">
            <w:pPr>
              <w:pStyle w:val="texto-cuadros"/>
              <w:framePr w:hSpace="0" w:wrap="auto" w:vAnchor="margin" w:hAnchor="text" w:yAlign="inline"/>
              <w:jc w:val="right"/>
            </w:pPr>
            <w:r>
              <w:t>8.336687</w:t>
            </w:r>
          </w:p>
        </w:tc>
      </w:tr>
      <w:tr w:rsidR="003C101D" w:rsidRPr="00D65625" w:rsidTr="003C101D">
        <w:trPr>
          <w:trHeight w:val="280"/>
          <w:tblCellSpacing w:w="20" w:type="dxa"/>
        </w:trPr>
        <w:tc>
          <w:tcPr>
            <w:tcW w:w="2506" w:type="dxa"/>
            <w:noWrap/>
          </w:tcPr>
          <w:p w:rsidR="003C101D" w:rsidRDefault="003C101D" w:rsidP="003C101D">
            <w:pPr>
              <w:pStyle w:val="texto-cuadros"/>
              <w:framePr w:hSpace="0" w:wrap="auto" w:vAnchor="margin" w:hAnchor="text" w:yAlign="inline"/>
            </w:pPr>
            <w:r>
              <w:t>Dólar Australiano</w:t>
            </w:r>
          </w:p>
        </w:tc>
        <w:tc>
          <w:tcPr>
            <w:tcW w:w="2579" w:type="dxa"/>
            <w:noWrap/>
          </w:tcPr>
          <w:p w:rsidR="003C101D" w:rsidRPr="0019670A" w:rsidRDefault="003C101D" w:rsidP="003C101D">
            <w:pPr>
              <w:pStyle w:val="texto-cuadros"/>
              <w:framePr w:hSpace="0" w:wrap="auto" w:vAnchor="margin" w:hAnchor="text" w:yAlign="inline"/>
              <w:jc w:val="center"/>
            </w:pPr>
            <w:r w:rsidRPr="0019670A">
              <w:t>Dólares por unida</w:t>
            </w:r>
            <w:r>
              <w:t>d</w:t>
            </w:r>
          </w:p>
        </w:tc>
        <w:tc>
          <w:tcPr>
            <w:tcW w:w="1817" w:type="dxa"/>
            <w:noWrap/>
          </w:tcPr>
          <w:p w:rsidR="003C101D" w:rsidRDefault="0085799B" w:rsidP="003C101D">
            <w:pPr>
              <w:pStyle w:val="texto-cuadros"/>
              <w:framePr w:hSpace="0" w:wrap="auto" w:vAnchor="margin" w:hAnchor="text" w:yAlign="inline"/>
              <w:jc w:val="right"/>
            </w:pPr>
            <w:r>
              <w:t>0.638806</w:t>
            </w:r>
          </w:p>
        </w:tc>
        <w:tc>
          <w:tcPr>
            <w:tcW w:w="1850" w:type="dxa"/>
          </w:tcPr>
          <w:p w:rsidR="003C101D" w:rsidRDefault="003C101D" w:rsidP="003C101D">
            <w:pPr>
              <w:pStyle w:val="texto-cuadros"/>
              <w:framePr w:hSpace="0" w:wrap="auto" w:vAnchor="margin" w:hAnchor="text" w:yAlign="inline"/>
              <w:jc w:val="right"/>
            </w:pPr>
            <w:r>
              <w:t>0.637300</w:t>
            </w:r>
          </w:p>
        </w:tc>
      </w:tr>
      <w:tr w:rsidR="003C101D" w:rsidRPr="00D65625" w:rsidTr="003C101D">
        <w:trPr>
          <w:trHeight w:val="280"/>
          <w:tblCellSpacing w:w="20" w:type="dxa"/>
        </w:trPr>
        <w:tc>
          <w:tcPr>
            <w:tcW w:w="2506" w:type="dxa"/>
            <w:tcBorders>
              <w:bottom w:val="inset" w:sz="6" w:space="0" w:color="000080"/>
            </w:tcBorders>
            <w:noWrap/>
          </w:tcPr>
          <w:p w:rsidR="003C101D" w:rsidRDefault="003C101D" w:rsidP="003C101D">
            <w:pPr>
              <w:pStyle w:val="texto-cuadros"/>
              <w:framePr w:hSpace="0" w:wrap="auto" w:vAnchor="margin" w:hAnchor="text" w:yAlign="inline"/>
            </w:pPr>
            <w:r w:rsidRPr="0019670A">
              <w:t>Unidad de Desarrollo (UD)</w:t>
            </w:r>
          </w:p>
        </w:tc>
        <w:tc>
          <w:tcPr>
            <w:tcW w:w="2579" w:type="dxa"/>
            <w:tcBorders>
              <w:bottom w:val="inset" w:sz="6" w:space="0" w:color="000080"/>
            </w:tcBorders>
            <w:noWrap/>
          </w:tcPr>
          <w:p w:rsidR="003C101D" w:rsidRDefault="003C101D" w:rsidP="003C101D">
            <w:pPr>
              <w:pStyle w:val="texto-cuadros"/>
              <w:framePr w:hSpace="0" w:wrap="auto" w:vAnchor="margin" w:hAnchor="text" w:yAlign="inline"/>
              <w:jc w:val="center"/>
            </w:pPr>
            <w:r w:rsidRPr="0019670A">
              <w:t>Colones por unidad</w:t>
            </w:r>
          </w:p>
        </w:tc>
        <w:tc>
          <w:tcPr>
            <w:tcW w:w="1817" w:type="dxa"/>
            <w:tcBorders>
              <w:bottom w:val="inset" w:sz="6" w:space="0" w:color="000080"/>
            </w:tcBorders>
            <w:noWrap/>
          </w:tcPr>
          <w:p w:rsidR="003C101D" w:rsidRDefault="0085799B" w:rsidP="003C101D">
            <w:pPr>
              <w:pStyle w:val="texto-cuadros"/>
              <w:framePr w:hSpace="0" w:wrap="auto" w:vAnchor="margin" w:hAnchor="text" w:yAlign="inline"/>
              <w:jc w:val="right"/>
            </w:pPr>
            <w:r>
              <w:t>658.508000</w:t>
            </w:r>
          </w:p>
        </w:tc>
        <w:tc>
          <w:tcPr>
            <w:tcW w:w="1850" w:type="dxa"/>
            <w:tcBorders>
              <w:bottom w:val="inset" w:sz="6" w:space="0" w:color="000080"/>
            </w:tcBorders>
          </w:tcPr>
          <w:p w:rsidR="003C101D" w:rsidRDefault="003C101D" w:rsidP="003C101D">
            <w:pPr>
              <w:pStyle w:val="texto-cuadros"/>
              <w:framePr w:hSpace="0" w:wrap="auto" w:vAnchor="margin" w:hAnchor="text" w:yAlign="inline"/>
              <w:jc w:val="right"/>
            </w:pPr>
            <w:r>
              <w:t>657.817000</w:t>
            </w:r>
          </w:p>
        </w:tc>
      </w:tr>
    </w:tbl>
    <w:p w:rsidR="00855B94" w:rsidRDefault="00855B94" w:rsidP="00C82E3B">
      <w:pPr>
        <w:pStyle w:val="TextoparrafosCar"/>
        <w:rPr>
          <w:rFonts w:ascii="Times New Roman" w:hAnsi="Times New Roman"/>
        </w:rPr>
      </w:pPr>
    </w:p>
    <w:p w:rsidR="00BC62B7" w:rsidRPr="0019670A" w:rsidRDefault="00BC62B7" w:rsidP="00C82E3B">
      <w:pPr>
        <w:pStyle w:val="TextoparrafosCar"/>
        <w:rPr>
          <w:rFonts w:ascii="Times New Roman" w:hAnsi="Times New Roman"/>
        </w:rPr>
      </w:pPr>
      <w:r w:rsidRPr="0019670A">
        <w:rPr>
          <w:rFonts w:ascii="Times New Roman" w:hAnsi="Times New Roman"/>
        </w:rPr>
        <w:t>El mantenimiento de valor de los saldos que corresponden a las partidas en moneda extranjera, que se expresan en la moneda nacional, se calcula en función al tipo de cambio del dólar de los Estados Unidos respecto a las otras monedas extranjeras y unidades de cuenta.</w:t>
      </w:r>
    </w:p>
    <w:p w:rsidR="00BC62B7" w:rsidRPr="0019670A" w:rsidRDefault="00BC62B7" w:rsidP="00C82E3B">
      <w:pPr>
        <w:pStyle w:val="Ttulo1"/>
        <w:jc w:val="both"/>
        <w:rPr>
          <w:rFonts w:ascii="Times New Roman" w:hAnsi="Times New Roman" w:cs="Times New Roman"/>
          <w:color w:val="000080"/>
          <w:sz w:val="24"/>
          <w:szCs w:val="24"/>
          <w:lang w:val="es-CR"/>
        </w:rPr>
      </w:pPr>
      <w:bookmarkStart w:id="8" w:name="_Toc255802884"/>
      <w:r w:rsidRPr="0019670A">
        <w:rPr>
          <w:rFonts w:ascii="Times New Roman" w:hAnsi="Times New Roman" w:cs="Times New Roman"/>
          <w:color w:val="000080"/>
          <w:sz w:val="24"/>
          <w:szCs w:val="24"/>
          <w:lang w:val="es-CR"/>
        </w:rPr>
        <w:t>Costo de Adquisición</w:t>
      </w:r>
      <w:bookmarkEnd w:id="8"/>
    </w:p>
    <w:p w:rsidR="00BC62B7" w:rsidRPr="0019670A" w:rsidRDefault="00BC62B7" w:rsidP="00C82E3B">
      <w:pPr>
        <w:pStyle w:val="TextoparrafosCar"/>
        <w:rPr>
          <w:rFonts w:ascii="Times New Roman" w:hAnsi="Times New Roman"/>
        </w:rPr>
      </w:pPr>
      <w:r w:rsidRPr="0019670A">
        <w:rPr>
          <w:rFonts w:ascii="Times New Roman" w:hAnsi="Times New Roman"/>
        </w:rPr>
        <w:t xml:space="preserve">Se registra por el importe de efectivo al momento de su adquisición: </w:t>
      </w:r>
    </w:p>
    <w:p w:rsidR="00BC62B7" w:rsidRPr="0019670A" w:rsidRDefault="00BC62B7" w:rsidP="00A8084E">
      <w:pPr>
        <w:pStyle w:val="listaa"/>
        <w:numPr>
          <w:ilvl w:val="0"/>
          <w:numId w:val="4"/>
        </w:numPr>
        <w:tabs>
          <w:tab w:val="clear" w:pos="900"/>
        </w:tabs>
        <w:ind w:left="567" w:hanging="283"/>
      </w:pPr>
      <w:r w:rsidRPr="0019670A">
        <w:t>Los activos fijos.</w:t>
      </w:r>
    </w:p>
    <w:p w:rsidR="00BC62B7" w:rsidRPr="0019670A" w:rsidRDefault="00BC62B7" w:rsidP="00A8084E">
      <w:pPr>
        <w:pStyle w:val="listaa"/>
        <w:numPr>
          <w:ilvl w:val="0"/>
          <w:numId w:val="4"/>
        </w:numPr>
        <w:tabs>
          <w:tab w:val="clear" w:pos="900"/>
        </w:tabs>
        <w:ind w:left="567" w:hanging="283"/>
      </w:pPr>
      <w:r w:rsidRPr="0019670A">
        <w:t>Los activos intangibles.</w:t>
      </w:r>
    </w:p>
    <w:p w:rsidR="00BC62B7" w:rsidRPr="0019670A" w:rsidRDefault="00BC62B7" w:rsidP="00A8084E">
      <w:pPr>
        <w:pStyle w:val="listaa"/>
        <w:numPr>
          <w:ilvl w:val="0"/>
          <w:numId w:val="4"/>
        </w:numPr>
        <w:tabs>
          <w:tab w:val="clear" w:pos="900"/>
        </w:tabs>
        <w:ind w:left="567" w:hanging="283"/>
      </w:pPr>
      <w:r w:rsidRPr="0019670A">
        <w:t>Los instrumentos financieros cuyas condiciones financieras pactadas originalmente no varían.</w:t>
      </w:r>
    </w:p>
    <w:p w:rsidR="00BC62B7" w:rsidRPr="0019670A" w:rsidRDefault="00BC62B7" w:rsidP="00A8084E">
      <w:pPr>
        <w:pStyle w:val="listaa"/>
        <w:numPr>
          <w:ilvl w:val="0"/>
          <w:numId w:val="4"/>
        </w:numPr>
        <w:tabs>
          <w:tab w:val="clear" w:pos="900"/>
        </w:tabs>
        <w:ind w:left="567" w:hanging="283"/>
      </w:pPr>
      <w:r w:rsidRPr="0019670A">
        <w:t>Las partidas por cobrar, pagar y los depósitos derivados de las operaciones habituales del Banco Central.</w:t>
      </w:r>
    </w:p>
    <w:p w:rsidR="00BC62B7" w:rsidRPr="0019670A" w:rsidRDefault="00BC62B7" w:rsidP="00C82E3B">
      <w:pPr>
        <w:pStyle w:val="Ttulo1"/>
        <w:jc w:val="both"/>
        <w:rPr>
          <w:rFonts w:ascii="Times New Roman" w:hAnsi="Times New Roman" w:cs="Times New Roman"/>
          <w:color w:val="000080"/>
          <w:sz w:val="24"/>
          <w:szCs w:val="24"/>
          <w:lang w:val="es-CR"/>
        </w:rPr>
      </w:pPr>
      <w:bookmarkStart w:id="9" w:name="_Toc255802885"/>
      <w:r w:rsidRPr="0019670A">
        <w:rPr>
          <w:rFonts w:ascii="Times New Roman" w:hAnsi="Times New Roman" w:cs="Times New Roman"/>
          <w:color w:val="000080"/>
          <w:sz w:val="24"/>
          <w:szCs w:val="24"/>
          <w:lang w:val="es-CR"/>
        </w:rPr>
        <w:lastRenderedPageBreak/>
        <w:t>Valor Razonable</w:t>
      </w:r>
      <w:bookmarkEnd w:id="9"/>
    </w:p>
    <w:p w:rsidR="00BC62B7" w:rsidRPr="0019670A" w:rsidRDefault="00BC62B7" w:rsidP="00C82E3B">
      <w:pPr>
        <w:pStyle w:val="TextoparrafosCar"/>
        <w:rPr>
          <w:rFonts w:ascii="Times New Roman" w:hAnsi="Times New Roman"/>
        </w:rPr>
      </w:pPr>
      <w:r w:rsidRPr="0019670A">
        <w:rPr>
          <w:rFonts w:ascii="Times New Roman" w:hAnsi="Times New Roman"/>
        </w:rPr>
        <w:t>Se registra por el importe de intercambio que establezca el mercado nacional e internacional.</w:t>
      </w:r>
    </w:p>
    <w:p w:rsidR="00BC62B7" w:rsidRPr="00A30C2A" w:rsidRDefault="00BC62B7" w:rsidP="00CA7477">
      <w:pPr>
        <w:pStyle w:val="Ttulo1"/>
        <w:jc w:val="both"/>
        <w:rPr>
          <w:lang w:val="es-CR"/>
        </w:rPr>
      </w:pPr>
      <w:bookmarkStart w:id="10" w:name="_Toc255802886"/>
      <w:r w:rsidRPr="0019670A">
        <w:rPr>
          <w:rFonts w:ascii="Times New Roman" w:hAnsi="Times New Roman" w:cs="Times New Roman"/>
          <w:color w:val="000080"/>
          <w:sz w:val="24"/>
          <w:szCs w:val="24"/>
          <w:lang w:val="es-CR"/>
        </w:rPr>
        <w:t>Ingresos y Gastos</w:t>
      </w:r>
      <w:bookmarkEnd w:id="10"/>
    </w:p>
    <w:p w:rsidR="00BC62B7" w:rsidRPr="0019670A" w:rsidRDefault="00BC62B7" w:rsidP="00CA7477">
      <w:pPr>
        <w:pStyle w:val="TextoparrafosCar"/>
        <w:spacing w:before="120" w:after="0"/>
        <w:rPr>
          <w:rFonts w:ascii="Times New Roman" w:hAnsi="Times New Roman"/>
        </w:rPr>
      </w:pPr>
      <w:r w:rsidRPr="0019670A">
        <w:rPr>
          <w:rFonts w:ascii="Times New Roman" w:hAnsi="Times New Roman"/>
        </w:rPr>
        <w:t>Los ingresos y gastos que surgen en el curso de las actividades del Banco, se registran mediante la base del devengo.</w:t>
      </w:r>
    </w:p>
    <w:p w:rsidR="00BC62B7" w:rsidRPr="0016009B" w:rsidRDefault="00BC62B7" w:rsidP="00C82E3B">
      <w:pPr>
        <w:pStyle w:val="Ttulo1"/>
        <w:jc w:val="both"/>
        <w:rPr>
          <w:rFonts w:ascii="Times New Roman" w:hAnsi="Times New Roman" w:cs="Times New Roman"/>
          <w:color w:val="000080"/>
          <w:sz w:val="28"/>
          <w:szCs w:val="28"/>
          <w:lang w:val="es-CR"/>
        </w:rPr>
      </w:pPr>
      <w:bookmarkStart w:id="11" w:name="_Toc255802887"/>
      <w:r w:rsidRPr="0016009B">
        <w:rPr>
          <w:rFonts w:ascii="Times New Roman" w:hAnsi="Times New Roman" w:cs="Times New Roman"/>
          <w:color w:val="000080"/>
          <w:sz w:val="28"/>
          <w:szCs w:val="28"/>
          <w:lang w:val="es-CR"/>
        </w:rPr>
        <w:t>POLÍTICAS CONTABLES APLICADAS</w:t>
      </w:r>
      <w:bookmarkEnd w:id="11"/>
    </w:p>
    <w:p w:rsidR="00BC62B7" w:rsidRPr="0016009B" w:rsidRDefault="00BC62B7" w:rsidP="00C82E3B">
      <w:pPr>
        <w:pStyle w:val="Ttulo1"/>
        <w:jc w:val="both"/>
        <w:rPr>
          <w:rFonts w:ascii="Times New Roman" w:hAnsi="Times New Roman" w:cs="Times New Roman"/>
          <w:color w:val="000080"/>
          <w:sz w:val="24"/>
          <w:szCs w:val="24"/>
          <w:lang w:val="es-CR"/>
        </w:rPr>
      </w:pPr>
      <w:bookmarkStart w:id="12" w:name="_Toc255802888"/>
      <w:r w:rsidRPr="0016009B">
        <w:rPr>
          <w:rFonts w:ascii="Times New Roman" w:hAnsi="Times New Roman" w:cs="Times New Roman"/>
          <w:color w:val="000080"/>
          <w:sz w:val="24"/>
          <w:szCs w:val="24"/>
          <w:lang w:val="es-CR"/>
        </w:rPr>
        <w:t>Medición de Ingresos y Gastos</w:t>
      </w:r>
      <w:bookmarkEnd w:id="12"/>
    </w:p>
    <w:p w:rsidR="00BC62B7" w:rsidRPr="0019670A" w:rsidRDefault="00BC62B7" w:rsidP="00C82E3B">
      <w:pPr>
        <w:pStyle w:val="TextoparrafosCar"/>
        <w:rPr>
          <w:rFonts w:ascii="Times New Roman" w:hAnsi="Times New Roman"/>
        </w:rPr>
      </w:pPr>
      <w:r w:rsidRPr="0019670A">
        <w:rPr>
          <w:rFonts w:ascii="Times New Roman" w:hAnsi="Times New Roman"/>
        </w:rPr>
        <w:t>La medición de los ingresos se efectúa utilizando el valor razonable de la contrapartida, recibida o por recibir.</w:t>
      </w:r>
    </w:p>
    <w:p w:rsidR="00BC62B7" w:rsidRPr="0019670A" w:rsidRDefault="00BC62B7" w:rsidP="00C82E3B">
      <w:pPr>
        <w:pStyle w:val="TextoparrafosCar"/>
        <w:rPr>
          <w:rFonts w:ascii="Times New Roman" w:hAnsi="Times New Roman"/>
        </w:rPr>
      </w:pPr>
      <w:r w:rsidRPr="0019670A">
        <w:rPr>
          <w:rFonts w:ascii="Times New Roman" w:hAnsi="Times New Roman"/>
        </w:rPr>
        <w:t>Los costos por intereses, se reconocen como gastos del período en que se incurren.</w:t>
      </w:r>
    </w:p>
    <w:p w:rsidR="00BC62B7" w:rsidRDefault="00BC62B7" w:rsidP="00C82E3B">
      <w:pPr>
        <w:pStyle w:val="Ttulo1"/>
        <w:jc w:val="both"/>
        <w:rPr>
          <w:rFonts w:ascii="Times New Roman" w:hAnsi="Times New Roman" w:cs="Times New Roman"/>
          <w:color w:val="000080"/>
          <w:sz w:val="24"/>
          <w:szCs w:val="24"/>
          <w:lang w:val="es-CR"/>
        </w:rPr>
      </w:pPr>
      <w:bookmarkStart w:id="13" w:name="_Toc255802889"/>
      <w:r>
        <w:rPr>
          <w:rFonts w:ascii="Times New Roman" w:hAnsi="Times New Roman" w:cs="Times New Roman"/>
          <w:color w:val="000080"/>
          <w:sz w:val="24"/>
          <w:szCs w:val="24"/>
          <w:lang w:val="es-CR"/>
        </w:rPr>
        <w:t>Selección  y Aplicación de Políticas Contables, Errores y Cambios de criterios en las Estimaciones</w:t>
      </w:r>
      <w:bookmarkEnd w:id="13"/>
    </w:p>
    <w:p w:rsidR="00BC62B7" w:rsidRPr="002D0D32" w:rsidRDefault="00BC62B7" w:rsidP="00C82E3B">
      <w:pPr>
        <w:pStyle w:val="TextoparrafosCar"/>
        <w:rPr>
          <w:rFonts w:ascii="Times New Roman" w:hAnsi="Times New Roman"/>
        </w:rPr>
      </w:pPr>
      <w:r w:rsidRPr="002D0D32">
        <w:rPr>
          <w:rFonts w:ascii="Times New Roman" w:hAnsi="Times New Roman"/>
        </w:rPr>
        <w:t xml:space="preserve">Los cambios por la selección y aplicación de políticas contables y los errores de periodos anteriores se corregirán en forma </w:t>
      </w:r>
      <w:r w:rsidR="004016E1">
        <w:rPr>
          <w:rFonts w:ascii="Times New Roman" w:hAnsi="Times New Roman"/>
        </w:rPr>
        <w:t xml:space="preserve"> </w:t>
      </w:r>
      <w:r w:rsidRPr="002D0D32">
        <w:rPr>
          <w:rFonts w:ascii="Times New Roman" w:hAnsi="Times New Roman"/>
        </w:rPr>
        <w:t>retroactiva utilizando como contrapartida el saldo inicial del Superávit o Déficit acumulados, según corresponda.</w:t>
      </w:r>
    </w:p>
    <w:p w:rsidR="00BC62B7" w:rsidRPr="002D0D32" w:rsidRDefault="00BC62B7" w:rsidP="00C82E3B">
      <w:pPr>
        <w:pStyle w:val="TextoparrafosCar"/>
        <w:rPr>
          <w:rFonts w:ascii="Times New Roman" w:hAnsi="Times New Roman"/>
        </w:rPr>
      </w:pPr>
      <w:r w:rsidRPr="002D0D32">
        <w:rPr>
          <w:rFonts w:ascii="Times New Roman" w:hAnsi="Times New Roman"/>
        </w:rPr>
        <w:t>Los cambios en los criterios o metodologías en que se basan las estimaciones, se reconocen ajustando el valor en libros, mediante un gasto o ingreso según corresponda, utilizando como contrapartida la cuenta complementaria de activo.</w:t>
      </w:r>
    </w:p>
    <w:p w:rsidR="00BC62B7" w:rsidRPr="0019670A" w:rsidRDefault="00BC62B7" w:rsidP="00C82E3B">
      <w:pPr>
        <w:pStyle w:val="Ttulo1"/>
        <w:jc w:val="both"/>
        <w:rPr>
          <w:rFonts w:ascii="Times New Roman" w:hAnsi="Times New Roman" w:cs="Times New Roman"/>
          <w:color w:val="000080"/>
          <w:sz w:val="24"/>
          <w:szCs w:val="24"/>
          <w:lang w:val="es-CR"/>
        </w:rPr>
      </w:pPr>
      <w:bookmarkStart w:id="14" w:name="_Toc255802890"/>
      <w:r w:rsidRPr="0019670A">
        <w:rPr>
          <w:rFonts w:ascii="Times New Roman" w:hAnsi="Times New Roman" w:cs="Times New Roman"/>
          <w:color w:val="000080"/>
          <w:sz w:val="24"/>
          <w:szCs w:val="24"/>
          <w:lang w:val="es-CR"/>
        </w:rPr>
        <w:t>Método de Depreciación</w:t>
      </w:r>
      <w:bookmarkEnd w:id="14"/>
    </w:p>
    <w:p w:rsidR="00BC62B7" w:rsidRDefault="00BC62B7" w:rsidP="00C82E3B">
      <w:pPr>
        <w:pStyle w:val="TextoparrafosCar"/>
        <w:rPr>
          <w:rFonts w:ascii="Times New Roman" w:hAnsi="Times New Roman"/>
        </w:rPr>
      </w:pPr>
      <w:r w:rsidRPr="0019670A">
        <w:rPr>
          <w:rFonts w:ascii="Times New Roman" w:hAnsi="Times New Roman"/>
        </w:rPr>
        <w:t xml:space="preserve">La distribución del importe por depreciación del activo a lo largo de su vida útil, se determina por el Método de Línea Recta y en atención a lo dispuesto en </w:t>
      </w:r>
      <w:smartTag w:uri="urn:schemas-microsoft-com:office:smarttags" w:element="PersonName">
        <w:smartTagPr>
          <w:attr w:name="ProductID" w:val="la Ley"/>
        </w:smartTagPr>
        <w:r w:rsidRPr="0019670A">
          <w:rPr>
            <w:rFonts w:ascii="Times New Roman" w:hAnsi="Times New Roman"/>
          </w:rPr>
          <w:t>la Ley</w:t>
        </w:r>
      </w:smartTag>
      <w:r w:rsidRPr="0019670A">
        <w:rPr>
          <w:rFonts w:ascii="Times New Roman" w:hAnsi="Times New Roman"/>
        </w:rPr>
        <w:t xml:space="preserve"> y Reglamento del Impuesto sobre la Renta.</w:t>
      </w:r>
    </w:p>
    <w:p w:rsidR="00BC62B7" w:rsidRPr="0019670A" w:rsidRDefault="00BC62B7" w:rsidP="00C82E3B">
      <w:pPr>
        <w:pStyle w:val="TextoparrafosCar"/>
        <w:rPr>
          <w:rFonts w:ascii="Times New Roman" w:hAnsi="Times New Roman"/>
        </w:rPr>
      </w:pPr>
      <w:r>
        <w:rPr>
          <w:rFonts w:ascii="Times New Roman" w:hAnsi="Times New Roman"/>
        </w:rPr>
        <w:t>La distribución del importe por depreciación correspondiente a los bienes inmuebles revaluados se aplica directamente al Superávit por Revaluación de Activos.</w:t>
      </w:r>
    </w:p>
    <w:p w:rsidR="00BC62B7" w:rsidRPr="0019670A" w:rsidRDefault="00BC62B7" w:rsidP="00C82E3B">
      <w:pPr>
        <w:pStyle w:val="Ttulo1"/>
        <w:jc w:val="both"/>
        <w:rPr>
          <w:rFonts w:ascii="Times New Roman" w:hAnsi="Times New Roman" w:cs="Times New Roman"/>
          <w:color w:val="000080"/>
          <w:sz w:val="24"/>
          <w:szCs w:val="24"/>
          <w:lang w:val="es-CR"/>
        </w:rPr>
      </w:pPr>
      <w:bookmarkStart w:id="15" w:name="_Toc255802891"/>
      <w:r w:rsidRPr="0019670A">
        <w:rPr>
          <w:rFonts w:ascii="Times New Roman" w:hAnsi="Times New Roman" w:cs="Times New Roman"/>
          <w:color w:val="000080"/>
          <w:sz w:val="24"/>
          <w:szCs w:val="24"/>
          <w:lang w:val="es-CR"/>
        </w:rPr>
        <w:t>Pérdidas por Deterioro de Activos</w:t>
      </w:r>
      <w:bookmarkEnd w:id="15"/>
    </w:p>
    <w:p w:rsidR="00BC62B7" w:rsidRPr="0019670A" w:rsidRDefault="00BC62B7" w:rsidP="00C82E3B">
      <w:pPr>
        <w:pStyle w:val="TextoparrafosCar"/>
        <w:rPr>
          <w:rFonts w:ascii="Times New Roman" w:hAnsi="Times New Roman"/>
        </w:rPr>
      </w:pPr>
      <w:r w:rsidRPr="0019670A">
        <w:rPr>
          <w:rFonts w:ascii="Times New Roman" w:hAnsi="Times New Roman"/>
        </w:rPr>
        <w:t>El importe de las Pérdidas por Deterioro, se determina por la diferencia entre el Valor Recuperable y el Valor en Libros y su aplicación se realiza cuando se da de baja a un activo.</w:t>
      </w:r>
    </w:p>
    <w:p w:rsidR="00BC62B7" w:rsidRDefault="00BC62B7" w:rsidP="00C82E3B">
      <w:pPr>
        <w:pStyle w:val="Ttulo1"/>
        <w:jc w:val="both"/>
        <w:rPr>
          <w:rFonts w:ascii="Times New Roman" w:hAnsi="Times New Roman" w:cs="Times New Roman"/>
          <w:color w:val="000080"/>
          <w:sz w:val="24"/>
          <w:szCs w:val="24"/>
          <w:lang w:val="es-CR"/>
        </w:rPr>
      </w:pPr>
      <w:bookmarkStart w:id="16" w:name="_Toc255802892"/>
      <w:r>
        <w:rPr>
          <w:rFonts w:ascii="Times New Roman" w:hAnsi="Times New Roman" w:cs="Times New Roman"/>
          <w:color w:val="000080"/>
          <w:sz w:val="24"/>
          <w:szCs w:val="24"/>
          <w:lang w:val="es-CR"/>
        </w:rPr>
        <w:t>Activos y Pasivos Financieros</w:t>
      </w:r>
      <w:bookmarkEnd w:id="16"/>
    </w:p>
    <w:p w:rsidR="008F7692" w:rsidRPr="008F7692" w:rsidRDefault="008F7692" w:rsidP="008F7692">
      <w:pPr>
        <w:pStyle w:val="TextoparrafosCar"/>
        <w:rPr>
          <w:rFonts w:ascii="Times New Roman" w:hAnsi="Times New Roman"/>
        </w:rPr>
      </w:pPr>
      <w:r w:rsidRPr="008F7692">
        <w:rPr>
          <w:rFonts w:ascii="Times New Roman" w:hAnsi="Times New Roman"/>
        </w:rPr>
        <w:t xml:space="preserve">Los activos financieros que mantenga el Banco para su negociación, se registran con fecha de contratación, los intereses se contabilizan con el método del primer día y estas inversiones se ajustan diariamente de acuerdo con las condiciones del mercado internacional. Las expectativas de pérdida o ganancia se registran en cuentas </w:t>
      </w:r>
      <w:r w:rsidRPr="008F7692">
        <w:rPr>
          <w:rFonts w:ascii="Times New Roman" w:hAnsi="Times New Roman"/>
        </w:rPr>
        <w:lastRenderedPageBreak/>
        <w:t>patrimoniales hasta el momento en que los activos financieros sean vendidos. Con la realización de estos instrumentos financieros, el efecto por la pérdida o ganancia se registra en resultados.</w:t>
      </w:r>
    </w:p>
    <w:p w:rsidR="008F7692" w:rsidRPr="008F7692" w:rsidRDefault="008F7692" w:rsidP="00CA7477">
      <w:pPr>
        <w:pStyle w:val="TextoparrafosCar"/>
        <w:spacing w:before="240" w:after="120"/>
        <w:rPr>
          <w:rFonts w:ascii="Times New Roman" w:hAnsi="Times New Roman"/>
        </w:rPr>
      </w:pPr>
      <w:r w:rsidRPr="008F7692">
        <w:rPr>
          <w:rFonts w:ascii="Times New Roman" w:hAnsi="Times New Roman"/>
        </w:rPr>
        <w:t>Los pasivos financieros que mantenga el Banco originados en operaciones de Mercado Abierto se registran con fecha de liquidación y los intereses se contabilizan con el método del último día. Los pasivos originados por Deuda Externa se registran con fecha de contratación y los intereses se contabilizan con el método del primer día.</w:t>
      </w:r>
    </w:p>
    <w:p w:rsidR="008F7692" w:rsidRPr="008F7692" w:rsidRDefault="008F7692" w:rsidP="00CA7477">
      <w:pPr>
        <w:pStyle w:val="TextoparrafosCar"/>
        <w:spacing w:before="240" w:after="240"/>
        <w:rPr>
          <w:rFonts w:ascii="Times New Roman" w:hAnsi="Times New Roman"/>
        </w:rPr>
      </w:pPr>
      <w:r w:rsidRPr="008F7692">
        <w:rPr>
          <w:rFonts w:ascii="Times New Roman" w:hAnsi="Times New Roman"/>
        </w:rPr>
        <w:t xml:space="preserve">Los Activos y Pasivos Financieros que no se mantienen para su negociación sino  que se mantienen al vencimiento o cuyo valor razonable no pueden ser medidos en forma fiable, se registran al costo histórico. </w:t>
      </w:r>
    </w:p>
    <w:p w:rsidR="008F7692" w:rsidRPr="008F7692" w:rsidRDefault="008F7692" w:rsidP="008F7692">
      <w:pPr>
        <w:pStyle w:val="TextoparrafosCar"/>
        <w:rPr>
          <w:rFonts w:ascii="Times New Roman" w:hAnsi="Times New Roman"/>
        </w:rPr>
      </w:pPr>
      <w:r w:rsidRPr="008F7692">
        <w:rPr>
          <w:rFonts w:ascii="Times New Roman" w:hAnsi="Times New Roman"/>
        </w:rPr>
        <w:t>Los instrumentos Derivados Financieros que utiliza el BCCR son los contratos a Futuros y Forward, estos se ajustan diariamente al valor razonable y las variaciones de dicho valor razonable se reflejan como pérdida o ganancia en resultados; estos instrumentos se usan como cobertura.</w:t>
      </w:r>
    </w:p>
    <w:p w:rsidR="00BC62B7" w:rsidRPr="0019670A" w:rsidRDefault="00BC62B7" w:rsidP="00C82E3B">
      <w:pPr>
        <w:pStyle w:val="Ttulo1"/>
        <w:jc w:val="both"/>
        <w:rPr>
          <w:rFonts w:ascii="Times New Roman" w:hAnsi="Times New Roman" w:cs="Times New Roman"/>
          <w:color w:val="000080"/>
          <w:sz w:val="24"/>
          <w:szCs w:val="24"/>
          <w:lang w:val="es-CR"/>
        </w:rPr>
      </w:pPr>
      <w:bookmarkStart w:id="17" w:name="_Toc255802893"/>
      <w:r w:rsidRPr="0019670A">
        <w:rPr>
          <w:rFonts w:ascii="Times New Roman" w:hAnsi="Times New Roman" w:cs="Times New Roman"/>
          <w:color w:val="000080"/>
          <w:sz w:val="24"/>
          <w:szCs w:val="24"/>
          <w:lang w:val="es-CR"/>
        </w:rPr>
        <w:t xml:space="preserve">Estimación para </w:t>
      </w:r>
      <w:r>
        <w:rPr>
          <w:rFonts w:ascii="Times New Roman" w:hAnsi="Times New Roman" w:cs="Times New Roman"/>
          <w:color w:val="000080"/>
          <w:sz w:val="24"/>
          <w:szCs w:val="24"/>
          <w:lang w:val="es-CR"/>
        </w:rPr>
        <w:t>I</w:t>
      </w:r>
      <w:r w:rsidRPr="0019670A">
        <w:rPr>
          <w:rFonts w:ascii="Times New Roman" w:hAnsi="Times New Roman" w:cs="Times New Roman"/>
          <w:color w:val="000080"/>
          <w:sz w:val="24"/>
          <w:szCs w:val="24"/>
          <w:lang w:val="es-CR"/>
        </w:rPr>
        <w:t>ncobrables</w:t>
      </w:r>
      <w:bookmarkEnd w:id="17"/>
    </w:p>
    <w:p w:rsidR="00BC62B7" w:rsidRPr="0019670A" w:rsidRDefault="00BC62B7" w:rsidP="00C82E3B">
      <w:pPr>
        <w:pStyle w:val="TextoparrafosCar"/>
        <w:rPr>
          <w:rFonts w:ascii="Times New Roman" w:hAnsi="Times New Roman"/>
        </w:rPr>
      </w:pPr>
      <w:r w:rsidRPr="0019670A">
        <w:rPr>
          <w:rFonts w:ascii="Times New Roman" w:hAnsi="Times New Roman"/>
        </w:rPr>
        <w:t xml:space="preserve">La estimación para incobrables se realiza de acuerdo con los criterios establecidos </w:t>
      </w:r>
      <w:r>
        <w:rPr>
          <w:rFonts w:ascii="Times New Roman" w:hAnsi="Times New Roman"/>
        </w:rPr>
        <w:t xml:space="preserve">para </w:t>
      </w:r>
      <w:r w:rsidRPr="0019670A">
        <w:rPr>
          <w:rFonts w:ascii="Times New Roman" w:hAnsi="Times New Roman"/>
        </w:rPr>
        <w:t>el Registro de las Estimaciones para Incobrables sobre Préstamos e Inversiones del Banco Central de Costa Rica.</w:t>
      </w:r>
    </w:p>
    <w:p w:rsidR="00BC62B7" w:rsidRPr="0019670A" w:rsidRDefault="00BC62B7" w:rsidP="00C82E3B">
      <w:pPr>
        <w:pStyle w:val="Ttulo1"/>
        <w:jc w:val="both"/>
        <w:rPr>
          <w:rFonts w:ascii="Times New Roman" w:hAnsi="Times New Roman" w:cs="Times New Roman"/>
          <w:color w:val="000080"/>
          <w:sz w:val="24"/>
          <w:szCs w:val="24"/>
          <w:lang w:val="es-CR"/>
        </w:rPr>
      </w:pPr>
      <w:bookmarkStart w:id="18" w:name="_Toc255802894"/>
      <w:r w:rsidRPr="0019670A">
        <w:rPr>
          <w:rFonts w:ascii="Times New Roman" w:hAnsi="Times New Roman" w:cs="Times New Roman"/>
          <w:color w:val="000080"/>
          <w:sz w:val="24"/>
          <w:szCs w:val="24"/>
          <w:lang w:val="es-CR"/>
        </w:rPr>
        <w:t>Activos y Pasivos Contingentes</w:t>
      </w:r>
      <w:bookmarkEnd w:id="18"/>
    </w:p>
    <w:p w:rsidR="00BC62B7" w:rsidRPr="0019670A" w:rsidRDefault="00BC62B7" w:rsidP="00C82E3B">
      <w:pPr>
        <w:pStyle w:val="TextoparrafosCar"/>
        <w:rPr>
          <w:rFonts w:ascii="Times New Roman" w:hAnsi="Times New Roman"/>
          <w:lang w:eastAsia="es-CR"/>
        </w:rPr>
      </w:pPr>
      <w:r w:rsidRPr="0019670A">
        <w:rPr>
          <w:rFonts w:ascii="Times New Roman" w:hAnsi="Times New Roman"/>
        </w:rPr>
        <w:t xml:space="preserve">Los Activos y Pasivos Contingentes se </w:t>
      </w:r>
      <w:r w:rsidRPr="0019670A">
        <w:rPr>
          <w:rFonts w:ascii="Times New Roman" w:hAnsi="Times New Roman"/>
          <w:lang w:eastAsia="es-CR"/>
        </w:rPr>
        <w:t xml:space="preserve">reconocen en los Estados Financieros mediante notas </w:t>
      </w:r>
      <w:r w:rsidR="00546AA9">
        <w:rPr>
          <w:rFonts w:ascii="Times New Roman" w:hAnsi="Times New Roman"/>
          <w:lang w:eastAsia="es-CR"/>
        </w:rPr>
        <w:t xml:space="preserve">complementarias </w:t>
      </w:r>
      <w:r w:rsidRPr="0019670A">
        <w:rPr>
          <w:rFonts w:ascii="Times New Roman" w:hAnsi="Times New Roman"/>
          <w:lang w:eastAsia="es-CR"/>
        </w:rPr>
        <w:t>a los Estados Financieros.</w:t>
      </w:r>
    </w:p>
    <w:p w:rsidR="00BC62B7" w:rsidRPr="0019670A" w:rsidRDefault="00BC62B7" w:rsidP="00C82E3B">
      <w:pPr>
        <w:pStyle w:val="TextoparrafosCar"/>
        <w:rPr>
          <w:rFonts w:ascii="Times New Roman" w:hAnsi="Times New Roman"/>
          <w:lang w:eastAsia="es-CR"/>
        </w:rPr>
      </w:pPr>
      <w:r w:rsidRPr="0019670A">
        <w:rPr>
          <w:rFonts w:ascii="Times New Roman" w:hAnsi="Times New Roman"/>
          <w:lang w:eastAsia="es-CR"/>
        </w:rPr>
        <w:t xml:space="preserve">Las provisiones de pasivos, se norman en atención a lo dispuesto en </w:t>
      </w:r>
      <w:smartTag w:uri="urn:schemas-microsoft-com:office:smarttags" w:element="PersonName">
        <w:smartTagPr>
          <w:attr w:name="ProductID" w:val="la Ley Org￡nica"/>
        </w:smartTagPr>
        <w:r w:rsidRPr="0019670A">
          <w:rPr>
            <w:rFonts w:ascii="Times New Roman" w:hAnsi="Times New Roman"/>
            <w:lang w:eastAsia="es-CR"/>
          </w:rPr>
          <w:t>la Ley Orgánica</w:t>
        </w:r>
      </w:smartTag>
      <w:r w:rsidRPr="0019670A">
        <w:rPr>
          <w:rFonts w:ascii="Times New Roman" w:hAnsi="Times New Roman"/>
          <w:lang w:eastAsia="es-CR"/>
        </w:rPr>
        <w:t xml:space="preserve"> del Banco Central en su artículo 8.</w:t>
      </w:r>
    </w:p>
    <w:p w:rsidR="00BC62B7" w:rsidRPr="0019670A" w:rsidRDefault="00BC62B7" w:rsidP="00C82E3B">
      <w:pPr>
        <w:pStyle w:val="Ttulo1"/>
        <w:jc w:val="both"/>
        <w:rPr>
          <w:rFonts w:ascii="Times New Roman" w:hAnsi="Times New Roman" w:cs="Times New Roman"/>
          <w:color w:val="000080"/>
          <w:sz w:val="24"/>
          <w:szCs w:val="24"/>
          <w:lang w:val="es-CR"/>
        </w:rPr>
      </w:pPr>
      <w:bookmarkStart w:id="19" w:name="_Toc255802895"/>
      <w:r w:rsidRPr="0019670A">
        <w:rPr>
          <w:rFonts w:ascii="Times New Roman" w:hAnsi="Times New Roman" w:cs="Times New Roman"/>
          <w:color w:val="000080"/>
          <w:sz w:val="24"/>
          <w:szCs w:val="24"/>
          <w:lang w:val="es-CR"/>
        </w:rPr>
        <w:t>Variaciones en las Tasas de Cambio</w:t>
      </w:r>
      <w:bookmarkEnd w:id="19"/>
      <w:r w:rsidRPr="0019670A">
        <w:rPr>
          <w:rFonts w:ascii="Times New Roman" w:hAnsi="Times New Roman" w:cs="Times New Roman"/>
          <w:color w:val="000080"/>
          <w:sz w:val="24"/>
          <w:szCs w:val="24"/>
          <w:lang w:val="es-CR"/>
        </w:rPr>
        <w:t xml:space="preserve"> </w:t>
      </w:r>
    </w:p>
    <w:p w:rsidR="00BC62B7" w:rsidRPr="0019670A" w:rsidRDefault="004D1F45" w:rsidP="00C82E3B">
      <w:pPr>
        <w:pStyle w:val="TextoparrafosCar"/>
        <w:rPr>
          <w:rFonts w:ascii="Times New Roman" w:hAnsi="Times New Roman"/>
        </w:rPr>
      </w:pPr>
      <w:r>
        <w:rPr>
          <w:rFonts w:ascii="Times New Roman" w:hAnsi="Times New Roman"/>
        </w:rPr>
        <w:t>Se aplica e</w:t>
      </w:r>
      <w:r w:rsidR="00BC62B7" w:rsidRPr="0019670A">
        <w:rPr>
          <w:rFonts w:ascii="Times New Roman" w:hAnsi="Times New Roman"/>
        </w:rPr>
        <w:t xml:space="preserve">n atención a lo dispuesto en la Ley Orgánica del Banco Central, Capítulo I, Sección II, Artículo 11: </w:t>
      </w:r>
    </w:p>
    <w:p w:rsidR="00BC62B7" w:rsidRPr="00E81F8B" w:rsidRDefault="00BC62B7" w:rsidP="00C82E3B">
      <w:pPr>
        <w:pStyle w:val="resaltado-ital"/>
        <w:rPr>
          <w:rFonts w:ascii="Times New Roman" w:hAnsi="Times New Roman"/>
          <w:sz w:val="22"/>
          <w:szCs w:val="22"/>
        </w:rPr>
      </w:pPr>
      <w:r w:rsidRPr="00E81F8B">
        <w:rPr>
          <w:rFonts w:ascii="Times New Roman" w:hAnsi="Times New Roman"/>
          <w:sz w:val="22"/>
          <w:szCs w:val="22"/>
        </w:rPr>
        <w:t xml:space="preserve">“… Las ganancias y las pérdidas que tuviere el Banco Central como resultado de las modificaciones que se efectúen al valor externo de las monedas, serán tomadas en cuenta para el cálculo de las liquidaciones semestrales de ganancias y pérdidas; pero contabilizadas y acumuladas en una cuenta, que se denominará “Cuenta de Revaluaciones Monetarias”, la cual mostrará como saldo el que resulte del conjunto de esas ganancias y pérdidas, consolidadas en esa cuenta. </w:t>
      </w:r>
    </w:p>
    <w:p w:rsidR="00BC62B7" w:rsidRPr="00E81F8B" w:rsidRDefault="00BC62B7" w:rsidP="00C82E3B">
      <w:pPr>
        <w:pStyle w:val="resaltado-ital"/>
        <w:rPr>
          <w:rFonts w:ascii="Times New Roman" w:hAnsi="Times New Roman"/>
          <w:sz w:val="22"/>
          <w:szCs w:val="22"/>
        </w:rPr>
      </w:pPr>
      <w:r w:rsidRPr="00E81F8B">
        <w:rPr>
          <w:rFonts w:ascii="Times New Roman" w:hAnsi="Times New Roman"/>
          <w:sz w:val="22"/>
          <w:szCs w:val="22"/>
        </w:rPr>
        <w:t xml:space="preserve">Si el saldo fuere a favor del Banco, este no podrá disponer de esos recursos para ningún propósito; si resultare un saldo en contra del Banco, </w:t>
      </w:r>
      <w:smartTag w:uri="urn:schemas-microsoft-com:office:smarttags" w:element="PersonName">
        <w:smartTagPr>
          <w:attr w:name="ProductID" w:val="la Junta"/>
        </w:smartTagPr>
        <w:r w:rsidRPr="00E81F8B">
          <w:rPr>
            <w:rFonts w:ascii="Times New Roman" w:hAnsi="Times New Roman"/>
            <w:sz w:val="22"/>
            <w:szCs w:val="22"/>
          </w:rPr>
          <w:t>la Junta</w:t>
        </w:r>
      </w:smartTag>
      <w:r w:rsidRPr="00E81F8B">
        <w:rPr>
          <w:rFonts w:ascii="Times New Roman" w:hAnsi="Times New Roman"/>
          <w:sz w:val="22"/>
          <w:szCs w:val="22"/>
        </w:rPr>
        <w:t xml:space="preserve"> podrá disponer su gradual amortización haciendo uso de las reservas especiales a que se refiere el Artículo 8.</w:t>
      </w:r>
    </w:p>
    <w:p w:rsidR="00BC62B7" w:rsidRPr="00E81F8B" w:rsidRDefault="00BC62B7" w:rsidP="00C82E3B">
      <w:pPr>
        <w:pStyle w:val="resaltado-ital"/>
        <w:rPr>
          <w:rFonts w:ascii="Times New Roman" w:hAnsi="Times New Roman"/>
          <w:sz w:val="22"/>
          <w:szCs w:val="22"/>
        </w:rPr>
      </w:pPr>
      <w:r w:rsidRPr="00E81F8B">
        <w:rPr>
          <w:rFonts w:ascii="Times New Roman" w:hAnsi="Times New Roman"/>
          <w:sz w:val="22"/>
          <w:szCs w:val="22"/>
        </w:rPr>
        <w:lastRenderedPageBreak/>
        <w:t xml:space="preserve">Cada vez que se dé una autorización, se deberá publicar en el Diario Oficial </w:t>
      </w:r>
      <w:smartTag w:uri="urn:schemas-microsoft-com:office:smarttags" w:element="PersonName">
        <w:smartTagPr>
          <w:attr w:name="ProductID" w:val="La Gaceta"/>
        </w:smartTagPr>
        <w:r w:rsidRPr="00E81F8B">
          <w:rPr>
            <w:rFonts w:ascii="Times New Roman" w:hAnsi="Times New Roman"/>
            <w:sz w:val="22"/>
            <w:szCs w:val="22"/>
          </w:rPr>
          <w:t>La Gaceta</w:t>
        </w:r>
      </w:smartTag>
      <w:r w:rsidRPr="00E81F8B">
        <w:rPr>
          <w:rFonts w:ascii="Times New Roman" w:hAnsi="Times New Roman"/>
          <w:sz w:val="22"/>
          <w:szCs w:val="22"/>
        </w:rPr>
        <w:t>…”</w:t>
      </w:r>
    </w:p>
    <w:p w:rsidR="00BC62B7" w:rsidRPr="0019670A" w:rsidRDefault="00BC62B7" w:rsidP="00C82E3B">
      <w:pPr>
        <w:pStyle w:val="Ttulo1"/>
        <w:jc w:val="both"/>
        <w:rPr>
          <w:rFonts w:ascii="Times New Roman" w:hAnsi="Times New Roman" w:cs="Times New Roman"/>
          <w:color w:val="000080"/>
          <w:sz w:val="24"/>
          <w:szCs w:val="24"/>
          <w:lang w:val="es-CR"/>
        </w:rPr>
      </w:pPr>
      <w:bookmarkStart w:id="20" w:name="_Toc255802896"/>
      <w:r w:rsidRPr="0019670A">
        <w:rPr>
          <w:rFonts w:ascii="Times New Roman" w:hAnsi="Times New Roman" w:cs="Times New Roman"/>
          <w:color w:val="000080"/>
          <w:sz w:val="24"/>
          <w:szCs w:val="24"/>
          <w:lang w:val="es-CR"/>
        </w:rPr>
        <w:t>Utilidades</w:t>
      </w:r>
      <w:bookmarkEnd w:id="20"/>
    </w:p>
    <w:p w:rsidR="00BC62B7" w:rsidRPr="0019670A" w:rsidRDefault="00BC62B7" w:rsidP="00C82E3B">
      <w:pPr>
        <w:pStyle w:val="TextoparrafosCar"/>
        <w:rPr>
          <w:rFonts w:ascii="Times New Roman" w:hAnsi="Times New Roman"/>
        </w:rPr>
      </w:pPr>
      <w:r w:rsidRPr="0019670A">
        <w:rPr>
          <w:rFonts w:ascii="Times New Roman" w:hAnsi="Times New Roman"/>
        </w:rPr>
        <w:t xml:space="preserve">En atención a lo dispuesto en </w:t>
      </w:r>
      <w:smartTag w:uri="urn:schemas-microsoft-com:office:smarttags" w:element="PersonName">
        <w:smartTagPr>
          <w:attr w:name="ProductID" w:val="la Ley Org￡nica"/>
        </w:smartTagPr>
        <w:r w:rsidRPr="0019670A">
          <w:rPr>
            <w:rFonts w:ascii="Times New Roman" w:hAnsi="Times New Roman"/>
          </w:rPr>
          <w:t>la Ley Orgánica</w:t>
        </w:r>
      </w:smartTag>
      <w:r w:rsidRPr="0019670A">
        <w:rPr>
          <w:rFonts w:ascii="Times New Roman" w:hAnsi="Times New Roman"/>
        </w:rPr>
        <w:t xml:space="preserve"> del Banco Central, Capítulo I, Sección II, Artículo 10, las utilidades netas del Banco Central se distribuirán de la siguiente manera: </w:t>
      </w:r>
    </w:p>
    <w:p w:rsidR="00BC62B7" w:rsidRPr="0019670A" w:rsidRDefault="00BC62B7" w:rsidP="00A8084E">
      <w:pPr>
        <w:pStyle w:val="listaa"/>
        <w:numPr>
          <w:ilvl w:val="0"/>
          <w:numId w:val="5"/>
        </w:numPr>
        <w:tabs>
          <w:tab w:val="clear" w:pos="360"/>
          <w:tab w:val="num" w:pos="567"/>
        </w:tabs>
        <w:ind w:left="567" w:hanging="283"/>
      </w:pPr>
      <w:r w:rsidRPr="0019670A">
        <w:t>El cincuenta por ciento (50%) para incrementar la reserva legal, mientras esta no haya alcanzado un monto igual al doble de su capital.</w:t>
      </w:r>
    </w:p>
    <w:p w:rsidR="00BC62B7" w:rsidRPr="0019670A" w:rsidRDefault="00BC62B7" w:rsidP="00A8084E">
      <w:pPr>
        <w:pStyle w:val="listaa"/>
        <w:numPr>
          <w:ilvl w:val="0"/>
          <w:numId w:val="5"/>
        </w:numPr>
        <w:tabs>
          <w:tab w:val="clear" w:pos="360"/>
          <w:tab w:val="num" w:pos="567"/>
        </w:tabs>
        <w:ind w:left="567" w:hanging="283"/>
      </w:pPr>
      <w:r w:rsidRPr="0019670A">
        <w:t xml:space="preserve">El veinticinco por ciento (25%) para abonar a </w:t>
      </w:r>
      <w:smartTag w:uri="urn:schemas-microsoft-com:office:smarttags" w:element="PersonName">
        <w:smartTagPr>
          <w:attr w:name="ProductID" w:val="la Cuenta"/>
        </w:smartTagPr>
        <w:r w:rsidRPr="0019670A">
          <w:t>la Cuenta</w:t>
        </w:r>
      </w:smartTag>
      <w:r w:rsidRPr="0019670A">
        <w:t xml:space="preserve"> de amortizaciones de la moneda acuñada.</w:t>
      </w:r>
    </w:p>
    <w:p w:rsidR="00165017" w:rsidRDefault="00BC62B7" w:rsidP="00A8084E">
      <w:pPr>
        <w:pStyle w:val="listaa"/>
        <w:numPr>
          <w:ilvl w:val="0"/>
          <w:numId w:val="5"/>
        </w:numPr>
        <w:tabs>
          <w:tab w:val="clear" w:pos="360"/>
          <w:tab w:val="num" w:pos="567"/>
        </w:tabs>
        <w:ind w:left="567" w:hanging="283"/>
      </w:pPr>
      <w:r>
        <w:t>Y de acuerdo  a la Ley de Asociaciones Cooperativas y creación del Instituto de Fomento Cooperativo</w:t>
      </w:r>
      <w:r w:rsidR="00165017">
        <w:t xml:space="preserve">.  </w:t>
      </w:r>
    </w:p>
    <w:p w:rsidR="00165017" w:rsidRDefault="00A8084E" w:rsidP="00A8084E">
      <w:pPr>
        <w:pStyle w:val="listaa"/>
        <w:numPr>
          <w:ilvl w:val="0"/>
          <w:numId w:val="0"/>
        </w:numPr>
        <w:tabs>
          <w:tab w:val="num" w:pos="567"/>
        </w:tabs>
        <w:ind w:left="567" w:hanging="283"/>
      </w:pPr>
      <w:r>
        <w:tab/>
      </w:r>
      <w:r w:rsidR="00BC62B7">
        <w:t>El diez por ciento (10%)</w:t>
      </w:r>
      <w:r w:rsidR="00BC62B7" w:rsidRPr="0019670A">
        <w:t xml:space="preserve"> para el INFOCOOP en atención a la Ley de Asociaciones Cooperativas y creación del Instituto Nacional de Fomento Cooperativo Nº </w:t>
      </w:r>
      <w:r w:rsidR="00BC62B7">
        <w:t>7841</w:t>
      </w:r>
      <w:r w:rsidR="00BC62B7" w:rsidRPr="0019670A">
        <w:t>, artículo 178, inciso c).</w:t>
      </w:r>
      <w:r w:rsidR="00165017" w:rsidRPr="00165017">
        <w:t xml:space="preserve"> </w:t>
      </w:r>
    </w:p>
    <w:p w:rsidR="00165017" w:rsidRDefault="00165017" w:rsidP="00A8084E">
      <w:pPr>
        <w:pStyle w:val="listaa"/>
        <w:numPr>
          <w:ilvl w:val="0"/>
          <w:numId w:val="5"/>
        </w:numPr>
        <w:tabs>
          <w:tab w:val="clear" w:pos="360"/>
          <w:tab w:val="num" w:pos="567"/>
        </w:tabs>
        <w:ind w:left="567" w:hanging="283"/>
      </w:pPr>
      <w:r w:rsidRPr="0019670A">
        <w:t>El remanente, para amortización de activos, para constitución de otras reservas y para amortización de su propia deuda, con propósitos de saneamiento monetario.</w:t>
      </w:r>
    </w:p>
    <w:p w:rsidR="00BC62B7" w:rsidRPr="00205362" w:rsidRDefault="00BC62B7" w:rsidP="00205362">
      <w:pPr>
        <w:pStyle w:val="Ttulo1"/>
        <w:jc w:val="both"/>
        <w:rPr>
          <w:rFonts w:ascii="Times New Roman" w:hAnsi="Times New Roman" w:cs="Times New Roman"/>
          <w:color w:val="000080"/>
          <w:sz w:val="24"/>
          <w:szCs w:val="24"/>
          <w:lang w:val="es-CR"/>
        </w:rPr>
      </w:pPr>
      <w:bookmarkStart w:id="21" w:name="_Toc255802897"/>
      <w:r w:rsidRPr="00205362">
        <w:rPr>
          <w:rFonts w:ascii="Times New Roman" w:hAnsi="Times New Roman" w:cs="Times New Roman"/>
          <w:color w:val="000080"/>
          <w:sz w:val="24"/>
          <w:szCs w:val="24"/>
          <w:lang w:val="es-CR"/>
        </w:rPr>
        <w:t>Cuentas de Orden</w:t>
      </w:r>
      <w:bookmarkEnd w:id="21"/>
    </w:p>
    <w:p w:rsidR="00BC62B7" w:rsidRDefault="00BC62B7" w:rsidP="00C82E3B">
      <w:pPr>
        <w:pStyle w:val="TextoparrafosCar"/>
        <w:rPr>
          <w:rFonts w:ascii="Times New Roman" w:hAnsi="Times New Roman"/>
        </w:rPr>
      </w:pPr>
      <w:r w:rsidRPr="00EC70B9">
        <w:rPr>
          <w:rFonts w:ascii="Times New Roman" w:hAnsi="Times New Roman"/>
        </w:rPr>
        <w:t>El importe que muestran las cuentas de orden corresponde al control que se efectúa sobre el numerario en poder del Banco Central, la custodia de documentos legales que respaldan las transacciones de carácter financiero para su salvaguarda.</w:t>
      </w:r>
      <w:r>
        <w:rPr>
          <w:rFonts w:ascii="Times New Roman" w:hAnsi="Times New Roman"/>
        </w:rPr>
        <w:t xml:space="preserve"> </w:t>
      </w:r>
      <w:r w:rsidRPr="00EC70B9">
        <w:rPr>
          <w:rFonts w:ascii="Times New Roman" w:hAnsi="Times New Roman"/>
        </w:rPr>
        <w:t>Así como los saldos de capital y productos castigados contablemente de operaciones de créditos, otras cuentas por cobrar e inversiones de acuerdo con las políticas y procedimientos vigentes</w:t>
      </w:r>
      <w:r>
        <w:rPr>
          <w:rFonts w:ascii="Times New Roman" w:hAnsi="Times New Roman"/>
        </w:rPr>
        <w:t xml:space="preserve"> y el Sistema de Anotación de Cuentas (SAC)</w:t>
      </w:r>
      <w:r w:rsidRPr="00EC70B9">
        <w:rPr>
          <w:rFonts w:ascii="Times New Roman" w:hAnsi="Times New Roman"/>
        </w:rPr>
        <w:t>.</w:t>
      </w:r>
    </w:p>
    <w:p w:rsidR="00785A30" w:rsidRDefault="00773B10" w:rsidP="00C82E3B">
      <w:pPr>
        <w:pStyle w:val="Ttulo1"/>
        <w:jc w:val="both"/>
        <w:rPr>
          <w:rFonts w:ascii="Times New Roman" w:hAnsi="Times New Roman" w:cs="Times New Roman"/>
          <w:color w:val="000080"/>
          <w:sz w:val="24"/>
          <w:szCs w:val="24"/>
          <w:lang w:val="es-CR"/>
        </w:rPr>
      </w:pPr>
      <w:r w:rsidRPr="00773B10">
        <w:rPr>
          <w:noProof/>
          <w:szCs w:val="24"/>
          <w:lang w:val="es-ES" w:eastAsia="es-ES"/>
        </w:rPr>
        <w:drawing>
          <wp:inline distT="0" distB="0" distL="0" distR="0">
            <wp:extent cx="5490210" cy="848553"/>
            <wp:effectExtent l="19050" t="0" r="0" b="0"/>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5490210" cy="848553"/>
                    </a:xfrm>
                    <a:prstGeom prst="rect">
                      <a:avLst/>
                    </a:prstGeom>
                    <a:noFill/>
                    <a:ln w="9525">
                      <a:noFill/>
                      <a:miter lim="800000"/>
                      <a:headEnd/>
                      <a:tailEnd/>
                    </a:ln>
                  </pic:spPr>
                </pic:pic>
              </a:graphicData>
            </a:graphic>
          </wp:inline>
        </w:drawing>
      </w:r>
    </w:p>
    <w:p w:rsidR="00BC62B7" w:rsidRPr="0019670A" w:rsidRDefault="00BC62B7" w:rsidP="00C82E3B">
      <w:pPr>
        <w:pStyle w:val="Ttulo1"/>
        <w:jc w:val="both"/>
        <w:rPr>
          <w:rFonts w:ascii="Times New Roman" w:hAnsi="Times New Roman" w:cs="Times New Roman"/>
          <w:color w:val="000080"/>
          <w:sz w:val="24"/>
          <w:szCs w:val="24"/>
          <w:lang w:val="es-CR"/>
        </w:rPr>
      </w:pPr>
      <w:bookmarkStart w:id="22" w:name="_Toc255802898"/>
      <w:r w:rsidRPr="0019670A">
        <w:rPr>
          <w:rFonts w:ascii="Times New Roman" w:hAnsi="Times New Roman" w:cs="Times New Roman"/>
          <w:color w:val="000080"/>
          <w:sz w:val="24"/>
          <w:szCs w:val="24"/>
          <w:lang w:val="es-CR"/>
        </w:rPr>
        <w:t>Revaluación de Activos Inmuebles</w:t>
      </w:r>
      <w:r>
        <w:rPr>
          <w:rFonts w:ascii="Times New Roman" w:hAnsi="Times New Roman" w:cs="Times New Roman"/>
          <w:color w:val="000080"/>
          <w:sz w:val="24"/>
          <w:szCs w:val="24"/>
          <w:lang w:val="es-CR"/>
        </w:rPr>
        <w:t>,</w:t>
      </w:r>
      <w:r w:rsidRPr="0019670A">
        <w:rPr>
          <w:rFonts w:ascii="Times New Roman" w:hAnsi="Times New Roman" w:cs="Times New Roman"/>
          <w:color w:val="000080"/>
          <w:sz w:val="24"/>
          <w:szCs w:val="24"/>
          <w:lang w:val="es-CR"/>
        </w:rPr>
        <w:t xml:space="preserve"> Muebles</w:t>
      </w:r>
      <w:r>
        <w:rPr>
          <w:rFonts w:ascii="Times New Roman" w:hAnsi="Times New Roman" w:cs="Times New Roman"/>
          <w:color w:val="000080"/>
          <w:sz w:val="24"/>
          <w:szCs w:val="24"/>
          <w:lang w:val="es-CR"/>
        </w:rPr>
        <w:t xml:space="preserve"> e Intangibles</w:t>
      </w:r>
      <w:bookmarkEnd w:id="22"/>
    </w:p>
    <w:p w:rsidR="00BC62B7" w:rsidRDefault="00BC62B7" w:rsidP="00C82E3B">
      <w:pPr>
        <w:pStyle w:val="TextoparrafosCar"/>
        <w:rPr>
          <w:rFonts w:ascii="Times New Roman" w:hAnsi="Times New Roman"/>
        </w:rPr>
      </w:pPr>
      <w:r w:rsidRPr="0019670A">
        <w:rPr>
          <w:rFonts w:ascii="Times New Roman" w:hAnsi="Times New Roman"/>
        </w:rPr>
        <w:t xml:space="preserve">La revaluación de los bienes inmuebles, </w:t>
      </w:r>
      <w:r>
        <w:rPr>
          <w:rFonts w:ascii="Times New Roman" w:hAnsi="Times New Roman"/>
        </w:rPr>
        <w:t xml:space="preserve">muebles e intangibles, </w:t>
      </w:r>
      <w:r w:rsidRPr="0019670A">
        <w:rPr>
          <w:rFonts w:ascii="Times New Roman" w:hAnsi="Times New Roman"/>
        </w:rPr>
        <w:t xml:space="preserve">se fundamenta con base en un dictamen efectuado por un perito calificado y se ejecuta sobre los bienes que pertenezcan a la misma clase. </w:t>
      </w:r>
    </w:p>
    <w:p w:rsidR="001F7790" w:rsidRDefault="001F7790" w:rsidP="00205362">
      <w:pPr>
        <w:pStyle w:val="Ttulo1"/>
        <w:jc w:val="both"/>
        <w:rPr>
          <w:rFonts w:ascii="Times New Roman" w:hAnsi="Times New Roman" w:cs="Times New Roman"/>
          <w:color w:val="000080"/>
          <w:sz w:val="24"/>
          <w:szCs w:val="24"/>
          <w:lang w:val="es-CR"/>
        </w:rPr>
      </w:pPr>
    </w:p>
    <w:p w:rsidR="00BC62B7" w:rsidRPr="00205362" w:rsidRDefault="00BC62B7" w:rsidP="00205362">
      <w:pPr>
        <w:pStyle w:val="Ttulo1"/>
        <w:jc w:val="both"/>
        <w:rPr>
          <w:rFonts w:ascii="Times New Roman" w:hAnsi="Times New Roman" w:cs="Times New Roman"/>
          <w:color w:val="000080"/>
          <w:sz w:val="24"/>
          <w:szCs w:val="24"/>
          <w:lang w:val="es-CR"/>
        </w:rPr>
      </w:pPr>
      <w:bookmarkStart w:id="23" w:name="_Toc255802899"/>
      <w:r w:rsidRPr="00205362">
        <w:rPr>
          <w:rFonts w:ascii="Times New Roman" w:hAnsi="Times New Roman" w:cs="Times New Roman"/>
          <w:color w:val="000080"/>
          <w:sz w:val="24"/>
          <w:szCs w:val="24"/>
          <w:lang w:val="es-CR"/>
        </w:rPr>
        <w:t>Impuesto sobre la Renta</w:t>
      </w:r>
      <w:bookmarkEnd w:id="23"/>
      <w:r w:rsidRPr="00205362">
        <w:rPr>
          <w:rFonts w:ascii="Times New Roman" w:hAnsi="Times New Roman" w:cs="Times New Roman"/>
          <w:color w:val="000080"/>
          <w:sz w:val="24"/>
          <w:szCs w:val="24"/>
          <w:lang w:val="es-CR"/>
        </w:rPr>
        <w:t xml:space="preserve"> </w:t>
      </w:r>
    </w:p>
    <w:p w:rsidR="00BC62B7" w:rsidRDefault="00BC62B7" w:rsidP="00205362">
      <w:pPr>
        <w:ind w:left="567"/>
        <w:jc w:val="both"/>
        <w:rPr>
          <w:color w:val="000000"/>
          <w:lang w:val="es-CR"/>
        </w:rPr>
      </w:pPr>
    </w:p>
    <w:p w:rsidR="00BC62B7" w:rsidRDefault="00BC62B7" w:rsidP="00205362">
      <w:pPr>
        <w:jc w:val="both"/>
        <w:rPr>
          <w:color w:val="000000"/>
          <w:lang w:val="es-CR"/>
        </w:rPr>
      </w:pPr>
      <w:r>
        <w:rPr>
          <w:color w:val="000000"/>
          <w:lang w:val="es-CR"/>
        </w:rPr>
        <w:t xml:space="preserve">Se determina según las disposiciones establecidas en </w:t>
      </w:r>
      <w:smartTag w:uri="urn:schemas-microsoft-com:office:smarttags" w:element="PersonName">
        <w:smartTagPr>
          <w:attr w:name="ProductID" w:val="la Ley"/>
        </w:smartTagPr>
        <w:r>
          <w:rPr>
            <w:color w:val="000000"/>
            <w:lang w:val="es-CR"/>
          </w:rPr>
          <w:t>la Ley</w:t>
        </w:r>
      </w:smartTag>
      <w:r>
        <w:rPr>
          <w:color w:val="000000"/>
          <w:lang w:val="es-CR"/>
        </w:rPr>
        <w:t xml:space="preserve"> de Impuesto sobre </w:t>
      </w:r>
      <w:smartTag w:uri="urn:schemas-microsoft-com:office:smarttags" w:element="PersonName">
        <w:smartTagPr>
          <w:attr w:name="ProductID" w:val="la Renta"/>
        </w:smartTagPr>
        <w:r>
          <w:rPr>
            <w:color w:val="000000"/>
            <w:lang w:val="es-CR"/>
          </w:rPr>
          <w:t>la Renta</w:t>
        </w:r>
      </w:smartTag>
      <w:r>
        <w:rPr>
          <w:color w:val="000000"/>
          <w:lang w:val="es-CR"/>
        </w:rPr>
        <w:t xml:space="preserve"> y de acuerdo con esa ley el Banco debe presentar sus declaraciones de impuesto sobre la renta por el período de doce meses que termina el 31 de diciembre de cada año.</w:t>
      </w:r>
    </w:p>
    <w:p w:rsidR="00BC62B7" w:rsidRPr="00CC70BB" w:rsidRDefault="00BC62B7" w:rsidP="00CC70BB">
      <w:pPr>
        <w:pStyle w:val="Ttulo1"/>
        <w:jc w:val="both"/>
        <w:rPr>
          <w:rFonts w:ascii="Times New Roman" w:hAnsi="Times New Roman" w:cs="Times New Roman"/>
          <w:color w:val="000080"/>
          <w:sz w:val="24"/>
          <w:szCs w:val="24"/>
          <w:lang w:val="es-CR"/>
        </w:rPr>
      </w:pPr>
      <w:bookmarkStart w:id="24" w:name="_Toc255802900"/>
      <w:r w:rsidRPr="00CC70BB">
        <w:rPr>
          <w:rFonts w:ascii="Times New Roman" w:hAnsi="Times New Roman" w:cs="Times New Roman"/>
          <w:color w:val="000080"/>
          <w:sz w:val="24"/>
          <w:szCs w:val="24"/>
          <w:lang w:val="es-CR"/>
        </w:rPr>
        <w:t>Prestaciones Legales</w:t>
      </w:r>
      <w:bookmarkEnd w:id="24"/>
      <w:r w:rsidRPr="00CC70BB">
        <w:rPr>
          <w:rFonts w:ascii="Times New Roman" w:hAnsi="Times New Roman" w:cs="Times New Roman"/>
          <w:color w:val="000080"/>
          <w:sz w:val="24"/>
          <w:szCs w:val="24"/>
          <w:lang w:val="es-CR"/>
        </w:rPr>
        <w:t xml:space="preserve"> </w:t>
      </w:r>
    </w:p>
    <w:p w:rsidR="00CC70BB" w:rsidRDefault="00CC70BB" w:rsidP="00205362">
      <w:pPr>
        <w:jc w:val="both"/>
        <w:rPr>
          <w:b/>
          <w:bCs/>
          <w:color w:val="000080"/>
          <w:kern w:val="32"/>
          <w:lang w:val="es-CR"/>
        </w:rPr>
      </w:pPr>
    </w:p>
    <w:p w:rsidR="00BC62B7" w:rsidRDefault="00BC62B7" w:rsidP="00205362">
      <w:pPr>
        <w:jc w:val="both"/>
        <w:rPr>
          <w:lang w:val="es-CR"/>
        </w:rPr>
      </w:pPr>
      <w:r>
        <w:rPr>
          <w:lang w:val="es-CR"/>
        </w:rPr>
        <w:t xml:space="preserve">El cálculo del auxilio de cesantía se realiza en los términos preceptuados en los Artículos No. 29 y No.30 del Código de Trabajo, excepto las situaciones jurídicas consolidadas derivadas del </w:t>
      </w:r>
      <w:r w:rsidR="00F37783">
        <w:rPr>
          <w:lang w:val="es-CR"/>
        </w:rPr>
        <w:t xml:space="preserve">anterior </w:t>
      </w:r>
      <w:r>
        <w:rPr>
          <w:lang w:val="es-CR"/>
        </w:rPr>
        <w:t xml:space="preserve">Convenio de Partes en que se aplicará lo indicado en el Artículo No.98 del Reglamento Autónomo de Servicios del Banco </w:t>
      </w:r>
      <w:r w:rsidRPr="00205362">
        <w:rPr>
          <w:lang w:val="es-CR"/>
        </w:rPr>
        <w:t xml:space="preserve">Central </w:t>
      </w:r>
      <w:r>
        <w:rPr>
          <w:lang w:val="es-CR"/>
        </w:rPr>
        <w:t>de Costa Rica.</w:t>
      </w:r>
    </w:p>
    <w:p w:rsidR="00BC62B7" w:rsidRPr="00205362" w:rsidRDefault="00BC62B7" w:rsidP="00C82E3B">
      <w:pPr>
        <w:jc w:val="both"/>
        <w:rPr>
          <w:lang w:val="es-CR"/>
        </w:rPr>
      </w:pPr>
    </w:p>
    <w:p w:rsidR="00BC62B7" w:rsidRDefault="00BC62B7" w:rsidP="00C82E3B">
      <w:pPr>
        <w:jc w:val="both"/>
        <w:rPr>
          <w:lang w:val="es-ES"/>
        </w:rPr>
      </w:pPr>
    </w:p>
    <w:p w:rsidR="00BC62B7" w:rsidRDefault="00BC62B7" w:rsidP="00C82E3B">
      <w:pPr>
        <w:jc w:val="both"/>
        <w:rPr>
          <w:lang w:val="es-ES"/>
        </w:rPr>
      </w:pPr>
    </w:p>
    <w:p w:rsidR="00BC62B7" w:rsidRDefault="00BC62B7" w:rsidP="00C82E3B">
      <w:pPr>
        <w:jc w:val="both"/>
        <w:rPr>
          <w:lang w:val="es-ES"/>
        </w:rPr>
      </w:pPr>
    </w:p>
    <w:p w:rsidR="00BC62B7" w:rsidRDefault="00BC62B7" w:rsidP="00C82E3B">
      <w:pPr>
        <w:jc w:val="both"/>
        <w:rPr>
          <w:lang w:val="es-ES"/>
        </w:rPr>
      </w:pPr>
    </w:p>
    <w:p w:rsidR="00BC62B7" w:rsidRDefault="00BC62B7" w:rsidP="00C82E3B">
      <w:pPr>
        <w:jc w:val="both"/>
        <w:rPr>
          <w:lang w:val="es-ES"/>
        </w:rPr>
      </w:pPr>
    </w:p>
    <w:p w:rsidR="00BC62B7" w:rsidRDefault="00BC62B7" w:rsidP="00C82E3B">
      <w:pPr>
        <w:jc w:val="both"/>
        <w:rPr>
          <w:lang w:val="es-ES"/>
        </w:rPr>
      </w:pPr>
    </w:p>
    <w:p w:rsidR="00BC62B7" w:rsidRDefault="00BC62B7" w:rsidP="00C82E3B">
      <w:pPr>
        <w:jc w:val="both"/>
        <w:rPr>
          <w:lang w:val="es-ES"/>
        </w:rPr>
      </w:pPr>
    </w:p>
    <w:p w:rsidR="00BC62B7" w:rsidRDefault="00BC62B7" w:rsidP="00C82E3B">
      <w:pPr>
        <w:jc w:val="both"/>
        <w:rPr>
          <w:lang w:val="es-ES"/>
        </w:rPr>
      </w:pPr>
    </w:p>
    <w:p w:rsidR="00BC62B7" w:rsidRDefault="00BC62B7" w:rsidP="00C82E3B">
      <w:pPr>
        <w:jc w:val="both"/>
        <w:rPr>
          <w:lang w:val="es-ES"/>
        </w:rPr>
      </w:pPr>
    </w:p>
    <w:p w:rsidR="00BC62B7" w:rsidRDefault="00BC62B7" w:rsidP="00C82E3B">
      <w:pPr>
        <w:jc w:val="both"/>
        <w:rPr>
          <w:lang w:val="es-ES"/>
        </w:rPr>
      </w:pPr>
    </w:p>
    <w:p w:rsidR="00BC62B7" w:rsidRDefault="00BC62B7" w:rsidP="00C82E3B">
      <w:pPr>
        <w:jc w:val="both"/>
        <w:rPr>
          <w:lang w:val="es-ES"/>
        </w:rPr>
      </w:pPr>
    </w:p>
    <w:p w:rsidR="00803431" w:rsidRDefault="00803431" w:rsidP="00C82E3B">
      <w:pPr>
        <w:jc w:val="both"/>
        <w:rPr>
          <w:lang w:val="es-ES"/>
        </w:rPr>
      </w:pPr>
    </w:p>
    <w:p w:rsidR="00803431" w:rsidRDefault="00803431" w:rsidP="00C82E3B">
      <w:pPr>
        <w:jc w:val="both"/>
        <w:rPr>
          <w:lang w:val="es-ES"/>
        </w:rPr>
      </w:pPr>
    </w:p>
    <w:p w:rsidR="00803431" w:rsidRDefault="00803431" w:rsidP="00C82E3B">
      <w:pPr>
        <w:jc w:val="both"/>
        <w:rPr>
          <w:lang w:val="es-ES"/>
        </w:rPr>
      </w:pPr>
    </w:p>
    <w:p w:rsidR="00803431" w:rsidRDefault="00803431" w:rsidP="00C82E3B">
      <w:pPr>
        <w:jc w:val="both"/>
        <w:rPr>
          <w:lang w:val="es-ES"/>
        </w:rPr>
      </w:pPr>
    </w:p>
    <w:p w:rsidR="00803431" w:rsidRDefault="00803431" w:rsidP="00C82E3B">
      <w:pPr>
        <w:jc w:val="both"/>
        <w:rPr>
          <w:lang w:val="es-ES"/>
        </w:rPr>
      </w:pPr>
    </w:p>
    <w:p w:rsidR="00803431" w:rsidRDefault="00803431" w:rsidP="00C82E3B">
      <w:pPr>
        <w:jc w:val="both"/>
        <w:rPr>
          <w:lang w:val="es-ES"/>
        </w:rPr>
      </w:pPr>
    </w:p>
    <w:p w:rsidR="00803431" w:rsidRDefault="00803431" w:rsidP="00C82E3B">
      <w:pPr>
        <w:jc w:val="both"/>
        <w:rPr>
          <w:lang w:val="es-ES"/>
        </w:rPr>
      </w:pPr>
    </w:p>
    <w:p w:rsidR="00803431" w:rsidRDefault="00803431" w:rsidP="00C82E3B">
      <w:pPr>
        <w:jc w:val="both"/>
        <w:rPr>
          <w:lang w:val="es-ES"/>
        </w:rPr>
      </w:pPr>
    </w:p>
    <w:p w:rsidR="00803431" w:rsidRDefault="00803431" w:rsidP="00C82E3B">
      <w:pPr>
        <w:jc w:val="both"/>
        <w:rPr>
          <w:lang w:val="es-ES"/>
        </w:rPr>
      </w:pPr>
    </w:p>
    <w:p w:rsidR="00803431" w:rsidRDefault="00803431" w:rsidP="00C82E3B">
      <w:pPr>
        <w:jc w:val="both"/>
        <w:rPr>
          <w:lang w:val="es-ES"/>
        </w:rPr>
      </w:pPr>
    </w:p>
    <w:p w:rsidR="00803431" w:rsidRDefault="00803431" w:rsidP="00C82E3B">
      <w:pPr>
        <w:jc w:val="both"/>
        <w:rPr>
          <w:lang w:val="es-ES"/>
        </w:rPr>
      </w:pPr>
    </w:p>
    <w:p w:rsidR="00803431" w:rsidRDefault="00803431" w:rsidP="00C82E3B">
      <w:pPr>
        <w:jc w:val="both"/>
        <w:rPr>
          <w:lang w:val="es-ES"/>
        </w:rPr>
      </w:pPr>
    </w:p>
    <w:p w:rsidR="00803431" w:rsidRDefault="00803431" w:rsidP="00C82E3B">
      <w:pPr>
        <w:jc w:val="both"/>
        <w:rPr>
          <w:lang w:val="es-ES"/>
        </w:rPr>
      </w:pPr>
    </w:p>
    <w:p w:rsidR="00803431" w:rsidRDefault="00803431" w:rsidP="00C82E3B">
      <w:pPr>
        <w:jc w:val="both"/>
        <w:rPr>
          <w:lang w:val="es-ES"/>
        </w:rPr>
      </w:pPr>
    </w:p>
    <w:p w:rsidR="00803431" w:rsidRDefault="00803431" w:rsidP="00C82E3B">
      <w:pPr>
        <w:jc w:val="both"/>
        <w:rPr>
          <w:lang w:val="es-ES"/>
        </w:rPr>
      </w:pPr>
    </w:p>
    <w:p w:rsidR="00803431" w:rsidRDefault="00803431" w:rsidP="00C82E3B">
      <w:pPr>
        <w:jc w:val="both"/>
        <w:rPr>
          <w:lang w:val="es-ES"/>
        </w:rPr>
      </w:pPr>
    </w:p>
    <w:p w:rsidR="00803431" w:rsidRDefault="00803431" w:rsidP="00C82E3B">
      <w:pPr>
        <w:jc w:val="both"/>
        <w:rPr>
          <w:lang w:val="es-ES"/>
        </w:rPr>
      </w:pPr>
    </w:p>
    <w:p w:rsidR="00803431" w:rsidRDefault="00803431" w:rsidP="00C82E3B">
      <w:pPr>
        <w:jc w:val="both"/>
        <w:rPr>
          <w:lang w:val="es-ES"/>
        </w:rPr>
      </w:pPr>
    </w:p>
    <w:p w:rsidR="00803431" w:rsidRDefault="00803431" w:rsidP="00C82E3B">
      <w:pPr>
        <w:jc w:val="both"/>
        <w:rPr>
          <w:lang w:val="es-ES"/>
        </w:rPr>
      </w:pPr>
    </w:p>
    <w:p w:rsidR="004A789C" w:rsidRDefault="004A789C" w:rsidP="00C82E3B">
      <w:pPr>
        <w:jc w:val="both"/>
        <w:rPr>
          <w:lang w:val="es-ES"/>
        </w:rPr>
      </w:pPr>
    </w:p>
    <w:p w:rsidR="004A789C" w:rsidRDefault="004A789C" w:rsidP="00C82E3B">
      <w:pPr>
        <w:jc w:val="both"/>
        <w:rPr>
          <w:lang w:val="es-ES"/>
        </w:rPr>
      </w:pPr>
    </w:p>
    <w:p w:rsidR="004A789C" w:rsidRDefault="004A789C" w:rsidP="00C82E3B">
      <w:pPr>
        <w:jc w:val="both"/>
        <w:rPr>
          <w:lang w:val="es-ES"/>
        </w:rPr>
      </w:pPr>
    </w:p>
    <w:p w:rsidR="001F7790" w:rsidRDefault="001F7790" w:rsidP="00C82E3B">
      <w:pPr>
        <w:jc w:val="both"/>
        <w:rPr>
          <w:lang w:val="es-ES"/>
        </w:rPr>
      </w:pPr>
    </w:p>
    <w:p w:rsidR="001F7790" w:rsidRDefault="001F7790" w:rsidP="00C82E3B">
      <w:pPr>
        <w:jc w:val="both"/>
        <w:rPr>
          <w:lang w:val="es-ES"/>
        </w:rPr>
      </w:pPr>
    </w:p>
    <w:p w:rsidR="001F7790" w:rsidRDefault="001F7790" w:rsidP="00C82E3B">
      <w:pPr>
        <w:jc w:val="both"/>
        <w:rPr>
          <w:lang w:val="es-ES"/>
        </w:rPr>
      </w:pPr>
    </w:p>
    <w:p w:rsidR="001F7790" w:rsidRDefault="001F7790" w:rsidP="00C82E3B">
      <w:pPr>
        <w:jc w:val="both"/>
        <w:rPr>
          <w:lang w:val="es-ES"/>
        </w:rPr>
      </w:pPr>
    </w:p>
    <w:p w:rsidR="001F7790" w:rsidRDefault="001F7790" w:rsidP="00C82E3B">
      <w:pPr>
        <w:jc w:val="both"/>
        <w:rPr>
          <w:lang w:val="es-ES"/>
        </w:rPr>
      </w:pPr>
    </w:p>
    <w:p w:rsidR="004A789C" w:rsidRDefault="004A789C" w:rsidP="00C82E3B">
      <w:pPr>
        <w:jc w:val="both"/>
        <w:rPr>
          <w:lang w:val="es-ES"/>
        </w:rPr>
      </w:pPr>
    </w:p>
    <w:p w:rsidR="00803431" w:rsidRDefault="00803431" w:rsidP="00C82E3B">
      <w:pPr>
        <w:jc w:val="both"/>
        <w:rPr>
          <w:lang w:val="es-ES"/>
        </w:rPr>
      </w:pPr>
    </w:p>
    <w:p w:rsidR="00803431" w:rsidRDefault="00803431" w:rsidP="00C82E3B">
      <w:pPr>
        <w:jc w:val="both"/>
        <w:rPr>
          <w:lang w:val="es-ES"/>
        </w:rPr>
      </w:pPr>
    </w:p>
    <w:p w:rsidR="00BC62B7" w:rsidRDefault="00082551" w:rsidP="00C82E3B">
      <w:pPr>
        <w:pStyle w:val="Portada"/>
        <w:jc w:val="both"/>
        <w:rPr>
          <w:color w:val="333399"/>
        </w:rPr>
      </w:pPr>
      <w:r w:rsidRPr="00082551">
        <w:rPr>
          <w:noProof/>
          <w:lang w:val="es-ES" w:eastAsia="es-ES"/>
        </w:rPr>
        <w:pict>
          <v:line id="_x0000_s1026" style="position:absolute;left:0;text-align:left;z-index:251650048" from="5in,6.5pt" to="5in,158.6pt" strokecolor="navy"/>
        </w:pict>
      </w:r>
    </w:p>
    <w:p w:rsidR="00BC62B7" w:rsidRDefault="00BC62B7" w:rsidP="007B5A7B">
      <w:pPr>
        <w:pStyle w:val="Portada"/>
        <w:rPr>
          <w:color w:val="333399"/>
        </w:rPr>
      </w:pPr>
    </w:p>
    <w:p w:rsidR="00BC62B7" w:rsidRDefault="00BC62B7" w:rsidP="007B5A7B">
      <w:pPr>
        <w:pStyle w:val="Portada"/>
        <w:rPr>
          <w:color w:val="333399"/>
        </w:rPr>
      </w:pPr>
    </w:p>
    <w:p w:rsidR="00BC62B7" w:rsidRPr="002C2DFE" w:rsidRDefault="00BC62B7" w:rsidP="00E81F8B">
      <w:pPr>
        <w:pStyle w:val="Portada"/>
        <w:jc w:val="center"/>
        <w:rPr>
          <w:color w:val="333399"/>
        </w:rPr>
      </w:pPr>
      <w:r>
        <w:rPr>
          <w:color w:val="333399"/>
        </w:rPr>
        <w:t>BALANCE  G</w:t>
      </w:r>
      <w:r w:rsidRPr="002C2DFE">
        <w:rPr>
          <w:color w:val="333399"/>
        </w:rPr>
        <w:t>ENERAL</w:t>
      </w:r>
    </w:p>
    <w:p w:rsidR="00BC62B7" w:rsidRDefault="00BC62B7" w:rsidP="00E81F8B">
      <w:pPr>
        <w:pStyle w:val="Portada"/>
        <w:jc w:val="center"/>
        <w:rPr>
          <w:color w:val="333399"/>
        </w:rPr>
      </w:pPr>
      <w:r w:rsidRPr="002C2DFE">
        <w:rPr>
          <w:color w:val="333399"/>
        </w:rPr>
        <w:t>ESTADO DE CAMBIOS EN EL</w:t>
      </w:r>
    </w:p>
    <w:p w:rsidR="00BC62B7" w:rsidRDefault="00BC62B7" w:rsidP="00E81F8B">
      <w:pPr>
        <w:pStyle w:val="Portada"/>
        <w:jc w:val="center"/>
        <w:rPr>
          <w:color w:val="333399"/>
        </w:rPr>
      </w:pPr>
      <w:r w:rsidRPr="002C2DFE">
        <w:rPr>
          <w:color w:val="333399"/>
        </w:rPr>
        <w:t>PATRIMONIO NETO</w:t>
      </w:r>
    </w:p>
    <w:p w:rsidR="00BC62B7" w:rsidRDefault="00082551" w:rsidP="00E81F8B">
      <w:pPr>
        <w:pStyle w:val="Portada"/>
        <w:jc w:val="center"/>
        <w:rPr>
          <w:color w:val="333399"/>
        </w:rPr>
      </w:pPr>
      <w:r w:rsidRPr="00082551">
        <w:rPr>
          <w:noProof/>
          <w:lang w:val="es-ES" w:eastAsia="es-ES"/>
        </w:rPr>
        <w:pict>
          <v:line id="_x0000_s1027" style="position:absolute;left:0;text-align:left;flip:x y;z-index:251651072" from="114.75pt,2.9pt" to="375.75pt,2.9pt" strokecolor="navy"/>
        </w:pict>
      </w:r>
    </w:p>
    <w:p w:rsidR="00BC62B7" w:rsidRDefault="00BC62B7" w:rsidP="007B5A7B">
      <w:pPr>
        <w:pStyle w:val="Portada"/>
        <w:rPr>
          <w:color w:val="333399"/>
        </w:rPr>
      </w:pPr>
    </w:p>
    <w:p w:rsidR="00BC62B7" w:rsidRDefault="00BC62B7" w:rsidP="007B5A7B">
      <w:pPr>
        <w:pStyle w:val="Portada"/>
        <w:rPr>
          <w:color w:val="333399"/>
        </w:rPr>
      </w:pPr>
    </w:p>
    <w:p w:rsidR="00BC62B7" w:rsidRDefault="00BC62B7" w:rsidP="007B5A7B">
      <w:pPr>
        <w:pStyle w:val="Portada"/>
        <w:rPr>
          <w:color w:val="333399"/>
        </w:rPr>
      </w:pPr>
    </w:p>
    <w:p w:rsidR="00BC62B7" w:rsidRDefault="00BC62B7" w:rsidP="007B5A7B">
      <w:pPr>
        <w:pStyle w:val="Portada"/>
        <w:rPr>
          <w:color w:val="333399"/>
        </w:rPr>
      </w:pPr>
    </w:p>
    <w:p w:rsidR="00A54418" w:rsidRDefault="00A54418" w:rsidP="007B5A7B">
      <w:pPr>
        <w:pStyle w:val="Portada"/>
        <w:rPr>
          <w:color w:val="333399"/>
        </w:rPr>
      </w:pPr>
    </w:p>
    <w:p w:rsidR="00BC62B7" w:rsidRDefault="00BC62B7" w:rsidP="007B5A7B">
      <w:pPr>
        <w:pStyle w:val="Portada"/>
        <w:rPr>
          <w:color w:val="333399"/>
        </w:rPr>
      </w:pPr>
    </w:p>
    <w:p w:rsidR="00BC62B7" w:rsidRPr="002C2DFE" w:rsidRDefault="00BC62B7" w:rsidP="00C82E3B">
      <w:pPr>
        <w:pStyle w:val="Portada"/>
        <w:jc w:val="both"/>
        <w:rPr>
          <w:color w:val="333399"/>
        </w:rPr>
      </w:pPr>
    </w:p>
    <w:p w:rsidR="00BC62B7" w:rsidRDefault="00BC62B7" w:rsidP="00C82E3B">
      <w:pPr>
        <w:jc w:val="both"/>
        <w:rPr>
          <w:lang w:val="es-CR"/>
        </w:rPr>
      </w:pPr>
    </w:p>
    <w:p w:rsidR="00BC62B7" w:rsidRDefault="00BC62B7" w:rsidP="00C82E3B">
      <w:pPr>
        <w:jc w:val="both"/>
        <w:rPr>
          <w:lang w:val="es-CR"/>
        </w:rPr>
      </w:pPr>
    </w:p>
    <w:p w:rsidR="00BC62B7" w:rsidRDefault="00BC62B7" w:rsidP="00C82E3B">
      <w:pPr>
        <w:jc w:val="both"/>
        <w:rPr>
          <w:lang w:val="es-CR"/>
        </w:rPr>
      </w:pPr>
    </w:p>
    <w:p w:rsidR="00BC62B7" w:rsidRDefault="00BC62B7" w:rsidP="00C82E3B">
      <w:pPr>
        <w:jc w:val="both"/>
        <w:rPr>
          <w:lang w:val="es-CR"/>
        </w:rPr>
      </w:pPr>
    </w:p>
    <w:p w:rsidR="00BC62B7" w:rsidRDefault="00BC62B7" w:rsidP="00C82E3B">
      <w:pPr>
        <w:jc w:val="both"/>
        <w:rPr>
          <w:lang w:val="es-CR"/>
        </w:rPr>
      </w:pPr>
    </w:p>
    <w:p w:rsidR="00BC62B7" w:rsidRDefault="00BC62B7" w:rsidP="00C82E3B">
      <w:pPr>
        <w:jc w:val="both"/>
        <w:rPr>
          <w:lang w:val="es-CR"/>
        </w:rPr>
      </w:pPr>
    </w:p>
    <w:p w:rsidR="00BC62B7" w:rsidRDefault="00BC62B7" w:rsidP="00C82E3B">
      <w:pPr>
        <w:jc w:val="both"/>
        <w:rPr>
          <w:lang w:val="es-CR"/>
        </w:rPr>
      </w:pPr>
    </w:p>
    <w:p w:rsidR="00BC62B7" w:rsidRDefault="00BC62B7" w:rsidP="00C82E3B">
      <w:pPr>
        <w:jc w:val="both"/>
        <w:rPr>
          <w:lang w:val="es-CR"/>
        </w:rPr>
      </w:pPr>
    </w:p>
    <w:p w:rsidR="00BC62B7" w:rsidRDefault="00BC62B7" w:rsidP="00C82E3B">
      <w:pPr>
        <w:jc w:val="both"/>
        <w:rPr>
          <w:lang w:val="es-CR"/>
        </w:rPr>
      </w:pPr>
    </w:p>
    <w:p w:rsidR="00BC62B7" w:rsidRDefault="00BC62B7" w:rsidP="00C82E3B">
      <w:pPr>
        <w:jc w:val="both"/>
        <w:rPr>
          <w:lang w:val="es-CR"/>
        </w:rPr>
      </w:pPr>
    </w:p>
    <w:p w:rsidR="00BC62B7" w:rsidRDefault="00BC62B7" w:rsidP="00C82E3B">
      <w:pPr>
        <w:jc w:val="both"/>
        <w:rPr>
          <w:lang w:val="es-CR"/>
        </w:rPr>
      </w:pPr>
    </w:p>
    <w:p w:rsidR="00BC62B7" w:rsidRDefault="00BC62B7" w:rsidP="00C82E3B">
      <w:pPr>
        <w:jc w:val="both"/>
        <w:rPr>
          <w:lang w:val="es-CR"/>
        </w:rPr>
      </w:pPr>
    </w:p>
    <w:p w:rsidR="00BC62B7" w:rsidRDefault="00BC62B7" w:rsidP="00C82E3B">
      <w:pPr>
        <w:jc w:val="both"/>
        <w:rPr>
          <w:lang w:val="es-CR"/>
        </w:rPr>
      </w:pPr>
    </w:p>
    <w:p w:rsidR="00BC62B7" w:rsidRDefault="00BC62B7" w:rsidP="00C82E3B">
      <w:pPr>
        <w:jc w:val="both"/>
        <w:rPr>
          <w:lang w:val="es-CR"/>
        </w:rPr>
      </w:pPr>
    </w:p>
    <w:p w:rsidR="00BC62B7" w:rsidRDefault="00BC62B7" w:rsidP="00C82E3B">
      <w:pPr>
        <w:jc w:val="both"/>
        <w:rPr>
          <w:lang w:val="es-CR"/>
        </w:rPr>
      </w:pPr>
    </w:p>
    <w:p w:rsidR="001563DF" w:rsidRDefault="001563DF" w:rsidP="00C82E3B">
      <w:pPr>
        <w:jc w:val="both"/>
        <w:rPr>
          <w:lang w:val="es-CR"/>
        </w:rPr>
      </w:pPr>
    </w:p>
    <w:p w:rsidR="001563DF" w:rsidRDefault="001563DF" w:rsidP="00C82E3B">
      <w:pPr>
        <w:jc w:val="both"/>
        <w:rPr>
          <w:lang w:val="es-CR"/>
        </w:rPr>
      </w:pPr>
    </w:p>
    <w:p w:rsidR="001563DF" w:rsidRDefault="001563DF" w:rsidP="00C82E3B">
      <w:pPr>
        <w:jc w:val="both"/>
        <w:rPr>
          <w:lang w:val="es-CR"/>
        </w:rPr>
      </w:pPr>
    </w:p>
    <w:p w:rsidR="00BC62B7" w:rsidRDefault="00BC62B7" w:rsidP="00C82E3B">
      <w:pPr>
        <w:jc w:val="both"/>
        <w:rPr>
          <w:lang w:val="es-CR"/>
        </w:rPr>
      </w:pPr>
    </w:p>
    <w:p w:rsidR="00BC62B7" w:rsidRDefault="00BC62B7" w:rsidP="00C82E3B">
      <w:pPr>
        <w:jc w:val="both"/>
        <w:rPr>
          <w:lang w:val="es-CR"/>
        </w:rPr>
      </w:pPr>
    </w:p>
    <w:p w:rsidR="00BC62B7" w:rsidRDefault="00BC62B7" w:rsidP="00C82E3B">
      <w:pPr>
        <w:jc w:val="both"/>
        <w:rPr>
          <w:lang w:val="es-CR"/>
        </w:rPr>
      </w:pPr>
    </w:p>
    <w:p w:rsidR="004A789C" w:rsidRDefault="004A789C" w:rsidP="00C82E3B">
      <w:pPr>
        <w:jc w:val="both"/>
        <w:rPr>
          <w:lang w:val="es-CR"/>
        </w:rPr>
      </w:pPr>
    </w:p>
    <w:p w:rsidR="004A789C" w:rsidRDefault="004A789C" w:rsidP="00C82E3B">
      <w:pPr>
        <w:jc w:val="both"/>
        <w:rPr>
          <w:lang w:val="es-CR"/>
        </w:rPr>
      </w:pPr>
    </w:p>
    <w:p w:rsidR="00BC62B7" w:rsidRDefault="00082551" w:rsidP="00C82E3B">
      <w:pPr>
        <w:jc w:val="both"/>
        <w:rPr>
          <w:lang w:val="es-CR"/>
        </w:rPr>
      </w:pPr>
      <w:r>
        <w:rPr>
          <w:noProof/>
          <w:lang w:val="es-ES" w:eastAsia="es-ES"/>
        </w:rPr>
        <w:pict>
          <v:line id="_x0000_s1030" style="position:absolute;left:0;text-align:left;z-index:251654144" from="405pt,9.6pt" to="405pt,176.5pt" strokecolor="navy"/>
        </w:pict>
      </w:r>
    </w:p>
    <w:p w:rsidR="00BC62B7" w:rsidRDefault="00082551" w:rsidP="00C82E3B">
      <w:pPr>
        <w:jc w:val="both"/>
        <w:rPr>
          <w:lang w:val="es-CR"/>
        </w:rPr>
      </w:pPr>
      <w:r>
        <w:rPr>
          <w:noProof/>
          <w:lang w:val="es-ES" w:eastAsia="es-ES"/>
        </w:rPr>
        <w:pict>
          <v:shape id="_x0000_s1028" type="#_x0000_t202" style="position:absolute;left:0;text-align:left;margin-left:141pt;margin-top:0;width:258pt;height:178.75pt;z-index:251652096" filled="f" stroked="f">
            <v:textbox style="mso-next-textbox:#_x0000_s1028">
              <w:txbxContent>
                <w:p w:rsidR="002B60AB" w:rsidRDefault="002B60AB" w:rsidP="00372D24">
                  <w:pPr>
                    <w:pStyle w:val="Portada"/>
                  </w:pPr>
                </w:p>
                <w:p w:rsidR="002B60AB" w:rsidRDefault="002B60AB" w:rsidP="00372D24">
                  <w:pPr>
                    <w:pStyle w:val="Portada"/>
                    <w:rPr>
                      <w:color w:val="333399"/>
                    </w:rPr>
                  </w:pPr>
                  <w:r w:rsidRPr="00B87817">
                    <w:rPr>
                      <w:color w:val="333399"/>
                    </w:rPr>
                    <w:t>NOTAS COMPLEMENTARIAS</w:t>
                  </w:r>
                  <w:r>
                    <w:rPr>
                      <w:color w:val="333399"/>
                    </w:rPr>
                    <w:t xml:space="preserve"> AL</w:t>
                  </w:r>
                </w:p>
                <w:p w:rsidR="002B60AB" w:rsidRPr="00B87817" w:rsidRDefault="002B60AB" w:rsidP="00372D24">
                  <w:pPr>
                    <w:pStyle w:val="Portada"/>
                    <w:rPr>
                      <w:color w:val="333399"/>
                    </w:rPr>
                  </w:pPr>
                  <w:r>
                    <w:rPr>
                      <w:color w:val="333399"/>
                    </w:rPr>
                    <w:t>BALANCE GENERAL</w:t>
                  </w:r>
                  <w:r w:rsidRPr="00B87817">
                    <w:rPr>
                      <w:color w:val="333399"/>
                    </w:rPr>
                    <w:t xml:space="preserve"> </w:t>
                  </w:r>
                </w:p>
              </w:txbxContent>
            </v:textbox>
          </v:shape>
        </w:pict>
      </w:r>
    </w:p>
    <w:p w:rsidR="00BC62B7" w:rsidRDefault="00BC62B7" w:rsidP="00C82E3B">
      <w:pPr>
        <w:jc w:val="both"/>
        <w:rPr>
          <w:lang w:val="es-CR"/>
        </w:rPr>
      </w:pPr>
    </w:p>
    <w:p w:rsidR="00BC62B7" w:rsidRDefault="00BC62B7" w:rsidP="00C82E3B">
      <w:pPr>
        <w:jc w:val="both"/>
        <w:rPr>
          <w:lang w:val="es-CR"/>
        </w:rPr>
      </w:pPr>
    </w:p>
    <w:p w:rsidR="00BC62B7" w:rsidRDefault="00BC62B7" w:rsidP="00C82E3B">
      <w:pPr>
        <w:jc w:val="both"/>
        <w:rPr>
          <w:lang w:val="es-CR"/>
        </w:rPr>
      </w:pPr>
    </w:p>
    <w:p w:rsidR="00BC62B7" w:rsidRDefault="00BC62B7" w:rsidP="00C82E3B">
      <w:pPr>
        <w:jc w:val="both"/>
        <w:rPr>
          <w:lang w:val="es-CR"/>
        </w:rPr>
      </w:pPr>
    </w:p>
    <w:p w:rsidR="00BC62B7" w:rsidRDefault="00BC62B7" w:rsidP="00C82E3B">
      <w:pPr>
        <w:jc w:val="both"/>
        <w:rPr>
          <w:lang w:val="es-CR"/>
        </w:rPr>
      </w:pPr>
    </w:p>
    <w:p w:rsidR="00BC62B7" w:rsidRDefault="00BC62B7" w:rsidP="00C82E3B">
      <w:pPr>
        <w:jc w:val="both"/>
        <w:rPr>
          <w:lang w:val="es-CR"/>
        </w:rPr>
      </w:pPr>
    </w:p>
    <w:p w:rsidR="00BC62B7" w:rsidRDefault="00BC62B7" w:rsidP="00C82E3B">
      <w:pPr>
        <w:jc w:val="both"/>
        <w:rPr>
          <w:lang w:val="es-CR"/>
        </w:rPr>
      </w:pPr>
    </w:p>
    <w:p w:rsidR="00BC62B7" w:rsidRDefault="00082551" w:rsidP="00C82E3B">
      <w:pPr>
        <w:jc w:val="both"/>
        <w:rPr>
          <w:lang w:val="es-CR"/>
        </w:rPr>
      </w:pPr>
      <w:r>
        <w:rPr>
          <w:noProof/>
          <w:lang w:val="es-ES" w:eastAsia="es-ES"/>
        </w:rPr>
        <w:pict>
          <v:line id="_x0000_s1029" style="position:absolute;left:0;text-align:left;z-index:251653120" from="153pt,6.65pt" to="6in,6.65pt" strokecolor="navy"/>
        </w:pict>
      </w:r>
    </w:p>
    <w:p w:rsidR="00BC62B7" w:rsidRDefault="00BC62B7" w:rsidP="00C82E3B">
      <w:pPr>
        <w:jc w:val="both"/>
        <w:rPr>
          <w:lang w:val="es-CR"/>
        </w:rPr>
      </w:pPr>
    </w:p>
    <w:p w:rsidR="00BC62B7" w:rsidRDefault="00BC62B7" w:rsidP="00C82E3B">
      <w:pPr>
        <w:jc w:val="both"/>
        <w:rPr>
          <w:lang w:val="es-CR"/>
        </w:rPr>
      </w:pPr>
    </w:p>
    <w:p w:rsidR="00BC62B7" w:rsidRDefault="00BC62B7" w:rsidP="00C82E3B">
      <w:pPr>
        <w:jc w:val="both"/>
        <w:rPr>
          <w:lang w:val="es-CR"/>
        </w:rPr>
      </w:pPr>
    </w:p>
    <w:p w:rsidR="00BC62B7" w:rsidRDefault="00BC62B7" w:rsidP="00C82E3B">
      <w:pPr>
        <w:jc w:val="both"/>
        <w:rPr>
          <w:lang w:val="es-CR"/>
        </w:rPr>
      </w:pPr>
    </w:p>
    <w:p w:rsidR="00BC62B7" w:rsidRDefault="00BC62B7" w:rsidP="00C82E3B">
      <w:pPr>
        <w:jc w:val="both"/>
        <w:rPr>
          <w:lang w:val="es-CR"/>
        </w:rPr>
      </w:pPr>
    </w:p>
    <w:p w:rsidR="00BC62B7" w:rsidRDefault="00BC62B7" w:rsidP="00C82E3B">
      <w:pPr>
        <w:jc w:val="both"/>
        <w:rPr>
          <w:lang w:val="es-CR"/>
        </w:rPr>
      </w:pPr>
    </w:p>
    <w:p w:rsidR="00BC62B7" w:rsidRDefault="00BC62B7" w:rsidP="00C82E3B">
      <w:pPr>
        <w:jc w:val="both"/>
        <w:rPr>
          <w:lang w:val="es-CR"/>
        </w:rPr>
      </w:pPr>
    </w:p>
    <w:p w:rsidR="008D3015" w:rsidRDefault="008D3015">
      <w:pPr>
        <w:rPr>
          <w:b/>
          <w:bCs/>
          <w:color w:val="000080"/>
          <w:kern w:val="32"/>
          <w:sz w:val="28"/>
          <w:szCs w:val="28"/>
          <w:lang w:val="es-CR"/>
        </w:rPr>
      </w:pPr>
      <w:bookmarkStart w:id="25" w:name="_Toc125772475"/>
      <w:r>
        <w:rPr>
          <w:color w:val="000080"/>
          <w:sz w:val="28"/>
          <w:szCs w:val="28"/>
          <w:lang w:val="es-CR"/>
        </w:rPr>
        <w:br w:type="page"/>
      </w:r>
    </w:p>
    <w:p w:rsidR="00BC62B7" w:rsidRPr="0019670A" w:rsidRDefault="00BC62B7" w:rsidP="002826C8">
      <w:pPr>
        <w:pStyle w:val="Ttulo1"/>
        <w:jc w:val="both"/>
        <w:rPr>
          <w:rFonts w:ascii="Times New Roman" w:hAnsi="Times New Roman" w:cs="Times New Roman"/>
          <w:color w:val="000080"/>
          <w:sz w:val="28"/>
          <w:szCs w:val="28"/>
          <w:lang w:val="es-CR"/>
        </w:rPr>
      </w:pPr>
      <w:bookmarkStart w:id="26" w:name="_Toc255802901"/>
      <w:r w:rsidRPr="0019670A">
        <w:rPr>
          <w:rFonts w:ascii="Times New Roman" w:hAnsi="Times New Roman" w:cs="Times New Roman"/>
          <w:color w:val="000080"/>
          <w:sz w:val="28"/>
          <w:szCs w:val="28"/>
          <w:lang w:val="es-CR"/>
        </w:rPr>
        <w:lastRenderedPageBreak/>
        <w:t xml:space="preserve">NOTAS COMPLEMENTARIAS PARA LAS PARTIDAS PRESENTADAS EN </w:t>
      </w:r>
      <w:r>
        <w:rPr>
          <w:rFonts w:ascii="Times New Roman" w:hAnsi="Times New Roman" w:cs="Times New Roman"/>
          <w:color w:val="000080"/>
          <w:sz w:val="28"/>
          <w:szCs w:val="28"/>
          <w:lang w:val="es-CR"/>
        </w:rPr>
        <w:t>E</w:t>
      </w:r>
      <w:r w:rsidRPr="0019670A">
        <w:rPr>
          <w:rFonts w:ascii="Times New Roman" w:hAnsi="Times New Roman" w:cs="Times New Roman"/>
          <w:color w:val="000080"/>
          <w:sz w:val="28"/>
          <w:szCs w:val="28"/>
          <w:lang w:val="es-CR"/>
        </w:rPr>
        <w:t xml:space="preserve">L </w:t>
      </w:r>
      <w:r>
        <w:rPr>
          <w:rFonts w:ascii="Times New Roman" w:hAnsi="Times New Roman" w:cs="Times New Roman"/>
          <w:color w:val="000080"/>
          <w:sz w:val="28"/>
          <w:szCs w:val="28"/>
          <w:lang w:val="es-CR"/>
        </w:rPr>
        <w:t>BALANCE GENERAL</w:t>
      </w:r>
      <w:r w:rsidRPr="0019670A">
        <w:rPr>
          <w:rFonts w:ascii="Times New Roman" w:hAnsi="Times New Roman" w:cs="Times New Roman"/>
          <w:color w:val="000080"/>
          <w:sz w:val="28"/>
          <w:szCs w:val="28"/>
          <w:lang w:val="es-CR"/>
        </w:rPr>
        <w:t xml:space="preserve"> </w:t>
      </w:r>
      <w:r>
        <w:rPr>
          <w:rFonts w:ascii="Times New Roman" w:hAnsi="Times New Roman" w:cs="Times New Roman"/>
          <w:color w:val="000080"/>
          <w:sz w:val="28"/>
          <w:szCs w:val="28"/>
          <w:lang w:val="es-CR"/>
        </w:rPr>
        <w:t>Y E</w:t>
      </w:r>
      <w:r w:rsidRPr="001C0377">
        <w:rPr>
          <w:rFonts w:ascii="Times New Roman" w:hAnsi="Times New Roman" w:cs="Times New Roman"/>
          <w:color w:val="000080"/>
          <w:sz w:val="28"/>
          <w:szCs w:val="28"/>
          <w:lang w:val="es-CR"/>
        </w:rPr>
        <w:t xml:space="preserve">L ESTADO DE CAMBIOS EN EL   PATRIMONIO NETO </w:t>
      </w:r>
      <w:r w:rsidRPr="0019670A">
        <w:rPr>
          <w:rFonts w:ascii="Times New Roman" w:hAnsi="Times New Roman" w:cs="Times New Roman"/>
          <w:color w:val="000080"/>
          <w:sz w:val="28"/>
          <w:szCs w:val="28"/>
          <w:lang w:val="es-CR"/>
        </w:rPr>
        <w:t>(NOTAS A LOS ESTADOS FINANCIEROS)</w:t>
      </w:r>
      <w:bookmarkEnd w:id="25"/>
      <w:bookmarkEnd w:id="26"/>
    </w:p>
    <w:p w:rsidR="00A60C20" w:rsidRDefault="00A60C20" w:rsidP="009520F0">
      <w:pPr>
        <w:pStyle w:val="Ttulo1"/>
        <w:spacing w:before="120"/>
        <w:jc w:val="both"/>
        <w:rPr>
          <w:rFonts w:ascii="Times New Roman" w:hAnsi="Times New Roman" w:cs="Times New Roman"/>
          <w:color w:val="000080"/>
          <w:sz w:val="24"/>
          <w:szCs w:val="24"/>
          <w:lang w:val="es-CR"/>
        </w:rPr>
      </w:pPr>
    </w:p>
    <w:p w:rsidR="00BC62B7" w:rsidRPr="0019670A" w:rsidRDefault="00BC62B7" w:rsidP="009520F0">
      <w:pPr>
        <w:pStyle w:val="Ttulo1"/>
        <w:spacing w:before="120"/>
        <w:jc w:val="both"/>
        <w:rPr>
          <w:rFonts w:ascii="Times New Roman" w:hAnsi="Times New Roman" w:cs="Times New Roman"/>
          <w:color w:val="000080"/>
          <w:sz w:val="24"/>
          <w:szCs w:val="24"/>
          <w:lang w:val="es-CR"/>
        </w:rPr>
      </w:pPr>
      <w:bookmarkStart w:id="27" w:name="_Toc255802902"/>
      <w:r w:rsidRPr="0019670A">
        <w:rPr>
          <w:rFonts w:ascii="Times New Roman" w:hAnsi="Times New Roman" w:cs="Times New Roman"/>
          <w:color w:val="000080"/>
          <w:sz w:val="24"/>
          <w:szCs w:val="24"/>
          <w:lang w:val="es-CR"/>
        </w:rPr>
        <w:t>Nota 1:   Disponibilidades</w:t>
      </w:r>
      <w:bookmarkEnd w:id="27"/>
      <w:r w:rsidRPr="0019670A">
        <w:rPr>
          <w:rFonts w:ascii="Times New Roman" w:hAnsi="Times New Roman" w:cs="Times New Roman"/>
          <w:color w:val="000080"/>
          <w:sz w:val="24"/>
          <w:szCs w:val="24"/>
          <w:lang w:val="es-CR"/>
        </w:rPr>
        <w:t xml:space="preserve"> </w:t>
      </w:r>
    </w:p>
    <w:p w:rsidR="00BC62B7" w:rsidRPr="0019670A" w:rsidRDefault="00BC62B7" w:rsidP="00C82E3B">
      <w:pPr>
        <w:pStyle w:val="TextoparrafosCar"/>
        <w:rPr>
          <w:rFonts w:ascii="Times New Roman" w:hAnsi="Times New Roman"/>
        </w:rPr>
      </w:pPr>
      <w:r w:rsidRPr="0019670A">
        <w:rPr>
          <w:rFonts w:ascii="Times New Roman" w:hAnsi="Times New Roman"/>
        </w:rPr>
        <w:t>El Banco Central de Costa Rica, clasifica bajo este concepto:</w:t>
      </w:r>
    </w:p>
    <w:p w:rsidR="00BC62B7" w:rsidRDefault="00BC62B7" w:rsidP="001C1F03">
      <w:pPr>
        <w:pStyle w:val="listaa"/>
        <w:numPr>
          <w:ilvl w:val="0"/>
          <w:numId w:val="33"/>
        </w:numPr>
        <w:ind w:left="284" w:hanging="284"/>
      </w:pPr>
      <w:r>
        <w:t>Oro</w:t>
      </w:r>
      <w:r w:rsidR="00103BF1">
        <w:t xml:space="preserve"> Monetario</w:t>
      </w:r>
      <w:r>
        <w:t>: Comprende la existencia de Oro Refinado no Estandarizado (Existencia de oro que fue  sometido al proceso de refinamiento, en el país o el exterior, pero que no reúne las condiciones de forma, peso y grado de fineza que lo identifiquen como oro estandarizado), Oro no Refinado (Registra la existencia del oro</w:t>
      </w:r>
      <w:r w:rsidR="00A33FB0">
        <w:t xml:space="preserve"> no</w:t>
      </w:r>
      <w:r>
        <w:t xml:space="preserve"> refinado, contenido en el material aurífero adquirido por el Banco Central, en diferentes áreas de compras) y Oro Amonedado (Registra oro amonedado propiedad del Banco Central, exceptuando las monedas que forman parte de la colección numismática).</w:t>
      </w:r>
    </w:p>
    <w:p w:rsidR="00BC62B7" w:rsidRPr="0019670A" w:rsidRDefault="00BC62B7" w:rsidP="00A60C20">
      <w:pPr>
        <w:pStyle w:val="listaa"/>
        <w:numPr>
          <w:ilvl w:val="0"/>
          <w:numId w:val="33"/>
        </w:numPr>
        <w:spacing w:before="360"/>
        <w:ind w:left="284" w:hanging="284"/>
      </w:pPr>
      <w:r w:rsidRPr="0019670A">
        <w:t xml:space="preserve">Tenencias en </w:t>
      </w:r>
      <w:r w:rsidR="00103BF1">
        <w:t xml:space="preserve">Unidades Internacionales de Cuenta: Comprende las Tenencias </w:t>
      </w:r>
      <w:r w:rsidRPr="0019670A">
        <w:t>Derechos Especiales de Giro efectuada en el Fondo Monetario Internacional.</w:t>
      </w:r>
    </w:p>
    <w:p w:rsidR="00BC62B7" w:rsidRPr="0019670A" w:rsidRDefault="00BC62B7" w:rsidP="00A60C20">
      <w:pPr>
        <w:pStyle w:val="listaa"/>
        <w:numPr>
          <w:ilvl w:val="0"/>
          <w:numId w:val="33"/>
        </w:numPr>
        <w:spacing w:before="360"/>
        <w:ind w:left="284" w:hanging="284"/>
      </w:pPr>
      <w:r w:rsidRPr="0019670A">
        <w:t xml:space="preserve">Billetes y Monedas Extranjeras: Numerario del Exterior existente, en </w:t>
      </w:r>
      <w:r>
        <w:t xml:space="preserve">la </w:t>
      </w:r>
      <w:r w:rsidRPr="0019670A">
        <w:t>bóveda del Banco Central de Costa Rica.</w:t>
      </w:r>
    </w:p>
    <w:p w:rsidR="00BC62B7" w:rsidRDefault="00BC62B7" w:rsidP="00A60C20">
      <w:pPr>
        <w:pStyle w:val="listaa"/>
        <w:numPr>
          <w:ilvl w:val="0"/>
          <w:numId w:val="33"/>
        </w:numPr>
        <w:spacing w:before="360"/>
        <w:ind w:left="284" w:hanging="284"/>
      </w:pPr>
      <w:r w:rsidRPr="0019670A">
        <w:t xml:space="preserve">Depósitos en </w:t>
      </w:r>
      <w:r w:rsidR="007C502F">
        <w:t xml:space="preserve"> Moneda Extranjera (</w:t>
      </w:r>
      <w:r w:rsidRPr="0019670A">
        <w:t>Bancos del Exterior</w:t>
      </w:r>
      <w:r w:rsidR="007C502F">
        <w:t>)</w:t>
      </w:r>
      <w:r w:rsidRPr="0019670A">
        <w:t xml:space="preserve">: </w:t>
      </w:r>
      <w:r w:rsidRPr="00D9328C">
        <w:t>Existencia de numerario</w:t>
      </w:r>
      <w:r w:rsidRPr="0019670A">
        <w:t xml:space="preserve"> en moneda extranjera, sea para efectos de liquidez, compra de deuda externa o de inversión a corto y mediano plazo. Estos Depósitos Corrientes u Operativos, se efectúan en Bancos Corresponsales fuera del país, considerados como de Primer Orden, con servicios a nivel global, cuya clasificación de corto plazo sea </w:t>
      </w:r>
      <w:r>
        <w:t xml:space="preserve">igual o superior </w:t>
      </w:r>
      <w:r w:rsidRPr="0019670A">
        <w:t>“A-</w:t>
      </w:r>
      <w:smartTag w:uri="urn:schemas-microsoft-com:office:smarttags" w:element="metricconverter">
        <w:smartTagPr>
          <w:attr w:name="ProductID" w:val="1”"/>
        </w:smartTagPr>
        <w:r w:rsidRPr="0019670A">
          <w:t>1”</w:t>
        </w:r>
      </w:smartTag>
      <w:r w:rsidRPr="0019670A">
        <w:t xml:space="preserve"> emitida por Standard &amp; </w:t>
      </w:r>
      <w:proofErr w:type="spellStart"/>
      <w:r w:rsidRPr="0019670A">
        <w:t>Poors</w:t>
      </w:r>
      <w:proofErr w:type="spellEnd"/>
      <w:r w:rsidRPr="0019670A">
        <w:t xml:space="preserve">, o el equivalente </w:t>
      </w:r>
      <w:r>
        <w:t xml:space="preserve">P-1 o F1 según </w:t>
      </w:r>
      <w:proofErr w:type="spellStart"/>
      <w:r>
        <w:t>Moody`s</w:t>
      </w:r>
      <w:proofErr w:type="spellEnd"/>
      <w:r>
        <w:t xml:space="preserve"> Investor </w:t>
      </w:r>
      <w:proofErr w:type="spellStart"/>
      <w:r>
        <w:t>Services</w:t>
      </w:r>
      <w:proofErr w:type="spellEnd"/>
      <w:r>
        <w:t xml:space="preserve"> o </w:t>
      </w:r>
      <w:proofErr w:type="spellStart"/>
      <w:r>
        <w:t>Fitch</w:t>
      </w:r>
      <w:proofErr w:type="spellEnd"/>
      <w:r>
        <w:t xml:space="preserve"> </w:t>
      </w:r>
      <w:proofErr w:type="spellStart"/>
      <w:r>
        <w:t>Ibca</w:t>
      </w:r>
      <w:proofErr w:type="spellEnd"/>
      <w:r>
        <w:t>, respectivamente.</w:t>
      </w:r>
    </w:p>
    <w:p w:rsidR="00BC62B7" w:rsidRDefault="00BC62B7" w:rsidP="00873CC5">
      <w:pPr>
        <w:pStyle w:val="listaa"/>
        <w:numPr>
          <w:ilvl w:val="0"/>
          <w:numId w:val="33"/>
        </w:numPr>
        <w:spacing w:before="360"/>
        <w:ind w:left="284" w:hanging="284"/>
      </w:pPr>
      <w:r w:rsidRPr="0019670A">
        <w:t xml:space="preserve">Inversiones y Valores Extranjeros: Inversiones en instrumentos tales como, Bonos Gubernamentales, </w:t>
      </w:r>
      <w:r>
        <w:t xml:space="preserve">Mercado de Dinero, Depósitos e Instrumentos a la Vista, </w:t>
      </w:r>
      <w:r w:rsidRPr="0019670A">
        <w:t>Valores de Deuda emitido</w:t>
      </w:r>
      <w:r>
        <w:t>s por Agencias Gubernamentales</w:t>
      </w:r>
      <w:r w:rsidRPr="0019670A">
        <w:t xml:space="preserve">, Fondos Federales e Instrumentos del Tesoro o Títulos de Agencias de los Estados Unidos. </w:t>
      </w:r>
    </w:p>
    <w:p w:rsidR="00BC62B7" w:rsidRDefault="00BC62B7" w:rsidP="00451B9A">
      <w:pPr>
        <w:pStyle w:val="listaa"/>
        <w:numPr>
          <w:ilvl w:val="0"/>
          <w:numId w:val="0"/>
        </w:numPr>
        <w:spacing w:before="360"/>
        <w:ind w:left="284"/>
      </w:pPr>
      <w:r w:rsidRPr="0019670A">
        <w:t>Las inversiones se realizan en Bancos del Exterior de Primer Orden, cuya clasificación de riesgo para obligaciones a largo plazo sea igual o superior a “A+</w:t>
      </w:r>
      <w:r>
        <w:t>, A1 o A+</w:t>
      </w:r>
      <w:r w:rsidRPr="0019670A">
        <w:t>”</w:t>
      </w:r>
      <w:r>
        <w:t xml:space="preserve"> según las agencias califi</w:t>
      </w:r>
      <w:r w:rsidR="005D44B5">
        <w:t>c</w:t>
      </w:r>
      <w:r>
        <w:t xml:space="preserve">adoras de riesgo internacional de Standard &amp; </w:t>
      </w:r>
      <w:proofErr w:type="spellStart"/>
      <w:r>
        <w:t>Poor`s</w:t>
      </w:r>
      <w:proofErr w:type="spellEnd"/>
      <w:r>
        <w:t xml:space="preserve">, </w:t>
      </w:r>
      <w:proofErr w:type="spellStart"/>
      <w:r>
        <w:t>Moody`s</w:t>
      </w:r>
      <w:proofErr w:type="spellEnd"/>
      <w:r>
        <w:t xml:space="preserve"> Investor </w:t>
      </w:r>
      <w:proofErr w:type="spellStart"/>
      <w:r>
        <w:t>Services</w:t>
      </w:r>
      <w:proofErr w:type="spellEnd"/>
      <w:r>
        <w:t xml:space="preserve"> o </w:t>
      </w:r>
      <w:proofErr w:type="spellStart"/>
      <w:r>
        <w:t>Fitch</w:t>
      </w:r>
      <w:proofErr w:type="spellEnd"/>
      <w:r>
        <w:t xml:space="preserve"> </w:t>
      </w:r>
      <w:proofErr w:type="spellStart"/>
      <w:r>
        <w:t>Ibca</w:t>
      </w:r>
      <w:proofErr w:type="spellEnd"/>
      <w:r w:rsidRPr="0019670A">
        <w:t>,</w:t>
      </w:r>
      <w:r>
        <w:t xml:space="preserve"> respectivamente</w:t>
      </w:r>
      <w:r w:rsidRPr="0019670A">
        <w:t xml:space="preserve"> con un riesgo soberano, de país igual o superior a “AA-</w:t>
      </w:r>
      <w:r>
        <w:t>, Aa3 o AA-</w:t>
      </w:r>
      <w:r w:rsidRPr="0019670A">
        <w:t>”</w:t>
      </w:r>
      <w:r>
        <w:t xml:space="preserve">, según agencias calificadoras de riesgo internacional de Standard &amp; </w:t>
      </w:r>
      <w:proofErr w:type="spellStart"/>
      <w:r>
        <w:t>Poor`s</w:t>
      </w:r>
      <w:proofErr w:type="spellEnd"/>
      <w:r>
        <w:t xml:space="preserve">, </w:t>
      </w:r>
      <w:proofErr w:type="spellStart"/>
      <w:r>
        <w:t>Moody`s</w:t>
      </w:r>
      <w:proofErr w:type="spellEnd"/>
      <w:r>
        <w:t xml:space="preserve"> Investor </w:t>
      </w:r>
      <w:proofErr w:type="spellStart"/>
      <w:r>
        <w:t>Services</w:t>
      </w:r>
      <w:proofErr w:type="spellEnd"/>
      <w:r>
        <w:t xml:space="preserve"> y </w:t>
      </w:r>
      <w:proofErr w:type="spellStart"/>
      <w:r>
        <w:t>Fitch</w:t>
      </w:r>
      <w:proofErr w:type="spellEnd"/>
      <w:r>
        <w:t xml:space="preserve"> </w:t>
      </w:r>
      <w:proofErr w:type="spellStart"/>
      <w:r>
        <w:t>Ibca</w:t>
      </w:r>
      <w:proofErr w:type="spellEnd"/>
      <w:r>
        <w:t>, respectivamente.</w:t>
      </w:r>
      <w:r w:rsidRPr="0019670A">
        <w:t xml:space="preserve"> En </w:t>
      </w:r>
      <w:r w:rsidRPr="0019670A">
        <w:lastRenderedPageBreak/>
        <w:t xml:space="preserve">Gobiernos Soberanos, Bancos Centrales, Agencias de Gobiernos Soberanos, con clasificación de riesgo propio o soberano, para obligaciones a largo plazo, igual o superior a “A+”. Los grados establecidos se refieren a las calificaciones de Standard &amp; </w:t>
      </w:r>
      <w:proofErr w:type="spellStart"/>
      <w:r w:rsidRPr="0019670A">
        <w:t>Poor´s</w:t>
      </w:r>
      <w:proofErr w:type="spellEnd"/>
      <w:r w:rsidRPr="0019670A">
        <w:t>.</w:t>
      </w:r>
      <w:r>
        <w:t xml:space="preserve"> </w:t>
      </w:r>
    </w:p>
    <w:p w:rsidR="00BC62B7" w:rsidRDefault="00BC62B7" w:rsidP="003117C1">
      <w:pPr>
        <w:pStyle w:val="listaa"/>
        <w:numPr>
          <w:ilvl w:val="0"/>
          <w:numId w:val="0"/>
        </w:numPr>
        <w:spacing w:before="360"/>
        <w:ind w:left="284"/>
      </w:pPr>
      <w:r>
        <w:t>Las inversiones en Mercado de Dinero, Depósitos e Instrumentos a la Vista, se efectúan con bancos de primer orden cuya clasificación de riesgo es el mismo indicado en el punto d.</w:t>
      </w:r>
    </w:p>
    <w:p w:rsidR="00BC62B7" w:rsidRDefault="00BC62B7" w:rsidP="00873CC5">
      <w:pPr>
        <w:pStyle w:val="listaa"/>
        <w:numPr>
          <w:ilvl w:val="0"/>
          <w:numId w:val="33"/>
        </w:numPr>
        <w:spacing w:before="360"/>
        <w:ind w:left="284" w:hanging="284"/>
      </w:pPr>
      <w:r w:rsidRPr="00E16F00">
        <w:t>Expectativa de Ganancia por Aplicar: La expectativa de ganancia representa</w:t>
      </w:r>
      <w:r>
        <w:t xml:space="preserve"> las variaciones sobre el valor razonable producto de</w:t>
      </w:r>
      <w:r w:rsidRPr="00E16F00">
        <w:t xml:space="preserve"> la valoración a precio de mercado de las inversiones mantenidas para su negociación, cuya contrapartida se representa en el patrimonio y se considera como ganancia del periodo hasta el momento de la venta de dichas inversione</w:t>
      </w:r>
      <w:r>
        <w:t>s.</w:t>
      </w:r>
    </w:p>
    <w:p w:rsidR="00BC62B7" w:rsidRPr="0070341D" w:rsidRDefault="00BC62B7" w:rsidP="00873CC5">
      <w:pPr>
        <w:pStyle w:val="listaa"/>
        <w:numPr>
          <w:ilvl w:val="0"/>
          <w:numId w:val="33"/>
        </w:numPr>
        <w:spacing w:before="360"/>
        <w:ind w:left="284" w:hanging="284"/>
        <w:rPr>
          <w:rFonts w:ascii="Courier New" w:hAnsi="Courier New" w:cs="Courier New"/>
          <w:sz w:val="20"/>
          <w:szCs w:val="20"/>
        </w:rPr>
      </w:pPr>
      <w:r>
        <w:t>Expectativa de Pérdida por Aplicar: La expectativa de pérdida representa las variaciones sobre el valor razonable producto de</w:t>
      </w:r>
      <w:r w:rsidRPr="00E16F00">
        <w:t xml:space="preserve">  </w:t>
      </w:r>
      <w:r>
        <w:t>la valoración a precio de mercado de las inversiones mantenidas para su negociación, cuya contrapartida se representa en el patrimonio y se considera como pérdida del periodo hasta el momento de la venta de dichas inversiones.</w:t>
      </w:r>
    </w:p>
    <w:p w:rsidR="00BC62B7" w:rsidRDefault="00BC62B7" w:rsidP="00873CC5">
      <w:pPr>
        <w:pStyle w:val="listaa"/>
        <w:numPr>
          <w:ilvl w:val="0"/>
          <w:numId w:val="33"/>
        </w:numPr>
        <w:spacing w:before="360"/>
        <w:ind w:left="284" w:hanging="284"/>
      </w:pPr>
      <w:r>
        <w:t xml:space="preserve">Descuento cero cupón–Mercado de Dinero: Registra la diferencia entre el valor transado y el valor facial de los títulos cero </w:t>
      </w:r>
      <w:proofErr w:type="gramStart"/>
      <w:r>
        <w:t>cupón</w:t>
      </w:r>
      <w:proofErr w:type="gramEnd"/>
      <w:r>
        <w:t>, monto que representa la retribución que se obtiene al vencimiento del título y que se devenga durante el periodo en que los bonos están vigentes</w:t>
      </w:r>
      <w:r w:rsidR="00FD347E">
        <w:t>.</w:t>
      </w:r>
    </w:p>
    <w:p w:rsidR="00244622" w:rsidRDefault="00244622" w:rsidP="00244622">
      <w:pPr>
        <w:pStyle w:val="listaa"/>
        <w:numPr>
          <w:ilvl w:val="0"/>
          <w:numId w:val="33"/>
        </w:numPr>
        <w:spacing w:before="360"/>
        <w:ind w:left="284" w:hanging="284"/>
      </w:pPr>
      <w:r>
        <w:t xml:space="preserve">Compromisos – Activos Financieros con no residentes: Inversiones por Recibir o Cobrar – por Pagar o Entregar: Comprende </w:t>
      </w:r>
      <w:r w:rsidRPr="00507DCB">
        <w:t xml:space="preserve"> las operaciones de instrumentos financieros que se </w:t>
      </w:r>
      <w:r>
        <w:t>contabilizan utilizando la fecha de contratación.</w:t>
      </w:r>
    </w:p>
    <w:p w:rsidR="00BC62B7" w:rsidRDefault="00BC62B7" w:rsidP="00AC61E6">
      <w:pPr>
        <w:pStyle w:val="listaa"/>
        <w:numPr>
          <w:ilvl w:val="0"/>
          <w:numId w:val="0"/>
        </w:numPr>
      </w:pPr>
    </w:p>
    <w:p w:rsidR="00BC62B7" w:rsidRDefault="00BC62B7" w:rsidP="00AC61E6">
      <w:pPr>
        <w:pStyle w:val="listaa"/>
        <w:numPr>
          <w:ilvl w:val="0"/>
          <w:numId w:val="0"/>
        </w:numPr>
      </w:pPr>
    </w:p>
    <w:p w:rsidR="00BC62B7" w:rsidRDefault="00BC62B7" w:rsidP="00AC61E6">
      <w:pPr>
        <w:pStyle w:val="listaa"/>
        <w:numPr>
          <w:ilvl w:val="0"/>
          <w:numId w:val="0"/>
        </w:numPr>
      </w:pPr>
    </w:p>
    <w:p w:rsidR="00773B10" w:rsidRDefault="00773B10" w:rsidP="00454BB2">
      <w:pPr>
        <w:pStyle w:val="listaa"/>
        <w:numPr>
          <w:ilvl w:val="0"/>
          <w:numId w:val="0"/>
        </w:numPr>
      </w:pPr>
      <w:r w:rsidRPr="00773B10">
        <w:rPr>
          <w:noProof/>
          <w:lang w:val="es-ES" w:eastAsia="es-ES"/>
        </w:rPr>
        <w:lastRenderedPageBreak/>
        <w:drawing>
          <wp:inline distT="0" distB="0" distL="0" distR="0">
            <wp:extent cx="5490210" cy="7842591"/>
            <wp:effectExtent l="19050" t="0" r="0" b="0"/>
            <wp:docPr id="1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5490210" cy="7842591"/>
                    </a:xfrm>
                    <a:prstGeom prst="rect">
                      <a:avLst/>
                    </a:prstGeom>
                    <a:noFill/>
                    <a:ln w="9525">
                      <a:noFill/>
                      <a:miter lim="800000"/>
                      <a:headEnd/>
                      <a:tailEnd/>
                    </a:ln>
                  </pic:spPr>
                </pic:pic>
              </a:graphicData>
            </a:graphic>
          </wp:inline>
        </w:drawing>
      </w:r>
    </w:p>
    <w:p w:rsidR="00BC62B7" w:rsidRDefault="00BC62B7" w:rsidP="00454BB2">
      <w:pPr>
        <w:pStyle w:val="listaa"/>
        <w:numPr>
          <w:ilvl w:val="0"/>
          <w:numId w:val="0"/>
        </w:numPr>
      </w:pPr>
      <w:r w:rsidRPr="007F5ABA">
        <w:lastRenderedPageBreak/>
        <w:t xml:space="preserve">Los objetivos fundamentales de la administración de las Reservas Monetarias Internacionales </w:t>
      </w:r>
      <w:r w:rsidRPr="00BB3FB9">
        <w:rPr>
          <w:i/>
          <w:sz w:val="20"/>
          <w:szCs w:val="20"/>
        </w:rPr>
        <w:t>(Disponibilidades)</w:t>
      </w:r>
      <w:r>
        <w:t xml:space="preserve"> </w:t>
      </w:r>
      <w:r w:rsidRPr="007F5ABA">
        <w:t>en poder del Banco Central de Costa Rica son la conservación del capital y la liquidez. Asimismo, se procurará maximizar el rendimiento obtenido de las reservas, según las condiciones de mercado. Sin embargo, este objetivo se subordinará al logro de los objetivos de conservación de capital y liquidez antes mencionados.</w:t>
      </w:r>
    </w:p>
    <w:p w:rsidR="00BC62B7" w:rsidRPr="007F5ABA" w:rsidRDefault="00BC62B7" w:rsidP="00C82E3B">
      <w:pPr>
        <w:pStyle w:val="TextoparrafosCar"/>
        <w:rPr>
          <w:rFonts w:ascii="Times New Roman" w:hAnsi="Times New Roman"/>
        </w:rPr>
      </w:pPr>
      <w:r>
        <w:rPr>
          <w:rFonts w:ascii="Times New Roman" w:hAnsi="Times New Roman"/>
        </w:rPr>
        <w:t>Los depósitos bancarios y las operaciones de préstamo de títulos, recompra y reventa tendrán una maduración no superior a 180 días. Las obligaciones emitidas por gobiernos soberanos o por agencias gubernamentales y entidades supranacionales o multilaterales podrán tener una maduración de hasta diez años plazo. El Comité de Reservas, cuando lo considere necesario, podrá limitar aún más los plazos máximos de inversión.</w:t>
      </w:r>
    </w:p>
    <w:p w:rsidR="00BC62B7" w:rsidRPr="0019670A" w:rsidRDefault="00BC62B7" w:rsidP="00C82E3B">
      <w:pPr>
        <w:pStyle w:val="Ttulo1"/>
        <w:jc w:val="both"/>
        <w:rPr>
          <w:rFonts w:ascii="Times New Roman" w:hAnsi="Times New Roman" w:cs="Times New Roman"/>
          <w:color w:val="000080"/>
          <w:sz w:val="24"/>
          <w:szCs w:val="24"/>
          <w:lang w:val="es-CR"/>
        </w:rPr>
      </w:pPr>
      <w:bookmarkStart w:id="28" w:name="_Toc255802903"/>
      <w:r w:rsidRPr="0019670A">
        <w:rPr>
          <w:rFonts w:ascii="Times New Roman" w:hAnsi="Times New Roman" w:cs="Times New Roman"/>
          <w:color w:val="000080"/>
          <w:sz w:val="24"/>
          <w:szCs w:val="24"/>
          <w:lang w:val="es-CR"/>
        </w:rPr>
        <w:t xml:space="preserve">Nota 2:   Otros Activos </w:t>
      </w:r>
      <w:r>
        <w:rPr>
          <w:rFonts w:ascii="Times New Roman" w:hAnsi="Times New Roman" w:cs="Times New Roman"/>
          <w:color w:val="000080"/>
          <w:sz w:val="24"/>
          <w:szCs w:val="24"/>
          <w:lang w:val="es-CR"/>
        </w:rPr>
        <w:t>(Externos)</w:t>
      </w:r>
      <w:bookmarkEnd w:id="28"/>
    </w:p>
    <w:p w:rsidR="00BC62B7" w:rsidRDefault="00BC62B7" w:rsidP="00C82E3B">
      <w:pPr>
        <w:pStyle w:val="TextoparrafosCar"/>
        <w:rPr>
          <w:rFonts w:ascii="Times New Roman" w:hAnsi="Times New Roman"/>
        </w:rPr>
      </w:pPr>
      <w:r w:rsidRPr="0019670A">
        <w:rPr>
          <w:rFonts w:ascii="Times New Roman" w:hAnsi="Times New Roman"/>
        </w:rPr>
        <w:t>El Banco Central de Costa Rica, clasifica bajo este concepto:</w:t>
      </w:r>
    </w:p>
    <w:p w:rsidR="00BC62B7" w:rsidRPr="00BA7EFE" w:rsidRDefault="00BC62B7" w:rsidP="001C1F03">
      <w:pPr>
        <w:pStyle w:val="listaa"/>
        <w:numPr>
          <w:ilvl w:val="0"/>
          <w:numId w:val="21"/>
        </w:numPr>
      </w:pPr>
      <w:r w:rsidRPr="0019670A">
        <w:t>Intereses, Comisiones y Otros Productos por Recibir</w:t>
      </w:r>
      <w:r>
        <w:t xml:space="preserve"> de no residentes en moneda extranjera</w:t>
      </w:r>
      <w:r w:rsidRPr="0019670A">
        <w:t>: Intereses por cobrar por crédit</w:t>
      </w:r>
      <w:r>
        <w:t>o otorgado en moneda extranjera</w:t>
      </w:r>
      <w:r w:rsidRPr="0019670A">
        <w:t xml:space="preserve"> proveniente de los acuerdos de pago</w:t>
      </w:r>
      <w:r>
        <w:t>s</w:t>
      </w:r>
      <w:r w:rsidRPr="0019670A">
        <w:t xml:space="preserve"> y convenios de compensación con diferentes países</w:t>
      </w:r>
      <w:r>
        <w:t xml:space="preserve"> e </w:t>
      </w:r>
      <w:r w:rsidRPr="006179B1">
        <w:rPr>
          <w:color w:val="000000"/>
        </w:rPr>
        <w:t>intereses sobre depósitos e inversiones en el exterior. (ver cuadro adjunto)</w:t>
      </w:r>
    </w:p>
    <w:p w:rsidR="00BC3207" w:rsidRDefault="001E76BC" w:rsidP="00EA4089">
      <w:pPr>
        <w:pStyle w:val="Ttulo1"/>
        <w:jc w:val="both"/>
        <w:rPr>
          <w:rFonts w:ascii="Times New Roman" w:hAnsi="Times New Roman" w:cs="Times New Roman"/>
          <w:color w:val="000080"/>
          <w:sz w:val="24"/>
          <w:szCs w:val="24"/>
          <w:lang w:val="es-CR"/>
        </w:rPr>
      </w:pPr>
      <w:r w:rsidRPr="001E76BC">
        <w:rPr>
          <w:noProof/>
          <w:szCs w:val="24"/>
          <w:lang w:val="es-ES" w:eastAsia="es-ES"/>
        </w:rPr>
        <w:drawing>
          <wp:inline distT="0" distB="0" distL="0" distR="0">
            <wp:extent cx="5490210" cy="828829"/>
            <wp:effectExtent l="19050" t="0" r="0" b="0"/>
            <wp:docPr id="1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5490210" cy="828829"/>
                    </a:xfrm>
                    <a:prstGeom prst="rect">
                      <a:avLst/>
                    </a:prstGeom>
                    <a:noFill/>
                    <a:ln w="9525">
                      <a:noFill/>
                      <a:miter lim="800000"/>
                      <a:headEnd/>
                      <a:tailEnd/>
                    </a:ln>
                  </pic:spPr>
                </pic:pic>
              </a:graphicData>
            </a:graphic>
          </wp:inline>
        </w:drawing>
      </w:r>
    </w:p>
    <w:p w:rsidR="00EA4089" w:rsidRPr="0019670A" w:rsidRDefault="00EA4089" w:rsidP="00EA4089">
      <w:pPr>
        <w:pStyle w:val="Ttulo1"/>
        <w:jc w:val="both"/>
        <w:rPr>
          <w:rFonts w:ascii="Times New Roman" w:hAnsi="Times New Roman" w:cs="Times New Roman"/>
          <w:color w:val="000080"/>
          <w:sz w:val="24"/>
          <w:szCs w:val="24"/>
          <w:lang w:val="es-CR"/>
        </w:rPr>
      </w:pPr>
      <w:bookmarkStart w:id="29" w:name="_Toc255802904"/>
      <w:r w:rsidRPr="0019670A">
        <w:rPr>
          <w:rFonts w:ascii="Times New Roman" w:hAnsi="Times New Roman" w:cs="Times New Roman"/>
          <w:color w:val="000080"/>
          <w:sz w:val="24"/>
          <w:szCs w:val="24"/>
          <w:lang w:val="es-CR"/>
        </w:rPr>
        <w:t>Nota</w:t>
      </w:r>
      <w:r>
        <w:rPr>
          <w:rFonts w:ascii="Times New Roman" w:hAnsi="Times New Roman" w:cs="Times New Roman"/>
          <w:color w:val="000080"/>
          <w:sz w:val="24"/>
          <w:szCs w:val="24"/>
          <w:lang w:val="es-CR"/>
        </w:rPr>
        <w:t xml:space="preserve"> </w:t>
      </w:r>
      <w:r w:rsidRPr="0019670A">
        <w:rPr>
          <w:rFonts w:ascii="Times New Roman" w:hAnsi="Times New Roman" w:cs="Times New Roman"/>
          <w:color w:val="000080"/>
          <w:sz w:val="24"/>
          <w:szCs w:val="24"/>
          <w:lang w:val="es-CR"/>
        </w:rPr>
        <w:t xml:space="preserve">3: Aportes a </w:t>
      </w:r>
      <w:r>
        <w:rPr>
          <w:rFonts w:ascii="Times New Roman" w:hAnsi="Times New Roman" w:cs="Times New Roman"/>
          <w:color w:val="000080"/>
          <w:sz w:val="24"/>
          <w:szCs w:val="24"/>
          <w:lang w:val="es-CR"/>
        </w:rPr>
        <w:t>Organismos</w:t>
      </w:r>
      <w:r w:rsidRPr="0019670A">
        <w:rPr>
          <w:rFonts w:ascii="Times New Roman" w:hAnsi="Times New Roman" w:cs="Times New Roman"/>
          <w:color w:val="000080"/>
          <w:sz w:val="24"/>
          <w:szCs w:val="24"/>
          <w:lang w:val="es-CR"/>
        </w:rPr>
        <w:t xml:space="preserve"> Financier</w:t>
      </w:r>
      <w:r>
        <w:rPr>
          <w:rFonts w:ascii="Times New Roman" w:hAnsi="Times New Roman" w:cs="Times New Roman"/>
          <w:color w:val="000080"/>
          <w:sz w:val="24"/>
          <w:szCs w:val="24"/>
          <w:lang w:val="es-CR"/>
        </w:rPr>
        <w:t>o</w:t>
      </w:r>
      <w:r w:rsidRPr="0019670A">
        <w:rPr>
          <w:rFonts w:ascii="Times New Roman" w:hAnsi="Times New Roman" w:cs="Times New Roman"/>
          <w:color w:val="000080"/>
          <w:sz w:val="24"/>
          <w:szCs w:val="24"/>
          <w:lang w:val="es-CR"/>
        </w:rPr>
        <w:t>s Internacionales</w:t>
      </w:r>
      <w:bookmarkEnd w:id="29"/>
      <w:r w:rsidRPr="0019670A">
        <w:rPr>
          <w:rFonts w:ascii="Times New Roman" w:hAnsi="Times New Roman" w:cs="Times New Roman"/>
          <w:color w:val="000080"/>
          <w:sz w:val="24"/>
          <w:szCs w:val="24"/>
          <w:lang w:val="es-CR"/>
        </w:rPr>
        <w:t xml:space="preserve"> </w:t>
      </w:r>
    </w:p>
    <w:p w:rsidR="00BC62B7" w:rsidRPr="0019670A" w:rsidRDefault="00BC62B7" w:rsidP="00C82E3B">
      <w:pPr>
        <w:pStyle w:val="TextoparrafosCar"/>
        <w:rPr>
          <w:rFonts w:ascii="Times New Roman" w:hAnsi="Times New Roman"/>
        </w:rPr>
      </w:pPr>
      <w:r w:rsidRPr="0019670A">
        <w:rPr>
          <w:rFonts w:ascii="Times New Roman" w:hAnsi="Times New Roman"/>
        </w:rPr>
        <w:t>El Banco Central de Costa Rica, clasifica bajo este concepto:</w:t>
      </w:r>
    </w:p>
    <w:p w:rsidR="00BC62B7" w:rsidRPr="0019670A" w:rsidRDefault="00BC62B7" w:rsidP="001C1F03">
      <w:pPr>
        <w:pStyle w:val="listaa"/>
        <w:numPr>
          <w:ilvl w:val="0"/>
          <w:numId w:val="26"/>
        </w:numPr>
      </w:pPr>
      <w:r w:rsidRPr="0019670A">
        <w:t>Cuotas de Capital del Fondo Monetario Internacional (FMI)</w:t>
      </w:r>
      <w:r>
        <w:t xml:space="preserve"> y del </w:t>
      </w:r>
      <w:r w:rsidRPr="0019670A">
        <w:t>Fondo Centroamericano de Estabilización Monetaria</w:t>
      </w:r>
      <w:r>
        <w:t xml:space="preserve"> (FOCEM):</w:t>
      </w:r>
      <w:r w:rsidRPr="0019670A">
        <w:t xml:space="preserve"> </w:t>
      </w:r>
      <w:r>
        <w:t>Q</w:t>
      </w:r>
      <w:r w:rsidRPr="0019670A">
        <w:t>ue contienen l</w:t>
      </w:r>
      <w:r>
        <w:t>o</w:t>
      </w:r>
      <w:r w:rsidRPr="0019670A">
        <w:t xml:space="preserve">s </w:t>
      </w:r>
      <w:r>
        <w:t xml:space="preserve">aportes de </w:t>
      </w:r>
      <w:r w:rsidRPr="0019670A">
        <w:t xml:space="preserve">Instituciones Financieras Monetarias, por la participación de Costa Rica en </w:t>
      </w:r>
      <w:r>
        <w:t>FMI</w:t>
      </w:r>
      <w:r w:rsidRPr="0019670A">
        <w:t>, cuyo valor se registra en Derechos Especiales de Giro y los Aportes al FOCEM por la participación del Banco Central en activos de reserva.</w:t>
      </w:r>
    </w:p>
    <w:p w:rsidR="00BC62B7" w:rsidRPr="0019670A" w:rsidRDefault="00BC62B7" w:rsidP="001C1F03">
      <w:pPr>
        <w:pStyle w:val="listaa"/>
        <w:numPr>
          <w:ilvl w:val="0"/>
          <w:numId w:val="26"/>
        </w:numPr>
      </w:pPr>
      <w:r>
        <w:t>A</w:t>
      </w:r>
      <w:r w:rsidRPr="0019670A">
        <w:t xml:space="preserve">portes moneda nacional y acciones comunes y preferentes </w:t>
      </w:r>
      <w:r>
        <w:t>de</w:t>
      </w:r>
      <w:r w:rsidRPr="0019670A">
        <w:t xml:space="preserve"> Instituciones Financieras No Monetarias </w:t>
      </w:r>
      <w:r>
        <w:t>como</w:t>
      </w:r>
      <w:r w:rsidRPr="0019670A">
        <w:t>:</w:t>
      </w:r>
    </w:p>
    <w:p w:rsidR="00BC62B7" w:rsidRPr="0019670A" w:rsidRDefault="00BC62B7" w:rsidP="00C82E3B">
      <w:pPr>
        <w:pStyle w:val="listai"/>
        <w:tabs>
          <w:tab w:val="clear" w:pos="1620"/>
          <w:tab w:val="num" w:pos="1080"/>
        </w:tabs>
        <w:ind w:left="1080"/>
        <w:rPr>
          <w:rFonts w:ascii="Times New Roman" w:hAnsi="Times New Roman"/>
          <w:sz w:val="24"/>
        </w:rPr>
      </w:pPr>
      <w:r w:rsidRPr="0019670A">
        <w:rPr>
          <w:rFonts w:ascii="Times New Roman" w:hAnsi="Times New Roman"/>
          <w:sz w:val="24"/>
        </w:rPr>
        <w:t>Banco Internacional de Reconstrucción y Fomento (BIRF)</w:t>
      </w:r>
    </w:p>
    <w:p w:rsidR="00BC62B7" w:rsidRDefault="00BC62B7" w:rsidP="00C82E3B">
      <w:pPr>
        <w:pStyle w:val="listai"/>
        <w:tabs>
          <w:tab w:val="clear" w:pos="1620"/>
          <w:tab w:val="num" w:pos="1080"/>
        </w:tabs>
        <w:ind w:left="1080"/>
        <w:rPr>
          <w:rFonts w:ascii="Times New Roman" w:hAnsi="Times New Roman"/>
          <w:sz w:val="24"/>
        </w:rPr>
      </w:pPr>
      <w:r w:rsidRPr="0019670A">
        <w:rPr>
          <w:rFonts w:ascii="Times New Roman" w:hAnsi="Times New Roman"/>
          <w:sz w:val="24"/>
        </w:rPr>
        <w:t>Corporación Financiera Internacional</w:t>
      </w:r>
    </w:p>
    <w:p w:rsidR="00BC62B7" w:rsidRPr="0019670A" w:rsidRDefault="00BC62B7" w:rsidP="00C82E3B">
      <w:pPr>
        <w:pStyle w:val="listai"/>
        <w:tabs>
          <w:tab w:val="clear" w:pos="1620"/>
          <w:tab w:val="num" w:pos="1080"/>
        </w:tabs>
        <w:ind w:left="1080"/>
        <w:rPr>
          <w:rFonts w:ascii="Times New Roman" w:hAnsi="Times New Roman"/>
          <w:sz w:val="24"/>
        </w:rPr>
      </w:pPr>
      <w:r w:rsidRPr="0019670A">
        <w:rPr>
          <w:rFonts w:ascii="Times New Roman" w:hAnsi="Times New Roman"/>
          <w:sz w:val="24"/>
        </w:rPr>
        <w:t xml:space="preserve">Asociación Internacional de Fomento (AIF) </w:t>
      </w:r>
    </w:p>
    <w:p w:rsidR="00BC62B7" w:rsidRPr="0019670A" w:rsidRDefault="00BC62B7" w:rsidP="00C82E3B">
      <w:pPr>
        <w:pStyle w:val="listai"/>
        <w:tabs>
          <w:tab w:val="clear" w:pos="1620"/>
          <w:tab w:val="num" w:pos="1080"/>
        </w:tabs>
        <w:ind w:left="1080"/>
        <w:rPr>
          <w:rFonts w:ascii="Times New Roman" w:hAnsi="Times New Roman"/>
          <w:sz w:val="24"/>
        </w:rPr>
      </w:pPr>
      <w:r w:rsidRPr="0019670A">
        <w:rPr>
          <w:rFonts w:ascii="Times New Roman" w:hAnsi="Times New Roman"/>
          <w:sz w:val="24"/>
        </w:rPr>
        <w:t>Banco Interamericano de Desarrollo (BID) en Fondos de Operaciones Especiales</w:t>
      </w:r>
    </w:p>
    <w:p w:rsidR="00BC62B7" w:rsidRPr="0019670A" w:rsidRDefault="00BC62B7" w:rsidP="00C82E3B">
      <w:pPr>
        <w:pStyle w:val="listai"/>
        <w:tabs>
          <w:tab w:val="clear" w:pos="1620"/>
          <w:tab w:val="num" w:pos="1080"/>
        </w:tabs>
        <w:ind w:left="1080"/>
        <w:rPr>
          <w:rFonts w:ascii="Times New Roman" w:hAnsi="Times New Roman"/>
          <w:sz w:val="24"/>
        </w:rPr>
      </w:pPr>
      <w:r w:rsidRPr="0019670A">
        <w:rPr>
          <w:rFonts w:ascii="Times New Roman" w:hAnsi="Times New Roman"/>
          <w:sz w:val="24"/>
        </w:rPr>
        <w:t>Banco Latinoamericano de Exportaciones (BLADEX)</w:t>
      </w:r>
    </w:p>
    <w:p w:rsidR="00BC62B7" w:rsidRDefault="00BC62B7" w:rsidP="00C82E3B">
      <w:pPr>
        <w:pStyle w:val="listai"/>
        <w:tabs>
          <w:tab w:val="clear" w:pos="1620"/>
          <w:tab w:val="num" w:pos="1080"/>
        </w:tabs>
        <w:ind w:left="1080"/>
        <w:rPr>
          <w:rFonts w:ascii="Times New Roman" w:hAnsi="Times New Roman"/>
          <w:sz w:val="24"/>
        </w:rPr>
      </w:pPr>
      <w:r w:rsidRPr="0019670A">
        <w:rPr>
          <w:rFonts w:ascii="Times New Roman" w:hAnsi="Times New Roman"/>
          <w:sz w:val="24"/>
        </w:rPr>
        <w:t xml:space="preserve">Banco Centroamericano </w:t>
      </w:r>
      <w:r>
        <w:rPr>
          <w:rFonts w:ascii="Times New Roman" w:hAnsi="Times New Roman"/>
          <w:sz w:val="24"/>
        </w:rPr>
        <w:t>de Integración Económica (BCIE)</w:t>
      </w:r>
    </w:p>
    <w:p w:rsidR="00BC62B7" w:rsidRDefault="00BC62B7" w:rsidP="00C82E3B">
      <w:pPr>
        <w:pStyle w:val="listai"/>
        <w:tabs>
          <w:tab w:val="clear" w:pos="1620"/>
          <w:tab w:val="num" w:pos="1080"/>
        </w:tabs>
        <w:ind w:left="1080"/>
        <w:rPr>
          <w:rFonts w:ascii="Times New Roman" w:hAnsi="Times New Roman"/>
          <w:sz w:val="24"/>
        </w:rPr>
      </w:pPr>
      <w:r>
        <w:rPr>
          <w:rFonts w:ascii="Times New Roman" w:hAnsi="Times New Roman"/>
          <w:sz w:val="24"/>
        </w:rPr>
        <w:lastRenderedPageBreak/>
        <w:t>Fondo Latinoamericano de Reservas (FLAR)</w:t>
      </w:r>
    </w:p>
    <w:p w:rsidR="00BC62B7" w:rsidRDefault="00BC62B7" w:rsidP="00C82E3B">
      <w:pPr>
        <w:pStyle w:val="listai"/>
        <w:tabs>
          <w:tab w:val="clear" w:pos="1620"/>
          <w:tab w:val="num" w:pos="1080"/>
        </w:tabs>
        <w:ind w:left="1080"/>
        <w:rPr>
          <w:rFonts w:ascii="Times New Roman" w:hAnsi="Times New Roman"/>
          <w:sz w:val="24"/>
        </w:rPr>
      </w:pPr>
      <w:r>
        <w:rPr>
          <w:rFonts w:ascii="Times New Roman" w:hAnsi="Times New Roman"/>
          <w:sz w:val="24"/>
        </w:rPr>
        <w:t>Corporación Andina de Fomento</w:t>
      </w:r>
    </w:p>
    <w:p w:rsidR="00873CC5" w:rsidRDefault="00873CC5" w:rsidP="00873CC5">
      <w:pPr>
        <w:pStyle w:val="listai"/>
        <w:numPr>
          <w:ilvl w:val="0"/>
          <w:numId w:val="0"/>
        </w:numPr>
        <w:ind w:left="360"/>
        <w:rPr>
          <w:rFonts w:ascii="Times New Roman" w:hAnsi="Times New Roman"/>
          <w:sz w:val="24"/>
        </w:rPr>
      </w:pPr>
    </w:p>
    <w:p w:rsidR="00BC62B7" w:rsidRDefault="001E76BC" w:rsidP="00C82E3B">
      <w:pPr>
        <w:pStyle w:val="listai"/>
        <w:numPr>
          <w:ilvl w:val="0"/>
          <w:numId w:val="0"/>
        </w:numPr>
        <w:ind w:left="720" w:hanging="360"/>
        <w:rPr>
          <w:rFonts w:ascii="Times New Roman" w:hAnsi="Times New Roman"/>
        </w:rPr>
      </w:pPr>
      <w:r w:rsidRPr="001E76BC">
        <w:rPr>
          <w:noProof/>
          <w:lang w:val="es-ES" w:eastAsia="es-ES"/>
        </w:rPr>
        <w:drawing>
          <wp:inline distT="0" distB="0" distL="0" distR="0">
            <wp:extent cx="5490210" cy="1452719"/>
            <wp:effectExtent l="19050" t="0" r="0" b="0"/>
            <wp:docPr id="1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5490210" cy="1452719"/>
                    </a:xfrm>
                    <a:prstGeom prst="rect">
                      <a:avLst/>
                    </a:prstGeom>
                    <a:noFill/>
                    <a:ln w="9525">
                      <a:noFill/>
                      <a:miter lim="800000"/>
                      <a:headEnd/>
                      <a:tailEnd/>
                    </a:ln>
                  </pic:spPr>
                </pic:pic>
              </a:graphicData>
            </a:graphic>
          </wp:inline>
        </w:drawing>
      </w:r>
    </w:p>
    <w:p w:rsidR="00BC62B7" w:rsidRPr="00B534EC" w:rsidRDefault="00BC62B7" w:rsidP="00393EE1">
      <w:pPr>
        <w:pStyle w:val="listai"/>
        <w:numPr>
          <w:ilvl w:val="0"/>
          <w:numId w:val="0"/>
        </w:numPr>
        <w:ind w:left="360"/>
        <w:rPr>
          <w:rFonts w:ascii="Times New Roman" w:hAnsi="Times New Roman"/>
        </w:rPr>
      </w:pPr>
    </w:p>
    <w:p w:rsidR="00BC62B7" w:rsidRPr="0019670A" w:rsidRDefault="00BC62B7" w:rsidP="00C82E3B">
      <w:pPr>
        <w:pStyle w:val="Ttulo1"/>
        <w:jc w:val="both"/>
        <w:rPr>
          <w:rFonts w:ascii="Times New Roman" w:hAnsi="Times New Roman" w:cs="Times New Roman"/>
          <w:color w:val="000080"/>
          <w:sz w:val="24"/>
          <w:szCs w:val="24"/>
          <w:lang w:val="es-CR"/>
        </w:rPr>
      </w:pPr>
      <w:bookmarkStart w:id="30" w:name="_Toc255802905"/>
      <w:r w:rsidRPr="0019670A">
        <w:rPr>
          <w:rFonts w:ascii="Times New Roman" w:hAnsi="Times New Roman" w:cs="Times New Roman"/>
          <w:color w:val="000080"/>
          <w:sz w:val="24"/>
          <w:szCs w:val="24"/>
          <w:lang w:val="es-CR"/>
        </w:rPr>
        <w:t>Nota 4:   Inversiones en Valores Nacionales</w:t>
      </w:r>
      <w:bookmarkEnd w:id="30"/>
    </w:p>
    <w:p w:rsidR="00BC62B7" w:rsidRPr="0019670A" w:rsidRDefault="00BC62B7" w:rsidP="00C82E3B">
      <w:pPr>
        <w:pStyle w:val="TextoparrafosCar"/>
        <w:rPr>
          <w:rFonts w:ascii="Times New Roman" w:hAnsi="Times New Roman"/>
        </w:rPr>
      </w:pPr>
      <w:r w:rsidRPr="0019670A">
        <w:rPr>
          <w:rFonts w:ascii="Times New Roman" w:hAnsi="Times New Roman"/>
        </w:rPr>
        <w:t>El Banco Central de Costa Rica, clasifica bajo este concepto:</w:t>
      </w:r>
    </w:p>
    <w:p w:rsidR="00BC62B7" w:rsidRPr="005121C2" w:rsidRDefault="00BC62B7" w:rsidP="001C1F03">
      <w:pPr>
        <w:pStyle w:val="listaa"/>
        <w:numPr>
          <w:ilvl w:val="0"/>
          <w:numId w:val="28"/>
        </w:numPr>
        <w:rPr>
          <w:color w:val="000080"/>
        </w:rPr>
      </w:pPr>
      <w:r w:rsidRPr="0019670A">
        <w:t xml:space="preserve">Valores Emitidos por Residentes en moneda nacional, moneda extranjera y </w:t>
      </w:r>
      <w:r>
        <w:t xml:space="preserve">unidades de cuenta (Unidades de Desarrollo), en poder del Banco Central, </w:t>
      </w:r>
      <w:r w:rsidRPr="0019670A">
        <w:t>de absoluta seguridad</w:t>
      </w:r>
      <w:r>
        <w:t xml:space="preserve"> y</w:t>
      </w:r>
      <w:r w:rsidRPr="0019670A">
        <w:t xml:space="preserve"> liquidez</w:t>
      </w:r>
      <w:r>
        <w:t>. Específicamente por la liquidación de las inversiones recibidas como pagos por la liquidación del Banco Anglo.</w:t>
      </w:r>
    </w:p>
    <w:p w:rsidR="00BC62B7" w:rsidRPr="005A4648" w:rsidRDefault="00BC62B7" w:rsidP="00556085">
      <w:pPr>
        <w:pStyle w:val="Ttulo1"/>
        <w:spacing w:before="0" w:after="0"/>
        <w:jc w:val="both"/>
        <w:rPr>
          <w:rFonts w:ascii="Times New Roman" w:hAnsi="Times New Roman" w:cs="Times New Roman"/>
          <w:color w:val="000080"/>
          <w:sz w:val="24"/>
          <w:szCs w:val="24"/>
          <w:lang w:val="es-CR"/>
        </w:rPr>
      </w:pPr>
      <w:bookmarkStart w:id="31" w:name="_Toc255802906"/>
      <w:r w:rsidRPr="005A4648">
        <w:rPr>
          <w:rFonts w:ascii="Times New Roman" w:hAnsi="Times New Roman" w:cs="Times New Roman"/>
          <w:color w:val="000080"/>
          <w:sz w:val="24"/>
          <w:szCs w:val="24"/>
          <w:lang w:val="es-CR"/>
        </w:rPr>
        <w:t>Nota 5:   Créditos a Residentes</w:t>
      </w:r>
      <w:bookmarkEnd w:id="31"/>
    </w:p>
    <w:p w:rsidR="00BC62B7" w:rsidRPr="0019670A" w:rsidRDefault="00BC62B7" w:rsidP="00C82E3B">
      <w:pPr>
        <w:pStyle w:val="TextoparrafosCar"/>
        <w:rPr>
          <w:rFonts w:ascii="Times New Roman" w:hAnsi="Times New Roman"/>
        </w:rPr>
      </w:pPr>
      <w:r w:rsidRPr="0019670A">
        <w:rPr>
          <w:rFonts w:ascii="Times New Roman" w:hAnsi="Times New Roman"/>
        </w:rPr>
        <w:t>El Banco Central de Costa Rica, clasifica bajo este concepto:</w:t>
      </w:r>
    </w:p>
    <w:p w:rsidR="00BC62B7" w:rsidRPr="0019670A" w:rsidRDefault="00BC62B7" w:rsidP="001C1F03">
      <w:pPr>
        <w:pStyle w:val="listaa"/>
        <w:numPr>
          <w:ilvl w:val="0"/>
          <w:numId w:val="27"/>
        </w:numPr>
      </w:pPr>
      <w:r w:rsidRPr="0019670A">
        <w:t xml:space="preserve">Préstamos de Mediano y Largo Plazo con </w:t>
      </w:r>
      <w:r>
        <w:t>R</w:t>
      </w:r>
      <w:r w:rsidRPr="0019670A">
        <w:t xml:space="preserve">ecursos </w:t>
      </w:r>
      <w:r>
        <w:t>E</w:t>
      </w:r>
      <w:r w:rsidRPr="0019670A">
        <w:t xml:space="preserve">xternos en moneda nacional vigentes: Crédito otorgado en moneda nacional por el Banco Central, a las entidades financieras supervisadas por la Superintendencia General de Entidades Financieras con recursos externos, obtenidos </w:t>
      </w:r>
      <w:r>
        <w:t>de</w:t>
      </w:r>
      <w:r w:rsidRPr="0019670A">
        <w:t xml:space="preserve"> Gobiernos Extranjeros y Organismos Financieros Internacionales No Monetarios.</w:t>
      </w:r>
      <w:r>
        <w:t xml:space="preserve"> Los recursos existentes son del AID y del BID</w:t>
      </w:r>
    </w:p>
    <w:p w:rsidR="00BC62B7" w:rsidRPr="0019670A" w:rsidRDefault="00BC62B7" w:rsidP="001C1F03">
      <w:pPr>
        <w:pStyle w:val="listaa"/>
        <w:numPr>
          <w:ilvl w:val="0"/>
          <w:numId w:val="27"/>
        </w:numPr>
      </w:pPr>
      <w:r w:rsidRPr="0019670A">
        <w:t xml:space="preserve">Préstamos de Mediano y Largo Plazo con </w:t>
      </w:r>
      <w:r>
        <w:t>R</w:t>
      </w:r>
      <w:r w:rsidRPr="0019670A">
        <w:t xml:space="preserve">ecursos </w:t>
      </w:r>
      <w:r>
        <w:t>I</w:t>
      </w:r>
      <w:r w:rsidRPr="0019670A">
        <w:t xml:space="preserve">nternos en moneda nacional vigentes: Crédito otorgado en moneda nacional por el Banco Central a las entidades financieras supervisadas por la Superintendencia General de Entidades Financieras con recursos internos, en función de la salvaguarda de la estabilidad </w:t>
      </w:r>
      <w:r>
        <w:t>del Sistema Financiero Nacional, se ref</w:t>
      </w:r>
      <w:r w:rsidR="00FE72EE">
        <w:t>iere a los pré</w:t>
      </w:r>
      <w:r>
        <w:t>stamos a departamentos hipotecarios y el único que tenemos en esta línea es el Banco Nacional de Costa Rica.</w:t>
      </w:r>
    </w:p>
    <w:p w:rsidR="00BC62B7" w:rsidRDefault="00BC62B7" w:rsidP="001C1F03">
      <w:pPr>
        <w:pStyle w:val="listaa"/>
        <w:numPr>
          <w:ilvl w:val="0"/>
          <w:numId w:val="27"/>
        </w:numPr>
      </w:pPr>
      <w:r w:rsidRPr="0019670A">
        <w:t xml:space="preserve">Préstamos </w:t>
      </w:r>
      <w:r>
        <w:t>por</w:t>
      </w:r>
      <w:r w:rsidRPr="0019670A">
        <w:t xml:space="preserve"> Reestructuración Deuda Externa en moneda nacional, con equivalencia en moneda extranjera vigentes: Crédito otorgado en moneda nacional con equivalencia en moneda extranjera, a las entidades financieras supervisadas por la Superintendencia General de Entidades Financieras e Instituciones del Sector Público, producto de la intermediación del Banco Central en </w:t>
      </w:r>
      <w:r>
        <w:t>la negociación de Deuda Externa, básicamente Bonos al portador serie A y B.</w:t>
      </w:r>
    </w:p>
    <w:p w:rsidR="00BC62B7" w:rsidRDefault="00BC62B7" w:rsidP="001C1F03">
      <w:pPr>
        <w:pStyle w:val="listaa"/>
        <w:numPr>
          <w:ilvl w:val="0"/>
          <w:numId w:val="27"/>
        </w:numPr>
      </w:pPr>
      <w:r>
        <w:lastRenderedPageBreak/>
        <w:t xml:space="preserve">Préstamos de Mediano y Largo Plazo con Recursos Externos en moneda nacional vencidos: Préstamos concedidos por el Banco Central a mediano y largo plazo, en moneda nacional, con recursos captados en el exterior, los cuales se encuentran vencidos. En la actualidad únicamente se encuentra la Línea de Crédito Nº 1 del AID. </w:t>
      </w:r>
    </w:p>
    <w:p w:rsidR="00BC62B7" w:rsidRPr="0019670A" w:rsidRDefault="00BC62B7" w:rsidP="00C82E3B">
      <w:pPr>
        <w:pStyle w:val="Ttulo1"/>
        <w:jc w:val="both"/>
        <w:rPr>
          <w:rFonts w:ascii="Times New Roman" w:hAnsi="Times New Roman" w:cs="Times New Roman"/>
          <w:color w:val="000080"/>
          <w:sz w:val="24"/>
          <w:szCs w:val="24"/>
          <w:lang w:val="es-CR"/>
        </w:rPr>
      </w:pPr>
      <w:bookmarkStart w:id="32" w:name="_Toc255802907"/>
      <w:r>
        <w:rPr>
          <w:rFonts w:ascii="Times New Roman" w:hAnsi="Times New Roman" w:cs="Times New Roman"/>
          <w:color w:val="000080"/>
          <w:sz w:val="24"/>
          <w:szCs w:val="24"/>
          <w:lang w:val="es-CR"/>
        </w:rPr>
        <w:t xml:space="preserve">Nota </w:t>
      </w:r>
      <w:r w:rsidR="009164B8">
        <w:rPr>
          <w:rFonts w:ascii="Times New Roman" w:hAnsi="Times New Roman" w:cs="Times New Roman"/>
          <w:color w:val="000080"/>
          <w:sz w:val="24"/>
          <w:szCs w:val="24"/>
          <w:lang w:val="es-CR"/>
        </w:rPr>
        <w:t>6</w:t>
      </w:r>
      <w:r>
        <w:rPr>
          <w:rFonts w:ascii="Times New Roman" w:hAnsi="Times New Roman" w:cs="Times New Roman"/>
          <w:color w:val="000080"/>
          <w:sz w:val="24"/>
          <w:szCs w:val="24"/>
          <w:lang w:val="es-CR"/>
        </w:rPr>
        <w:t xml:space="preserve">: </w:t>
      </w:r>
      <w:r w:rsidRPr="0019670A">
        <w:rPr>
          <w:rFonts w:ascii="Times New Roman" w:hAnsi="Times New Roman" w:cs="Times New Roman"/>
          <w:color w:val="000080"/>
          <w:sz w:val="24"/>
          <w:szCs w:val="24"/>
          <w:lang w:val="es-CR"/>
        </w:rPr>
        <w:t xml:space="preserve">Otros Activos </w:t>
      </w:r>
      <w:r>
        <w:rPr>
          <w:rFonts w:ascii="Times New Roman" w:hAnsi="Times New Roman" w:cs="Times New Roman"/>
          <w:color w:val="000080"/>
          <w:sz w:val="24"/>
          <w:szCs w:val="24"/>
          <w:lang w:val="es-CR"/>
        </w:rPr>
        <w:t>(Internos)</w:t>
      </w:r>
      <w:bookmarkEnd w:id="32"/>
    </w:p>
    <w:p w:rsidR="00BC62B7" w:rsidRPr="0019670A" w:rsidRDefault="00BC62B7" w:rsidP="00C82E3B">
      <w:pPr>
        <w:pStyle w:val="TextoparrafosCar"/>
        <w:rPr>
          <w:rFonts w:ascii="Times New Roman" w:hAnsi="Times New Roman"/>
        </w:rPr>
      </w:pPr>
      <w:r w:rsidRPr="0019670A">
        <w:rPr>
          <w:rFonts w:ascii="Times New Roman" w:hAnsi="Times New Roman"/>
        </w:rPr>
        <w:t>El Banco Central de Costa Rica, clasifica bajo este concepto:</w:t>
      </w:r>
    </w:p>
    <w:p w:rsidR="003E240B" w:rsidRDefault="00BC62B7" w:rsidP="001C1F03">
      <w:pPr>
        <w:pStyle w:val="listaa"/>
        <w:numPr>
          <w:ilvl w:val="0"/>
          <w:numId w:val="29"/>
        </w:numPr>
        <w:spacing w:before="0"/>
      </w:pPr>
      <w:r w:rsidRPr="0019670A">
        <w:t xml:space="preserve">Bienes Muebles: Registra los bienes muebles propiedad del Banco Central, sujetos a control de </w:t>
      </w:r>
      <w:r w:rsidR="003E240B" w:rsidRPr="0019670A">
        <w:t>inventario, desglosados de acuerdo al tipo de bien</w:t>
      </w:r>
      <w:r w:rsidR="003E240B">
        <w:t>.</w:t>
      </w:r>
    </w:p>
    <w:p w:rsidR="003E240B" w:rsidRDefault="003E240B" w:rsidP="001C1F03">
      <w:pPr>
        <w:pStyle w:val="listaa"/>
        <w:numPr>
          <w:ilvl w:val="0"/>
          <w:numId w:val="29"/>
        </w:numPr>
        <w:spacing w:before="0"/>
      </w:pPr>
      <w:r w:rsidRPr="0019670A">
        <w:t>Bienes Inmuebles: Registra los bienes inmuebles propiedad del Banco Central, utilizados para la realización de sus funciones normales</w:t>
      </w:r>
      <w:r>
        <w:t>.</w:t>
      </w:r>
    </w:p>
    <w:tbl>
      <w:tblPr>
        <w:tblpPr w:leftFromText="141" w:rightFromText="141" w:vertAnchor="text" w:horzAnchor="margin" w:tblpXSpec="center" w:tblpY="8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1260"/>
        <w:gridCol w:w="360"/>
        <w:gridCol w:w="1800"/>
      </w:tblGrid>
      <w:tr w:rsidR="0027778C" w:rsidRPr="00D65625" w:rsidTr="0027778C">
        <w:tc>
          <w:tcPr>
            <w:tcW w:w="3528" w:type="dxa"/>
            <w:shd w:val="clear" w:color="auto" w:fill="000080"/>
            <w:vAlign w:val="center"/>
          </w:tcPr>
          <w:p w:rsidR="0027778C" w:rsidRPr="00D65625" w:rsidRDefault="0027778C" w:rsidP="0027778C">
            <w:pPr>
              <w:jc w:val="center"/>
              <w:rPr>
                <w:color w:val="FFFFFF"/>
                <w:sz w:val="28"/>
                <w:szCs w:val="28"/>
                <w:lang w:val="es-ES"/>
              </w:rPr>
            </w:pPr>
            <w:r w:rsidRPr="00D65625">
              <w:rPr>
                <w:color w:val="FFFFFF"/>
                <w:sz w:val="28"/>
                <w:szCs w:val="28"/>
                <w:lang w:val="es-ES"/>
              </w:rPr>
              <w:t>Descripción</w:t>
            </w:r>
          </w:p>
        </w:tc>
        <w:tc>
          <w:tcPr>
            <w:tcW w:w="1620" w:type="dxa"/>
            <w:gridSpan w:val="2"/>
            <w:shd w:val="clear" w:color="auto" w:fill="000080"/>
            <w:vAlign w:val="center"/>
          </w:tcPr>
          <w:p w:rsidR="0027778C" w:rsidRPr="00D65625" w:rsidRDefault="0027778C" w:rsidP="0027778C">
            <w:pPr>
              <w:jc w:val="center"/>
              <w:rPr>
                <w:color w:val="FFFFFF"/>
                <w:sz w:val="28"/>
                <w:szCs w:val="28"/>
                <w:lang w:val="es-ES"/>
              </w:rPr>
            </w:pPr>
            <w:r w:rsidRPr="00D65625">
              <w:rPr>
                <w:color w:val="FFFFFF"/>
                <w:sz w:val="28"/>
                <w:szCs w:val="28"/>
                <w:lang w:val="es-ES"/>
              </w:rPr>
              <w:t>Vida Útil</w:t>
            </w:r>
          </w:p>
        </w:tc>
        <w:tc>
          <w:tcPr>
            <w:tcW w:w="1800" w:type="dxa"/>
            <w:shd w:val="clear" w:color="auto" w:fill="000080"/>
            <w:vAlign w:val="center"/>
          </w:tcPr>
          <w:p w:rsidR="0027778C" w:rsidRPr="00D65625" w:rsidRDefault="0027778C" w:rsidP="0027778C">
            <w:pPr>
              <w:jc w:val="center"/>
              <w:rPr>
                <w:color w:val="FFFFFF"/>
                <w:sz w:val="28"/>
                <w:szCs w:val="28"/>
                <w:lang w:val="es-ES"/>
              </w:rPr>
            </w:pPr>
            <w:r w:rsidRPr="00D65625">
              <w:rPr>
                <w:color w:val="FFFFFF"/>
                <w:sz w:val="28"/>
                <w:szCs w:val="28"/>
                <w:lang w:val="es-ES"/>
              </w:rPr>
              <w:t>Depreciación</w:t>
            </w:r>
          </w:p>
        </w:tc>
      </w:tr>
      <w:tr w:rsidR="0027778C" w:rsidRPr="00D65625" w:rsidTr="0027778C">
        <w:tc>
          <w:tcPr>
            <w:tcW w:w="3528" w:type="dxa"/>
            <w:tcBorders>
              <w:right w:val="nil"/>
            </w:tcBorders>
          </w:tcPr>
          <w:p w:rsidR="0027778C" w:rsidRPr="00D65625" w:rsidRDefault="0027778C" w:rsidP="0027778C">
            <w:pPr>
              <w:rPr>
                <w:b/>
                <w:lang w:val="es-ES"/>
              </w:rPr>
            </w:pPr>
            <w:r w:rsidRPr="00D65625">
              <w:rPr>
                <w:b/>
                <w:lang w:val="es-ES"/>
              </w:rPr>
              <w:t>Bienes Muebles</w:t>
            </w:r>
          </w:p>
        </w:tc>
        <w:tc>
          <w:tcPr>
            <w:tcW w:w="1260" w:type="dxa"/>
            <w:tcBorders>
              <w:left w:val="nil"/>
              <w:right w:val="nil"/>
            </w:tcBorders>
          </w:tcPr>
          <w:p w:rsidR="0027778C" w:rsidRPr="00D65625" w:rsidRDefault="0027778C" w:rsidP="0027778C">
            <w:pPr>
              <w:jc w:val="center"/>
              <w:rPr>
                <w:lang w:val="es-ES"/>
              </w:rPr>
            </w:pPr>
          </w:p>
        </w:tc>
        <w:tc>
          <w:tcPr>
            <w:tcW w:w="2160" w:type="dxa"/>
            <w:gridSpan w:val="2"/>
            <w:tcBorders>
              <w:left w:val="nil"/>
            </w:tcBorders>
          </w:tcPr>
          <w:p w:rsidR="0027778C" w:rsidRPr="00D65625" w:rsidRDefault="0027778C" w:rsidP="0027778C">
            <w:pPr>
              <w:jc w:val="center"/>
              <w:rPr>
                <w:lang w:val="es-ES"/>
              </w:rPr>
            </w:pPr>
          </w:p>
        </w:tc>
      </w:tr>
      <w:tr w:rsidR="0027778C" w:rsidRPr="00D65625" w:rsidTr="0027778C">
        <w:tc>
          <w:tcPr>
            <w:tcW w:w="3528" w:type="dxa"/>
          </w:tcPr>
          <w:p w:rsidR="0027778C" w:rsidRPr="00D65625" w:rsidRDefault="0027778C" w:rsidP="0027778C">
            <w:pPr>
              <w:rPr>
                <w:lang w:val="es-ES"/>
              </w:rPr>
            </w:pPr>
            <w:r w:rsidRPr="00D65625">
              <w:rPr>
                <w:lang w:val="es-ES"/>
              </w:rPr>
              <w:t xml:space="preserve">  Equipo y Mobiliario</w:t>
            </w:r>
          </w:p>
        </w:tc>
        <w:tc>
          <w:tcPr>
            <w:tcW w:w="1260" w:type="dxa"/>
          </w:tcPr>
          <w:p w:rsidR="0027778C" w:rsidRPr="00D65625" w:rsidRDefault="0027778C" w:rsidP="0027778C">
            <w:pPr>
              <w:jc w:val="center"/>
              <w:rPr>
                <w:lang w:val="es-ES"/>
              </w:rPr>
            </w:pPr>
            <w:r w:rsidRPr="00D65625">
              <w:rPr>
                <w:lang w:val="es-ES"/>
              </w:rPr>
              <w:t>10 años</w:t>
            </w:r>
          </w:p>
        </w:tc>
        <w:tc>
          <w:tcPr>
            <w:tcW w:w="2160" w:type="dxa"/>
            <w:gridSpan w:val="2"/>
          </w:tcPr>
          <w:p w:rsidR="0027778C" w:rsidRPr="00D65625" w:rsidRDefault="0027778C" w:rsidP="0027778C">
            <w:pPr>
              <w:jc w:val="center"/>
              <w:rPr>
                <w:lang w:val="es-ES"/>
              </w:rPr>
            </w:pPr>
            <w:r w:rsidRPr="00D65625">
              <w:rPr>
                <w:lang w:val="es-ES"/>
              </w:rPr>
              <w:t>10%</w:t>
            </w:r>
          </w:p>
        </w:tc>
      </w:tr>
      <w:tr w:rsidR="0027778C" w:rsidRPr="00D65625" w:rsidTr="0027778C">
        <w:tc>
          <w:tcPr>
            <w:tcW w:w="3528" w:type="dxa"/>
            <w:tcBorders>
              <w:right w:val="nil"/>
            </w:tcBorders>
          </w:tcPr>
          <w:p w:rsidR="0027778C" w:rsidRPr="00D65625" w:rsidRDefault="0027778C" w:rsidP="0027778C">
            <w:pPr>
              <w:rPr>
                <w:b/>
                <w:lang w:val="es-ES"/>
              </w:rPr>
            </w:pPr>
            <w:r w:rsidRPr="00D65625">
              <w:rPr>
                <w:b/>
                <w:lang w:val="es-ES"/>
              </w:rPr>
              <w:t>Bienes Inmuebles</w:t>
            </w:r>
          </w:p>
        </w:tc>
        <w:tc>
          <w:tcPr>
            <w:tcW w:w="1260" w:type="dxa"/>
            <w:tcBorders>
              <w:left w:val="nil"/>
              <w:right w:val="nil"/>
            </w:tcBorders>
          </w:tcPr>
          <w:p w:rsidR="0027778C" w:rsidRPr="00D65625" w:rsidRDefault="0027778C" w:rsidP="0027778C">
            <w:pPr>
              <w:rPr>
                <w:b/>
                <w:lang w:val="es-ES"/>
              </w:rPr>
            </w:pPr>
          </w:p>
        </w:tc>
        <w:tc>
          <w:tcPr>
            <w:tcW w:w="2160" w:type="dxa"/>
            <w:gridSpan w:val="2"/>
            <w:tcBorders>
              <w:left w:val="nil"/>
            </w:tcBorders>
          </w:tcPr>
          <w:p w:rsidR="0027778C" w:rsidRPr="00D65625" w:rsidRDefault="0027778C" w:rsidP="0027778C">
            <w:pPr>
              <w:rPr>
                <w:b/>
                <w:lang w:val="es-ES"/>
              </w:rPr>
            </w:pPr>
          </w:p>
        </w:tc>
      </w:tr>
      <w:tr w:rsidR="0027778C" w:rsidRPr="00D65625" w:rsidTr="0027778C">
        <w:tc>
          <w:tcPr>
            <w:tcW w:w="3528" w:type="dxa"/>
          </w:tcPr>
          <w:p w:rsidR="0027778C" w:rsidRPr="00D65625" w:rsidRDefault="0027778C" w:rsidP="0027778C">
            <w:pPr>
              <w:rPr>
                <w:lang w:val="es-ES"/>
              </w:rPr>
            </w:pPr>
            <w:r w:rsidRPr="00D65625">
              <w:rPr>
                <w:lang w:val="es-ES"/>
              </w:rPr>
              <w:t xml:space="preserve">  Edificio</w:t>
            </w:r>
          </w:p>
        </w:tc>
        <w:tc>
          <w:tcPr>
            <w:tcW w:w="1260" w:type="dxa"/>
          </w:tcPr>
          <w:p w:rsidR="0027778C" w:rsidRPr="00D65625" w:rsidRDefault="0027778C" w:rsidP="0027778C">
            <w:pPr>
              <w:jc w:val="center"/>
              <w:rPr>
                <w:lang w:val="es-ES"/>
              </w:rPr>
            </w:pPr>
            <w:r w:rsidRPr="00D65625">
              <w:rPr>
                <w:lang w:val="es-ES"/>
              </w:rPr>
              <w:t>50 años</w:t>
            </w:r>
          </w:p>
        </w:tc>
        <w:tc>
          <w:tcPr>
            <w:tcW w:w="2160" w:type="dxa"/>
            <w:gridSpan w:val="2"/>
          </w:tcPr>
          <w:p w:rsidR="0027778C" w:rsidRPr="00D65625" w:rsidRDefault="0027778C" w:rsidP="0027778C">
            <w:pPr>
              <w:jc w:val="center"/>
              <w:rPr>
                <w:lang w:val="es-ES"/>
              </w:rPr>
            </w:pPr>
            <w:r w:rsidRPr="00D65625">
              <w:rPr>
                <w:lang w:val="es-ES"/>
              </w:rPr>
              <w:t>2%</w:t>
            </w:r>
          </w:p>
        </w:tc>
      </w:tr>
      <w:tr w:rsidR="0027778C" w:rsidRPr="00D65625" w:rsidTr="0027778C">
        <w:tc>
          <w:tcPr>
            <w:tcW w:w="3528" w:type="dxa"/>
            <w:tcBorders>
              <w:right w:val="nil"/>
            </w:tcBorders>
          </w:tcPr>
          <w:p w:rsidR="0027778C" w:rsidRPr="00D65625" w:rsidRDefault="0027778C" w:rsidP="0027778C">
            <w:pPr>
              <w:rPr>
                <w:b/>
                <w:lang w:val="es-ES"/>
              </w:rPr>
            </w:pPr>
            <w:r w:rsidRPr="00D65625">
              <w:rPr>
                <w:b/>
                <w:lang w:val="es-ES"/>
              </w:rPr>
              <w:t>Transporte</w:t>
            </w:r>
          </w:p>
        </w:tc>
        <w:tc>
          <w:tcPr>
            <w:tcW w:w="1260" w:type="dxa"/>
            <w:tcBorders>
              <w:left w:val="nil"/>
              <w:right w:val="nil"/>
            </w:tcBorders>
          </w:tcPr>
          <w:p w:rsidR="0027778C" w:rsidRPr="00D65625" w:rsidRDefault="0027778C" w:rsidP="0027778C">
            <w:pPr>
              <w:jc w:val="center"/>
              <w:rPr>
                <w:b/>
                <w:lang w:val="es-ES"/>
              </w:rPr>
            </w:pPr>
          </w:p>
        </w:tc>
        <w:tc>
          <w:tcPr>
            <w:tcW w:w="2160" w:type="dxa"/>
            <w:gridSpan w:val="2"/>
            <w:tcBorders>
              <w:left w:val="nil"/>
            </w:tcBorders>
          </w:tcPr>
          <w:p w:rsidR="0027778C" w:rsidRPr="00D65625" w:rsidRDefault="0027778C" w:rsidP="0027778C">
            <w:pPr>
              <w:jc w:val="center"/>
              <w:rPr>
                <w:b/>
                <w:lang w:val="es-ES"/>
              </w:rPr>
            </w:pPr>
          </w:p>
        </w:tc>
      </w:tr>
      <w:tr w:rsidR="0027778C" w:rsidRPr="00D65625" w:rsidTr="0027778C">
        <w:trPr>
          <w:trHeight w:val="70"/>
        </w:trPr>
        <w:tc>
          <w:tcPr>
            <w:tcW w:w="3528" w:type="dxa"/>
            <w:tcBorders>
              <w:bottom w:val="nil"/>
            </w:tcBorders>
          </w:tcPr>
          <w:p w:rsidR="0027778C" w:rsidRPr="00D65625" w:rsidRDefault="0027778C" w:rsidP="0027778C">
            <w:pPr>
              <w:rPr>
                <w:lang w:val="es-ES"/>
              </w:rPr>
            </w:pPr>
            <w:r w:rsidRPr="00D65625">
              <w:rPr>
                <w:lang w:val="es-ES"/>
              </w:rPr>
              <w:t xml:space="preserve">  Microbuses</w:t>
            </w:r>
            <w:r>
              <w:rPr>
                <w:lang w:val="es-ES"/>
              </w:rPr>
              <w:t xml:space="preserve">  </w:t>
            </w:r>
            <w:r>
              <w:rPr>
                <w:rStyle w:val="Refdenotaalpie"/>
                <w:lang w:val="es-ES"/>
              </w:rPr>
              <w:footnoteReference w:id="1"/>
            </w:r>
          </w:p>
        </w:tc>
        <w:tc>
          <w:tcPr>
            <w:tcW w:w="1260" w:type="dxa"/>
            <w:tcBorders>
              <w:bottom w:val="nil"/>
            </w:tcBorders>
          </w:tcPr>
          <w:p w:rsidR="0027778C" w:rsidRPr="00D65625" w:rsidRDefault="0027778C" w:rsidP="0027778C">
            <w:pPr>
              <w:jc w:val="center"/>
              <w:rPr>
                <w:lang w:val="es-ES"/>
              </w:rPr>
            </w:pPr>
            <w:r w:rsidRPr="00D65625">
              <w:rPr>
                <w:lang w:val="es-ES"/>
              </w:rPr>
              <w:t>7 años</w:t>
            </w:r>
          </w:p>
        </w:tc>
        <w:tc>
          <w:tcPr>
            <w:tcW w:w="2160" w:type="dxa"/>
            <w:gridSpan w:val="2"/>
            <w:tcBorders>
              <w:bottom w:val="nil"/>
            </w:tcBorders>
          </w:tcPr>
          <w:p w:rsidR="0027778C" w:rsidRPr="00D65625" w:rsidRDefault="0027778C" w:rsidP="0027778C">
            <w:pPr>
              <w:jc w:val="center"/>
              <w:rPr>
                <w:lang w:val="es-ES"/>
              </w:rPr>
            </w:pPr>
            <w:r w:rsidRPr="00D65625">
              <w:rPr>
                <w:lang w:val="es-ES"/>
              </w:rPr>
              <w:t>15%</w:t>
            </w:r>
          </w:p>
        </w:tc>
      </w:tr>
      <w:tr w:rsidR="0027778C" w:rsidRPr="00D65625" w:rsidTr="0027778C">
        <w:tc>
          <w:tcPr>
            <w:tcW w:w="3528" w:type="dxa"/>
            <w:tcBorders>
              <w:top w:val="nil"/>
              <w:bottom w:val="nil"/>
            </w:tcBorders>
          </w:tcPr>
          <w:p w:rsidR="0027778C" w:rsidRPr="00D65625" w:rsidRDefault="0027778C" w:rsidP="0027778C">
            <w:pPr>
              <w:rPr>
                <w:lang w:val="es-ES"/>
              </w:rPr>
            </w:pPr>
            <w:r w:rsidRPr="00D65625">
              <w:rPr>
                <w:lang w:val="es-ES"/>
              </w:rPr>
              <w:t xml:space="preserve">  Automóviles</w:t>
            </w:r>
          </w:p>
        </w:tc>
        <w:tc>
          <w:tcPr>
            <w:tcW w:w="1260" w:type="dxa"/>
            <w:tcBorders>
              <w:top w:val="nil"/>
              <w:bottom w:val="nil"/>
            </w:tcBorders>
          </w:tcPr>
          <w:p w:rsidR="0027778C" w:rsidRPr="00D65625" w:rsidRDefault="0027778C" w:rsidP="0027778C">
            <w:pPr>
              <w:jc w:val="center"/>
              <w:rPr>
                <w:lang w:val="es-ES"/>
              </w:rPr>
            </w:pPr>
            <w:r w:rsidRPr="00D65625">
              <w:rPr>
                <w:lang w:val="es-ES"/>
              </w:rPr>
              <w:t>10 años</w:t>
            </w:r>
          </w:p>
        </w:tc>
        <w:tc>
          <w:tcPr>
            <w:tcW w:w="2160" w:type="dxa"/>
            <w:gridSpan w:val="2"/>
            <w:tcBorders>
              <w:top w:val="nil"/>
              <w:bottom w:val="nil"/>
            </w:tcBorders>
          </w:tcPr>
          <w:p w:rsidR="0027778C" w:rsidRPr="00D65625" w:rsidRDefault="0027778C" w:rsidP="0027778C">
            <w:pPr>
              <w:jc w:val="center"/>
              <w:rPr>
                <w:lang w:val="es-ES"/>
              </w:rPr>
            </w:pPr>
            <w:r w:rsidRPr="00D65625">
              <w:rPr>
                <w:lang w:val="es-ES"/>
              </w:rPr>
              <w:t>10%</w:t>
            </w:r>
          </w:p>
        </w:tc>
      </w:tr>
      <w:tr w:rsidR="0027778C" w:rsidRPr="00D65625" w:rsidTr="0027778C">
        <w:tc>
          <w:tcPr>
            <w:tcW w:w="3528" w:type="dxa"/>
            <w:tcBorders>
              <w:top w:val="nil"/>
            </w:tcBorders>
          </w:tcPr>
          <w:p w:rsidR="0027778C" w:rsidRPr="00D65625" w:rsidRDefault="0027778C" w:rsidP="0027778C">
            <w:pPr>
              <w:rPr>
                <w:lang w:val="es-ES"/>
              </w:rPr>
            </w:pPr>
            <w:r w:rsidRPr="00D65625">
              <w:rPr>
                <w:lang w:val="es-ES"/>
              </w:rPr>
              <w:t xml:space="preserve">  Vehículos de carga (livianos)</w:t>
            </w:r>
          </w:p>
        </w:tc>
        <w:tc>
          <w:tcPr>
            <w:tcW w:w="1260" w:type="dxa"/>
            <w:tcBorders>
              <w:top w:val="nil"/>
            </w:tcBorders>
          </w:tcPr>
          <w:p w:rsidR="0027778C" w:rsidRPr="00D65625" w:rsidRDefault="0027778C" w:rsidP="0027778C">
            <w:pPr>
              <w:jc w:val="center"/>
              <w:rPr>
                <w:lang w:val="es-ES"/>
              </w:rPr>
            </w:pPr>
            <w:r w:rsidRPr="00D65625">
              <w:rPr>
                <w:lang w:val="es-ES"/>
              </w:rPr>
              <w:t>10 años</w:t>
            </w:r>
          </w:p>
        </w:tc>
        <w:tc>
          <w:tcPr>
            <w:tcW w:w="2160" w:type="dxa"/>
            <w:gridSpan w:val="2"/>
            <w:tcBorders>
              <w:top w:val="nil"/>
            </w:tcBorders>
          </w:tcPr>
          <w:p w:rsidR="0027778C" w:rsidRPr="00D65625" w:rsidRDefault="0027778C" w:rsidP="0027778C">
            <w:pPr>
              <w:jc w:val="center"/>
              <w:rPr>
                <w:lang w:val="es-ES"/>
              </w:rPr>
            </w:pPr>
            <w:r w:rsidRPr="00D65625">
              <w:rPr>
                <w:lang w:val="es-ES"/>
              </w:rPr>
              <w:t>10%</w:t>
            </w:r>
          </w:p>
        </w:tc>
      </w:tr>
      <w:tr w:rsidR="0027778C" w:rsidRPr="00D65625" w:rsidTr="0027778C">
        <w:tc>
          <w:tcPr>
            <w:tcW w:w="3528" w:type="dxa"/>
          </w:tcPr>
          <w:p w:rsidR="0027778C" w:rsidRPr="00D65625" w:rsidRDefault="0027778C" w:rsidP="0027778C">
            <w:pPr>
              <w:rPr>
                <w:b/>
                <w:lang w:val="es-ES"/>
              </w:rPr>
            </w:pPr>
            <w:r w:rsidRPr="00D65625">
              <w:rPr>
                <w:b/>
                <w:lang w:val="es-ES"/>
              </w:rPr>
              <w:t>Equipo de Cómputo</w:t>
            </w:r>
          </w:p>
        </w:tc>
        <w:tc>
          <w:tcPr>
            <w:tcW w:w="1260" w:type="dxa"/>
          </w:tcPr>
          <w:p w:rsidR="0027778C" w:rsidRPr="00D65625" w:rsidRDefault="0027778C" w:rsidP="0027778C">
            <w:pPr>
              <w:jc w:val="center"/>
              <w:rPr>
                <w:lang w:val="es-ES"/>
              </w:rPr>
            </w:pPr>
            <w:r w:rsidRPr="00D65625">
              <w:rPr>
                <w:lang w:val="es-ES"/>
              </w:rPr>
              <w:t>5 años</w:t>
            </w:r>
          </w:p>
        </w:tc>
        <w:tc>
          <w:tcPr>
            <w:tcW w:w="2160" w:type="dxa"/>
            <w:gridSpan w:val="2"/>
          </w:tcPr>
          <w:p w:rsidR="0027778C" w:rsidRPr="00D65625" w:rsidRDefault="0027778C" w:rsidP="0027778C">
            <w:pPr>
              <w:jc w:val="center"/>
              <w:rPr>
                <w:lang w:val="es-ES"/>
              </w:rPr>
            </w:pPr>
            <w:r w:rsidRPr="00D65625">
              <w:rPr>
                <w:lang w:val="es-ES"/>
              </w:rPr>
              <w:t>20%</w:t>
            </w:r>
          </w:p>
        </w:tc>
      </w:tr>
      <w:tr w:rsidR="0027778C" w:rsidRPr="00D65625" w:rsidTr="0027778C">
        <w:tc>
          <w:tcPr>
            <w:tcW w:w="3528" w:type="dxa"/>
            <w:tcBorders>
              <w:right w:val="nil"/>
            </w:tcBorders>
          </w:tcPr>
          <w:p w:rsidR="0027778C" w:rsidRPr="00D65625" w:rsidRDefault="0027778C" w:rsidP="0027778C">
            <w:pPr>
              <w:rPr>
                <w:lang w:val="es-ES"/>
              </w:rPr>
            </w:pPr>
            <w:r w:rsidRPr="00D65625">
              <w:rPr>
                <w:b/>
                <w:lang w:val="es-ES"/>
              </w:rPr>
              <w:t>Intangibles</w:t>
            </w:r>
          </w:p>
        </w:tc>
        <w:tc>
          <w:tcPr>
            <w:tcW w:w="1260" w:type="dxa"/>
            <w:tcBorders>
              <w:left w:val="nil"/>
              <w:right w:val="nil"/>
            </w:tcBorders>
          </w:tcPr>
          <w:p w:rsidR="0027778C" w:rsidRPr="00D65625" w:rsidRDefault="0027778C" w:rsidP="0027778C">
            <w:pPr>
              <w:rPr>
                <w:lang w:val="es-ES"/>
              </w:rPr>
            </w:pPr>
          </w:p>
        </w:tc>
        <w:tc>
          <w:tcPr>
            <w:tcW w:w="2160" w:type="dxa"/>
            <w:gridSpan w:val="2"/>
            <w:tcBorders>
              <w:left w:val="nil"/>
            </w:tcBorders>
          </w:tcPr>
          <w:p w:rsidR="0027778C" w:rsidRPr="00D65625" w:rsidRDefault="0027778C" w:rsidP="0027778C">
            <w:pPr>
              <w:rPr>
                <w:lang w:val="es-ES"/>
              </w:rPr>
            </w:pPr>
          </w:p>
        </w:tc>
      </w:tr>
      <w:tr w:rsidR="0027778C" w:rsidRPr="00D65625" w:rsidTr="0027778C">
        <w:tc>
          <w:tcPr>
            <w:tcW w:w="3528" w:type="dxa"/>
          </w:tcPr>
          <w:p w:rsidR="0027778C" w:rsidRPr="00D65625" w:rsidRDefault="0027778C" w:rsidP="0027778C">
            <w:pPr>
              <w:rPr>
                <w:lang w:val="es-ES"/>
              </w:rPr>
            </w:pPr>
            <w:r w:rsidRPr="00D65625">
              <w:rPr>
                <w:lang w:val="es-ES"/>
              </w:rPr>
              <w:t xml:space="preserve">  Programas (Software)</w:t>
            </w:r>
          </w:p>
        </w:tc>
        <w:tc>
          <w:tcPr>
            <w:tcW w:w="1260" w:type="dxa"/>
          </w:tcPr>
          <w:p w:rsidR="0027778C" w:rsidRPr="00D65625" w:rsidRDefault="0027778C" w:rsidP="0027778C">
            <w:pPr>
              <w:jc w:val="center"/>
              <w:rPr>
                <w:lang w:val="es-ES"/>
              </w:rPr>
            </w:pPr>
            <w:r w:rsidRPr="00D65625">
              <w:rPr>
                <w:lang w:val="es-ES"/>
              </w:rPr>
              <w:t>5 años</w:t>
            </w:r>
          </w:p>
        </w:tc>
        <w:tc>
          <w:tcPr>
            <w:tcW w:w="2160" w:type="dxa"/>
            <w:gridSpan w:val="2"/>
          </w:tcPr>
          <w:p w:rsidR="0027778C" w:rsidRPr="00D65625" w:rsidRDefault="0027778C" w:rsidP="0027778C">
            <w:pPr>
              <w:jc w:val="center"/>
              <w:rPr>
                <w:lang w:val="es-ES"/>
              </w:rPr>
            </w:pPr>
            <w:r w:rsidRPr="00D65625">
              <w:rPr>
                <w:lang w:val="es-ES"/>
              </w:rPr>
              <w:t>20%</w:t>
            </w:r>
          </w:p>
        </w:tc>
      </w:tr>
    </w:tbl>
    <w:p w:rsidR="003E240B" w:rsidRDefault="003E240B" w:rsidP="0027778C">
      <w:pPr>
        <w:pStyle w:val="listaa"/>
        <w:numPr>
          <w:ilvl w:val="0"/>
          <w:numId w:val="0"/>
        </w:numPr>
        <w:spacing w:before="0"/>
      </w:pPr>
      <w:r>
        <w:t>El importe sistemático por depreciación se determina como sigue:</w:t>
      </w:r>
    </w:p>
    <w:p w:rsidR="003E240B" w:rsidRDefault="003E240B" w:rsidP="0093118D">
      <w:pPr>
        <w:pStyle w:val="listaa"/>
        <w:numPr>
          <w:ilvl w:val="0"/>
          <w:numId w:val="0"/>
        </w:numPr>
        <w:spacing w:before="0" w:after="120"/>
      </w:pPr>
    </w:p>
    <w:p w:rsidR="003E240B" w:rsidRDefault="003E240B" w:rsidP="00873CC5">
      <w:pPr>
        <w:pStyle w:val="listaa"/>
        <w:numPr>
          <w:ilvl w:val="0"/>
          <w:numId w:val="31"/>
        </w:numPr>
        <w:spacing w:before="360"/>
        <w:ind w:left="357" w:hanging="357"/>
      </w:pPr>
      <w:r w:rsidRPr="0019670A">
        <w:t>Museo y Biblioteca: Los bienes de colección propiedad del  Banco Central de Costa Rica, tales como pinturas, obras de arte, numismática</w:t>
      </w:r>
      <w:r>
        <w:t xml:space="preserve"> (boleto de café, </w:t>
      </w:r>
      <w:r w:rsidRPr="0019670A">
        <w:t>billetes y monedas</w:t>
      </w:r>
      <w:r>
        <w:t>)</w:t>
      </w:r>
      <w:r w:rsidRPr="0019670A">
        <w:t>, esculturas</w:t>
      </w:r>
      <w:r>
        <w:t xml:space="preserve"> y </w:t>
      </w:r>
      <w:r w:rsidRPr="0019670A">
        <w:t xml:space="preserve">objetos </w:t>
      </w:r>
      <w:r>
        <w:t>de piedra, jade, vidrio y cerámica</w:t>
      </w:r>
      <w:r w:rsidRPr="0019670A">
        <w:t>. Además se incluyen las adquisiciones que correspond</w:t>
      </w:r>
      <w:r>
        <w:t>a</w:t>
      </w:r>
      <w:r w:rsidRPr="0019670A">
        <w:t>n para la gestión de la Biblioteca del Banco Central.</w:t>
      </w:r>
    </w:p>
    <w:p w:rsidR="00BC62B7" w:rsidRDefault="00BC62B7" w:rsidP="001C1F03">
      <w:pPr>
        <w:pStyle w:val="listaa"/>
        <w:numPr>
          <w:ilvl w:val="0"/>
          <w:numId w:val="31"/>
        </w:numPr>
      </w:pPr>
      <w:r w:rsidRPr="00860D45">
        <w:t xml:space="preserve">Activos Diversos: Recibidos en transacciones que no son propias de la actividad </w:t>
      </w:r>
      <w:r w:rsidRPr="00860D45">
        <w:rPr>
          <w:b/>
        </w:rPr>
        <w:t>normal</w:t>
      </w:r>
      <w:r w:rsidR="00516E2F" w:rsidRPr="00860D45">
        <w:rPr>
          <w:b/>
        </w:rPr>
        <w:t xml:space="preserve"> (incluye los adelantos en M/N)</w:t>
      </w:r>
      <w:r w:rsidRPr="00860D45">
        <w:rPr>
          <w:b/>
        </w:rPr>
        <w:t>, no clasificados en cuentas específicas,</w:t>
      </w:r>
      <w:r w:rsidRPr="00860D45">
        <w:t xml:space="preserve"> destacando los títulos de capitalización bancaria Ley 6586 y acciones recibidas en</w:t>
      </w:r>
      <w:r>
        <w:t xml:space="preserve"> dación de pago (Club </w:t>
      </w:r>
      <w:r w:rsidR="003D0912">
        <w:t>Unión</w:t>
      </w:r>
      <w:r>
        <w:t>).</w:t>
      </w:r>
    </w:p>
    <w:p w:rsidR="00516E2F" w:rsidRDefault="00516E2F" w:rsidP="001C1F03">
      <w:pPr>
        <w:pStyle w:val="listaa"/>
        <w:numPr>
          <w:ilvl w:val="0"/>
          <w:numId w:val="31"/>
        </w:numPr>
      </w:pPr>
      <w:r>
        <w:t xml:space="preserve">Depósitos en garantía en M/N:  </w:t>
      </w:r>
      <w:r w:rsidRPr="00516E2F">
        <w:t>Corresponde a la obligación creada por los depósitos recibidos en garantía, en moneda nacional y de residentes por participación y cumplimiento de licitaciones</w:t>
      </w:r>
      <w:proofErr w:type="gramStart"/>
      <w:r w:rsidRPr="00516E2F">
        <w:t>..</w:t>
      </w:r>
      <w:proofErr w:type="gramEnd"/>
    </w:p>
    <w:p w:rsidR="00A638CF" w:rsidRPr="0019670A" w:rsidRDefault="00A638CF" w:rsidP="001C1F03">
      <w:pPr>
        <w:pStyle w:val="listaa"/>
        <w:numPr>
          <w:ilvl w:val="0"/>
          <w:numId w:val="31"/>
        </w:numPr>
      </w:pPr>
      <w:r>
        <w:lastRenderedPageBreak/>
        <w:t xml:space="preserve">Varios Deudores en M/N: </w:t>
      </w:r>
      <w:r w:rsidRPr="00A638CF">
        <w:t>Registra los derechos y valores de diversa índole en moneda nacional, que el Banco adquiere de terceros, los cuales no se encuentran clasificados en cuentas específicas.</w:t>
      </w:r>
    </w:p>
    <w:p w:rsidR="00D860DF" w:rsidRPr="0019670A" w:rsidRDefault="00D860DF" w:rsidP="00D860DF">
      <w:pPr>
        <w:pStyle w:val="listaa"/>
        <w:numPr>
          <w:ilvl w:val="0"/>
          <w:numId w:val="31"/>
        </w:numPr>
      </w:pPr>
      <w:r>
        <w:t xml:space="preserve">Cheques y Valores  compensados por liquidar en M/E: </w:t>
      </w:r>
      <w:r w:rsidRPr="00A638CF">
        <w:t xml:space="preserve">Registra </w:t>
      </w:r>
      <w:r>
        <w:t xml:space="preserve">transitoriamente los cheques y otros valores en moneda extranjera a cargo del Banco Central o de sus cuentacorrentistas, que son recibidos para su liquidación, por medio de la </w:t>
      </w:r>
      <w:proofErr w:type="spellStart"/>
      <w:r>
        <w:t>la</w:t>
      </w:r>
      <w:proofErr w:type="spellEnd"/>
      <w:r>
        <w:t xml:space="preserve"> Cámara de Compensación en dólares.</w:t>
      </w:r>
    </w:p>
    <w:p w:rsidR="00BC62B7" w:rsidRDefault="00BC62B7" w:rsidP="001C1F03">
      <w:pPr>
        <w:pStyle w:val="listaa"/>
        <w:numPr>
          <w:ilvl w:val="0"/>
          <w:numId w:val="31"/>
        </w:numPr>
      </w:pPr>
      <w:r w:rsidRPr="0019670A">
        <w:t xml:space="preserve">Bienes </w:t>
      </w:r>
      <w:proofErr w:type="spellStart"/>
      <w:r w:rsidRPr="0019670A">
        <w:t>Fideicometidos</w:t>
      </w:r>
      <w:proofErr w:type="spellEnd"/>
      <w:r w:rsidRPr="0019670A">
        <w:t>: Activos correspondientes a los fideicomisos en los que el Banco actúa como fiduciario.</w:t>
      </w:r>
      <w:r>
        <w:t xml:space="preserve"> Cartera del antiguo Banco Anglo Costarricense –Fideicomiso 03/99 BCCR/BPDC.</w:t>
      </w:r>
    </w:p>
    <w:p w:rsidR="00BC62B7" w:rsidRDefault="00BC62B7" w:rsidP="001C1F03">
      <w:pPr>
        <w:pStyle w:val="listaa"/>
        <w:numPr>
          <w:ilvl w:val="0"/>
          <w:numId w:val="31"/>
        </w:numPr>
      </w:pPr>
      <w:r>
        <w:t>Administración de emisión y acuñación de numerario: se registra el costo del billete y moneda cuando se efectúa el pago al proveedor y se amortiza conforme el numerario nuevo se pone en circulación.</w:t>
      </w:r>
    </w:p>
    <w:p w:rsidR="009164B8" w:rsidRDefault="009164B8" w:rsidP="00A60C20">
      <w:pPr>
        <w:pStyle w:val="Ttulo1"/>
        <w:spacing w:before="360"/>
        <w:jc w:val="both"/>
        <w:rPr>
          <w:rFonts w:ascii="Times New Roman" w:hAnsi="Times New Roman" w:cs="Times New Roman"/>
          <w:color w:val="000080"/>
          <w:sz w:val="24"/>
          <w:szCs w:val="24"/>
          <w:lang w:val="es-CR"/>
        </w:rPr>
      </w:pPr>
      <w:bookmarkStart w:id="33" w:name="_Toc90778994"/>
      <w:bookmarkStart w:id="34" w:name="_Toc77401147"/>
      <w:bookmarkStart w:id="35" w:name="_Toc152497092"/>
      <w:bookmarkStart w:id="36" w:name="_Toc200344284"/>
      <w:bookmarkStart w:id="37" w:name="_Toc166922836"/>
      <w:bookmarkStart w:id="38" w:name="_Toc185651775"/>
      <w:bookmarkStart w:id="39" w:name="_Toc255802908"/>
      <w:r>
        <w:rPr>
          <w:rFonts w:ascii="Times New Roman" w:hAnsi="Times New Roman" w:cs="Times New Roman"/>
          <w:color w:val="000080"/>
          <w:sz w:val="24"/>
          <w:szCs w:val="24"/>
          <w:lang w:val="es-CR"/>
        </w:rPr>
        <w:t>Nota 7</w:t>
      </w:r>
      <w:r w:rsidRPr="0019670A">
        <w:rPr>
          <w:rFonts w:ascii="Times New Roman" w:hAnsi="Times New Roman" w:cs="Times New Roman"/>
          <w:color w:val="000080"/>
          <w:sz w:val="24"/>
          <w:szCs w:val="24"/>
          <w:lang w:val="es-CR"/>
        </w:rPr>
        <w:t xml:space="preserve">: </w:t>
      </w:r>
      <w:r>
        <w:rPr>
          <w:rFonts w:ascii="Times New Roman" w:hAnsi="Times New Roman" w:cs="Times New Roman"/>
          <w:color w:val="000080"/>
          <w:sz w:val="24"/>
          <w:szCs w:val="24"/>
          <w:lang w:val="es-CR"/>
        </w:rPr>
        <w:t xml:space="preserve">  Activos Financieros </w:t>
      </w:r>
      <w:proofErr w:type="gramStart"/>
      <w:r>
        <w:rPr>
          <w:rFonts w:ascii="Times New Roman" w:hAnsi="Times New Roman" w:cs="Times New Roman"/>
          <w:color w:val="000080"/>
          <w:sz w:val="24"/>
          <w:szCs w:val="24"/>
          <w:lang w:val="es-CR"/>
        </w:rPr>
        <w:t>corto</w:t>
      </w:r>
      <w:proofErr w:type="gramEnd"/>
      <w:r>
        <w:rPr>
          <w:rFonts w:ascii="Times New Roman" w:hAnsi="Times New Roman" w:cs="Times New Roman"/>
          <w:color w:val="000080"/>
          <w:sz w:val="24"/>
          <w:szCs w:val="24"/>
          <w:lang w:val="es-CR"/>
        </w:rPr>
        <w:t xml:space="preserve"> plazo (Internos)</w:t>
      </w:r>
      <w:bookmarkEnd w:id="39"/>
    </w:p>
    <w:p w:rsidR="009164B8" w:rsidRDefault="009164B8" w:rsidP="001C1F03">
      <w:pPr>
        <w:pStyle w:val="listaa"/>
        <w:numPr>
          <w:ilvl w:val="0"/>
          <w:numId w:val="23"/>
        </w:numPr>
      </w:pPr>
      <w:r w:rsidRPr="0019670A">
        <w:t>Intereses, Comisiones y Otros Productos por recibir de Residentes en moneda nacional con equivalencia en moneda extranjera</w:t>
      </w:r>
      <w:r>
        <w:t>, vigentes</w:t>
      </w:r>
      <w:r w:rsidRPr="0019670A">
        <w:t>: Intereses por Cobrar en moneda nacional con equivalencia en unidades de cuenta y moneda extranjera</w:t>
      </w:r>
      <w:r>
        <w:t xml:space="preserve"> de residentes, desglosados de acuerdo al tipo de operación que los genera</w:t>
      </w:r>
      <w:r w:rsidRPr="0019670A">
        <w:t>.</w:t>
      </w:r>
      <w:r>
        <w:t xml:space="preserve"> Se refiere al  Acuerdo financiero1989-Bonos Sobre el principal serie A y B y Títulos en Unidades de Desarrollo (Pérdidas Banco Anglo) </w:t>
      </w:r>
    </w:p>
    <w:p w:rsidR="009164B8" w:rsidRPr="0027778C" w:rsidRDefault="009164B8" w:rsidP="001C1F03">
      <w:pPr>
        <w:pStyle w:val="listaa"/>
        <w:numPr>
          <w:ilvl w:val="0"/>
          <w:numId w:val="23"/>
        </w:numPr>
        <w:rPr>
          <w:color w:val="000080"/>
          <w:lang w:val="es-ES_tradnl"/>
        </w:rPr>
      </w:pPr>
      <w:r w:rsidRPr="008B7BB8">
        <w:t xml:space="preserve">Intereses, Comisiones y Otros Productos por recibir de Residentes en moneda nacional, vigentes: Intereses por Cobrar en moneda nacional de residentes, sobre </w:t>
      </w:r>
      <w:r w:rsidRPr="007D09F1">
        <w:t>préstamos con recursos externos</w:t>
      </w:r>
      <w:r>
        <w:t xml:space="preserve"> e</w:t>
      </w:r>
      <w:r w:rsidRPr="007D09F1">
        <w:t xml:space="preserve"> internos</w:t>
      </w:r>
      <w:r>
        <w:t xml:space="preserve">. Básicamente sobre recursos del AID, BID, Préstamos Hipotecarios,  además incluye las comisiones por el servicio de bonos del Gobierno </w:t>
      </w:r>
      <w:bookmarkEnd w:id="33"/>
      <w:bookmarkEnd w:id="34"/>
      <w:bookmarkEnd w:id="35"/>
    </w:p>
    <w:p w:rsidR="005057F0" w:rsidRDefault="005057F0" w:rsidP="005057F0">
      <w:pPr>
        <w:pStyle w:val="Ttulo1"/>
        <w:jc w:val="both"/>
        <w:rPr>
          <w:rFonts w:ascii="Times New Roman" w:hAnsi="Times New Roman" w:cs="Times New Roman"/>
          <w:color w:val="000080"/>
          <w:sz w:val="24"/>
          <w:szCs w:val="24"/>
          <w:lang w:val="es-CR"/>
        </w:rPr>
      </w:pPr>
      <w:bookmarkStart w:id="40" w:name="_Toc190251783"/>
      <w:bookmarkStart w:id="41" w:name="_Toc255802909"/>
      <w:bookmarkEnd w:id="36"/>
      <w:bookmarkEnd w:id="37"/>
      <w:bookmarkEnd w:id="38"/>
      <w:r>
        <w:rPr>
          <w:rFonts w:ascii="Times New Roman" w:hAnsi="Times New Roman"/>
          <w:color w:val="000080"/>
          <w:sz w:val="24"/>
          <w:lang w:val="es-ES_tradnl"/>
        </w:rPr>
        <w:t>Nota 8</w:t>
      </w:r>
      <w:r w:rsidRPr="008C0489">
        <w:rPr>
          <w:rFonts w:ascii="Times New Roman" w:hAnsi="Times New Roman"/>
          <w:color w:val="000080"/>
          <w:sz w:val="24"/>
          <w:lang w:val="es-ES_tradnl"/>
        </w:rPr>
        <w:t xml:space="preserve">:   </w:t>
      </w:r>
      <w:bookmarkStart w:id="42" w:name="_Toc105395969"/>
      <w:r>
        <w:rPr>
          <w:rFonts w:ascii="Times New Roman" w:hAnsi="Times New Roman" w:cs="Times New Roman"/>
          <w:color w:val="000080"/>
          <w:sz w:val="24"/>
          <w:szCs w:val="24"/>
          <w:lang w:val="es-CR"/>
        </w:rPr>
        <w:t>Cuentas de Resultado Deudoras</w:t>
      </w:r>
      <w:bookmarkEnd w:id="40"/>
      <w:bookmarkEnd w:id="42"/>
      <w:bookmarkEnd w:id="41"/>
    </w:p>
    <w:p w:rsidR="005057F0" w:rsidRDefault="005057F0" w:rsidP="005057F0">
      <w:pPr>
        <w:pStyle w:val="TextoparrafosCar"/>
        <w:rPr>
          <w:rFonts w:ascii="Times New Roman" w:hAnsi="Times New Roman"/>
        </w:rPr>
      </w:pPr>
      <w:r w:rsidRPr="0019670A">
        <w:rPr>
          <w:rFonts w:ascii="Times New Roman" w:hAnsi="Times New Roman"/>
        </w:rPr>
        <w:t>El Banco Central de Costa Rica, clasifica bajo este concepto:</w:t>
      </w:r>
    </w:p>
    <w:p w:rsidR="005057F0" w:rsidRPr="009126E7" w:rsidRDefault="005057F0" w:rsidP="005057F0">
      <w:pPr>
        <w:spacing w:before="240" w:after="240"/>
        <w:jc w:val="both"/>
        <w:rPr>
          <w:b/>
          <w:color w:val="000080"/>
          <w:lang w:val="es-CR"/>
        </w:rPr>
      </w:pPr>
      <w:r w:rsidRPr="009126E7">
        <w:rPr>
          <w:b/>
          <w:color w:val="000080"/>
          <w:lang w:val="es-CR"/>
        </w:rPr>
        <w:t xml:space="preserve">Gastos </w:t>
      </w:r>
      <w:r>
        <w:rPr>
          <w:b/>
          <w:color w:val="000080"/>
          <w:lang w:val="es-CR"/>
        </w:rPr>
        <w:t>Corrientes</w:t>
      </w:r>
    </w:p>
    <w:p w:rsidR="005057F0" w:rsidRPr="009126E7" w:rsidRDefault="005057F0" w:rsidP="005057F0">
      <w:pPr>
        <w:pStyle w:val="listaa"/>
        <w:numPr>
          <w:ilvl w:val="0"/>
          <w:numId w:val="10"/>
        </w:numPr>
        <w:tabs>
          <w:tab w:val="clear" w:pos="360"/>
          <w:tab w:val="num" w:pos="540"/>
        </w:tabs>
        <w:ind w:left="502"/>
      </w:pPr>
      <w:r w:rsidRPr="009126E7">
        <w:t>Servicios Personales: Gastos por servicios prestados por el personal fijo y transitorio del Banco, así como los servicios contractuales de profesionales y técnicos. Incluye los servicios personales prestados al Banco, tanto en actividades de su giro normal, como los que se contraten para labores relacionadas con la ejecución de construcciones, adiciones y mejoras de sus edificios, obras urbanísticas o instalaciones</w:t>
      </w:r>
      <w:r>
        <w:t>, el aporte a la Asociación Solidarista de Empleados del Banco y las Cargas Sociales.</w:t>
      </w:r>
    </w:p>
    <w:p w:rsidR="005057F0" w:rsidRPr="009126E7" w:rsidRDefault="005057F0" w:rsidP="00244622">
      <w:pPr>
        <w:pStyle w:val="listaa"/>
        <w:numPr>
          <w:ilvl w:val="0"/>
          <w:numId w:val="34"/>
        </w:numPr>
        <w:tabs>
          <w:tab w:val="clear" w:pos="360"/>
          <w:tab w:val="num" w:pos="540"/>
        </w:tabs>
        <w:ind w:left="540"/>
      </w:pPr>
      <w:r w:rsidRPr="009126E7">
        <w:lastRenderedPageBreak/>
        <w:t>Servicios No Personales: Erogaciones efectuadas a personas físicas o jurídicas, por  pago de servicios de carácter no personal, o por el uso de diferentes bienes muebles o inmuebles.</w:t>
      </w:r>
    </w:p>
    <w:p w:rsidR="005057F0" w:rsidRDefault="005057F0" w:rsidP="00244622">
      <w:pPr>
        <w:pStyle w:val="listaa"/>
        <w:numPr>
          <w:ilvl w:val="0"/>
          <w:numId w:val="34"/>
        </w:numPr>
        <w:tabs>
          <w:tab w:val="clear" w:pos="360"/>
          <w:tab w:val="num" w:pos="540"/>
        </w:tabs>
        <w:ind w:left="540"/>
      </w:pPr>
      <w:r w:rsidRPr="009126E7">
        <w:t xml:space="preserve">Materiales y Suministros: Compra de artículos, materiales y bienes no duraderos. Incluye algunos implementos cuya duración es superior al del ejercicio </w:t>
      </w:r>
      <w:r>
        <w:t xml:space="preserve">financiero  </w:t>
      </w:r>
      <w:r w:rsidRPr="009126E7">
        <w:t>(1 año natural), pero que se les considera consumidos por razones de conveniencia y en vista de su bajo costo y características que hacen difícil su control e inventario.</w:t>
      </w:r>
    </w:p>
    <w:p w:rsidR="005057F0" w:rsidRDefault="005057F0" w:rsidP="00244622">
      <w:pPr>
        <w:pStyle w:val="listaa"/>
        <w:numPr>
          <w:ilvl w:val="0"/>
          <w:numId w:val="34"/>
        </w:numPr>
        <w:tabs>
          <w:tab w:val="clear" w:pos="360"/>
          <w:tab w:val="num" w:pos="540"/>
        </w:tabs>
        <w:ind w:left="540"/>
      </w:pPr>
      <w:r>
        <w:t>Intereses, Comisiones y Otros Gastos de no Residentes en moneda extranjera: Los intereses, comisiones y otros gastos en moneda extranjera, sobre operaciones y empréstitos de deuda externa a mediano y largo plazo.</w:t>
      </w:r>
    </w:p>
    <w:p w:rsidR="005057F0" w:rsidRPr="009126E7" w:rsidRDefault="005057F0" w:rsidP="00244622">
      <w:pPr>
        <w:pStyle w:val="listaa"/>
        <w:numPr>
          <w:ilvl w:val="0"/>
          <w:numId w:val="34"/>
        </w:numPr>
        <w:tabs>
          <w:tab w:val="clear" w:pos="360"/>
          <w:tab w:val="num" w:pos="540"/>
        </w:tabs>
        <w:ind w:left="540"/>
      </w:pPr>
      <w:r>
        <w:t>Intereses de residentes en moneda nacional con equivalencia en moneda extranjera: Los intereses y comisiones pagadas por el Banco, sobre operaciones originadas en reestructuración de deuda externa.</w:t>
      </w:r>
    </w:p>
    <w:p w:rsidR="008720A8" w:rsidRDefault="005057F0" w:rsidP="008720A8">
      <w:pPr>
        <w:pStyle w:val="listaa"/>
        <w:numPr>
          <w:ilvl w:val="0"/>
          <w:numId w:val="34"/>
        </w:numPr>
        <w:tabs>
          <w:tab w:val="clear" w:pos="360"/>
          <w:tab w:val="num" w:pos="567"/>
        </w:tabs>
        <w:ind w:left="567" w:hanging="425"/>
      </w:pPr>
      <w:r>
        <w:t>Transferencias Corrientes a personas: Los gastos por aportes a personas, los cuales no implican una contraprestación de servicios o bienes. Incluye registros por: Subsidios por incapacidades, prestaciones legales, otorgamiento de premios a ganadores de certámenes literarios, musicales, artísticos, deportivos, indemnizaciones a particulares derivadas de sentencias judiciales y resoluciones administrativas, aportes al régimen excepcional de pensiones.</w:t>
      </w:r>
    </w:p>
    <w:p w:rsidR="008720A8" w:rsidRDefault="008720A8" w:rsidP="008720A8">
      <w:pPr>
        <w:pStyle w:val="listaa"/>
        <w:numPr>
          <w:ilvl w:val="0"/>
          <w:numId w:val="34"/>
        </w:numPr>
        <w:tabs>
          <w:tab w:val="clear" w:pos="360"/>
          <w:tab w:val="num" w:pos="567"/>
        </w:tabs>
        <w:ind w:left="567" w:hanging="425"/>
      </w:pPr>
      <w:r>
        <w:t>Transferencias Corrientes a Instituciones Privadas:</w:t>
      </w:r>
      <w:r w:rsidRPr="001D2968">
        <w:t xml:space="preserve"> </w:t>
      </w:r>
      <w:r w:rsidRPr="009126E7">
        <w:t>Subvenciones a Instituciones Privadas con personería jurídica reconocida, derivadas de Leyes o Decretos específicos. Se incluye el aporte a la Fundación para Administrar los Museos del BCCR</w:t>
      </w:r>
      <w:r>
        <w:t>.</w:t>
      </w:r>
      <w:r w:rsidRPr="001E2A9A">
        <w:t xml:space="preserve"> </w:t>
      </w:r>
    </w:p>
    <w:p w:rsidR="008720A8" w:rsidRDefault="008720A8" w:rsidP="008720A8">
      <w:pPr>
        <w:pStyle w:val="listaa"/>
        <w:numPr>
          <w:ilvl w:val="0"/>
          <w:numId w:val="34"/>
        </w:numPr>
        <w:tabs>
          <w:tab w:val="clear" w:pos="360"/>
          <w:tab w:val="num" w:pos="540"/>
          <w:tab w:val="num" w:pos="567"/>
        </w:tabs>
        <w:ind w:left="567" w:hanging="425"/>
      </w:pPr>
      <w:r w:rsidRPr="002620DF">
        <w:t>Transferencias Corrientes al Exterior: Aportes al Centro de Estudios Monetarios Latinoamericanos (CEMLA</w:t>
      </w:r>
      <w:r>
        <w:t>).</w:t>
      </w:r>
    </w:p>
    <w:p w:rsidR="005057F0" w:rsidRDefault="005057F0" w:rsidP="008720A8">
      <w:pPr>
        <w:pStyle w:val="listaa"/>
        <w:numPr>
          <w:ilvl w:val="0"/>
          <w:numId w:val="34"/>
        </w:numPr>
        <w:tabs>
          <w:tab w:val="clear" w:pos="360"/>
          <w:tab w:val="num" w:pos="540"/>
          <w:tab w:val="num" w:pos="567"/>
        </w:tabs>
        <w:ind w:left="567" w:hanging="425"/>
      </w:pPr>
      <w:r w:rsidRPr="009126E7">
        <w:t xml:space="preserve">Otros Egresos no clasificados en </w:t>
      </w:r>
      <w:r>
        <w:t>m</w:t>
      </w:r>
      <w:r w:rsidRPr="009126E7">
        <w:t xml:space="preserve">oneda </w:t>
      </w:r>
      <w:r>
        <w:t>e</w:t>
      </w:r>
      <w:r w:rsidRPr="009126E7">
        <w:t>xtranjera: Erogaciones en moneda extranjera de índole específica, las cuales no pueden ser clasificadas en los anteriores rubros</w:t>
      </w:r>
      <w:r>
        <w:t>.</w:t>
      </w:r>
    </w:p>
    <w:p w:rsidR="005057F0" w:rsidRDefault="005057F0" w:rsidP="008720A8">
      <w:pPr>
        <w:pStyle w:val="listaa"/>
        <w:numPr>
          <w:ilvl w:val="0"/>
          <w:numId w:val="34"/>
        </w:numPr>
        <w:tabs>
          <w:tab w:val="clear" w:pos="360"/>
          <w:tab w:val="num" w:pos="540"/>
          <w:tab w:val="num" w:pos="567"/>
        </w:tabs>
        <w:ind w:left="567" w:hanging="425"/>
      </w:pPr>
      <w:r w:rsidRPr="00ED3A1F">
        <w:t>Consejo Nacional de Supervisión del Sistema Financiero (CONASSIF, SUGEVAL, SUGEF y SUPEN): L</w:t>
      </w:r>
      <w:r w:rsidRPr="009126E7">
        <w:t>os gastos que en detalle se muestran en los</w:t>
      </w:r>
      <w:r>
        <w:t xml:space="preserve"> ítems anteriores de la a) a la h), que correspondan</w:t>
      </w:r>
      <w:r w:rsidRPr="009126E7">
        <w:t>.</w:t>
      </w:r>
    </w:p>
    <w:p w:rsidR="005441B8" w:rsidRDefault="005441B8" w:rsidP="005057F0">
      <w:pPr>
        <w:jc w:val="both"/>
        <w:rPr>
          <w:b/>
          <w:color w:val="000080"/>
          <w:lang w:val="es-CR"/>
        </w:rPr>
      </w:pPr>
    </w:p>
    <w:p w:rsidR="005441B8" w:rsidRDefault="005441B8" w:rsidP="005057F0">
      <w:pPr>
        <w:jc w:val="both"/>
        <w:rPr>
          <w:b/>
          <w:color w:val="000080"/>
          <w:lang w:val="es-CR"/>
        </w:rPr>
      </w:pPr>
    </w:p>
    <w:p w:rsidR="005057F0" w:rsidRPr="00E40CCE" w:rsidRDefault="005057F0" w:rsidP="005057F0">
      <w:pPr>
        <w:jc w:val="both"/>
        <w:rPr>
          <w:b/>
          <w:color w:val="000080"/>
          <w:lang w:val="es-CR"/>
        </w:rPr>
      </w:pPr>
      <w:r w:rsidRPr="00E40CCE">
        <w:rPr>
          <w:b/>
          <w:color w:val="000080"/>
          <w:lang w:val="es-CR"/>
        </w:rPr>
        <w:t>Gastos de Capital</w:t>
      </w:r>
    </w:p>
    <w:p w:rsidR="005057F0" w:rsidRPr="00ED3A1F" w:rsidRDefault="005057F0" w:rsidP="00244622">
      <w:pPr>
        <w:pStyle w:val="listaa"/>
        <w:numPr>
          <w:ilvl w:val="0"/>
          <w:numId w:val="42"/>
        </w:numPr>
        <w:tabs>
          <w:tab w:val="clear" w:pos="360"/>
          <w:tab w:val="num" w:pos="567"/>
        </w:tabs>
        <w:ind w:left="502"/>
      </w:pPr>
      <w:r w:rsidRPr="00ED3A1F">
        <w:t xml:space="preserve">Cuenta Deudora de Control de Presupuesto de Inversiones: Corresponde a la adquisición de bienes de capital y son cuentas deudoras de control presupuestario de las inversiones realizadas por el BCCR y del Consejo Nacional de Supervisión del </w:t>
      </w:r>
      <w:r w:rsidRPr="00ED3A1F">
        <w:lastRenderedPageBreak/>
        <w:t>Sistema Financiero en moneda nacional y su registro se realiza contra  las cuentas acreedoras de control presupuestario de las inversiones; las que a su vez se liquidan antes de iniciar el cierre de liquidación ya que no forman parte de la liquidación de ganancias y pérdidas y su contabilización es para efectos presupuestarios.</w:t>
      </w:r>
    </w:p>
    <w:p w:rsidR="005441B8" w:rsidRDefault="005441B8" w:rsidP="005057F0">
      <w:pPr>
        <w:spacing w:before="240" w:after="240"/>
        <w:jc w:val="both"/>
        <w:rPr>
          <w:b/>
          <w:color w:val="000080"/>
          <w:lang w:val="es-CR"/>
        </w:rPr>
      </w:pPr>
    </w:p>
    <w:p w:rsidR="005441B8" w:rsidRDefault="005441B8" w:rsidP="005057F0">
      <w:pPr>
        <w:spacing w:before="240" w:after="240"/>
        <w:jc w:val="both"/>
        <w:rPr>
          <w:b/>
          <w:color w:val="000080"/>
          <w:lang w:val="es-CR"/>
        </w:rPr>
      </w:pPr>
    </w:p>
    <w:p w:rsidR="005057F0" w:rsidRPr="009126E7" w:rsidRDefault="005057F0" w:rsidP="005057F0">
      <w:pPr>
        <w:spacing w:before="240" w:after="240"/>
        <w:jc w:val="both"/>
        <w:rPr>
          <w:b/>
          <w:color w:val="000080"/>
          <w:lang w:val="es-CR"/>
        </w:rPr>
      </w:pPr>
      <w:r w:rsidRPr="009126E7">
        <w:rPr>
          <w:b/>
          <w:color w:val="000080"/>
          <w:lang w:val="es-CR"/>
        </w:rPr>
        <w:t xml:space="preserve">Gastos </w:t>
      </w:r>
      <w:r>
        <w:rPr>
          <w:b/>
          <w:color w:val="000080"/>
          <w:lang w:val="es-CR"/>
        </w:rPr>
        <w:t>p</w:t>
      </w:r>
      <w:r w:rsidRPr="009126E7">
        <w:rPr>
          <w:b/>
          <w:color w:val="000080"/>
          <w:lang w:val="es-CR"/>
        </w:rPr>
        <w:t>or D</w:t>
      </w:r>
      <w:r>
        <w:rPr>
          <w:b/>
          <w:color w:val="000080"/>
          <w:lang w:val="es-CR"/>
        </w:rPr>
        <w:t>isminuciones Patrimoniales</w:t>
      </w:r>
    </w:p>
    <w:p w:rsidR="005057F0" w:rsidRPr="00ED3A1F" w:rsidRDefault="005057F0" w:rsidP="00244622">
      <w:pPr>
        <w:pStyle w:val="listaa"/>
        <w:numPr>
          <w:ilvl w:val="0"/>
          <w:numId w:val="43"/>
        </w:numPr>
        <w:tabs>
          <w:tab w:val="clear" w:pos="360"/>
          <w:tab w:val="num" w:pos="567"/>
        </w:tabs>
        <w:ind w:left="502"/>
      </w:pPr>
      <w:r w:rsidRPr="00ED3A1F">
        <w:t xml:space="preserve">Disminuciones Patrimoniales de Activos Internos: Gastos originados en disminuciones patrimoniales, como son las depreciaciones, las bajas de bienes por donaciones, destrucción, extravío u obsolescencia. Así como las pérdidas originadas por la venta de activos en colocaciones e </w:t>
      </w:r>
      <w:proofErr w:type="spellStart"/>
      <w:r w:rsidRPr="00ED3A1F">
        <w:t>irrecuperación</w:t>
      </w:r>
      <w:proofErr w:type="spellEnd"/>
      <w:r w:rsidRPr="00ED3A1F">
        <w:t xml:space="preserve"> de valor sobre las Inversiones en el Exterior.</w:t>
      </w:r>
    </w:p>
    <w:p w:rsidR="005057F0" w:rsidRPr="009126E7" w:rsidRDefault="005057F0" w:rsidP="005057F0">
      <w:pPr>
        <w:spacing w:before="240" w:after="240"/>
        <w:jc w:val="both"/>
        <w:rPr>
          <w:b/>
          <w:color w:val="000080"/>
          <w:lang w:val="es-CR"/>
        </w:rPr>
      </w:pPr>
      <w:r w:rsidRPr="009126E7">
        <w:rPr>
          <w:b/>
          <w:color w:val="000080"/>
          <w:lang w:val="es-CR"/>
        </w:rPr>
        <w:t>Gastos por Revaluaciones Monetarias</w:t>
      </w:r>
    </w:p>
    <w:p w:rsidR="005057F0" w:rsidRPr="00ED3A1F" w:rsidRDefault="005057F0" w:rsidP="00244622">
      <w:pPr>
        <w:pStyle w:val="listaa"/>
        <w:numPr>
          <w:ilvl w:val="0"/>
          <w:numId w:val="44"/>
        </w:numPr>
        <w:tabs>
          <w:tab w:val="clear" w:pos="360"/>
          <w:tab w:val="num" w:pos="567"/>
        </w:tabs>
        <w:ind w:left="502"/>
      </w:pPr>
      <w:r w:rsidRPr="00ED3A1F">
        <w:t>Revaluaciones Monetarias sobre Intereses: Gastos por la modificación del valor externo de las monedas, sobre las cuentas de intereses (rendimientos y/o cargas financieras), generados ya sea por los instrumentos financieros o las obligaciones financieras, de conformidad con lo dispuesto en el artículo 11 de la Ley Orgánica del Banco Central número 7558 del 27/11/95 y sus reformas.</w:t>
      </w:r>
    </w:p>
    <w:p w:rsidR="005057F0" w:rsidRPr="00ED3A1F" w:rsidRDefault="005057F0" w:rsidP="00244622">
      <w:pPr>
        <w:pStyle w:val="listaa"/>
        <w:numPr>
          <w:ilvl w:val="0"/>
          <w:numId w:val="45"/>
        </w:numPr>
        <w:tabs>
          <w:tab w:val="clear" w:pos="360"/>
          <w:tab w:val="num" w:pos="567"/>
        </w:tabs>
        <w:ind w:left="540"/>
      </w:pPr>
      <w:r w:rsidRPr="00ED3A1F">
        <w:t xml:space="preserve">Revaluaciones Monetarias sobre Principales: Gastos por la modificación del valor externo de las monedas, sobre las partidas diferentes de las cuentas de intereses (rendimientos y/o cargas financieras), de conformidad con lo dispuesto en el artículo 11 de </w:t>
      </w:r>
      <w:smartTag w:uri="urn:schemas-microsoft-com:office:smarttags" w:element="PersonName">
        <w:smartTagPr>
          <w:attr w:name="ProductID" w:val="la Ley Org￡nica"/>
        </w:smartTagPr>
        <w:r w:rsidRPr="00ED3A1F">
          <w:t>la Ley Orgánica</w:t>
        </w:r>
      </w:smartTag>
      <w:r w:rsidRPr="00ED3A1F">
        <w:t xml:space="preserve"> del Banco Central número 7558 del 27/11/95 y sus reformas. Asimismo a partir del 25 de octubre del 2006, con la aplicación de la tasa de cambio de cierre contable en las transacciones de MONEX, las pérdidas que se reflejen son consideradas revaluaciones monetarias, producto de los efectos de las variaciones en las tasas de cambio. </w:t>
      </w:r>
    </w:p>
    <w:p w:rsidR="005057F0" w:rsidRPr="00F629A1" w:rsidRDefault="005057F0" w:rsidP="005057F0">
      <w:pPr>
        <w:spacing w:before="240" w:after="240"/>
        <w:jc w:val="both"/>
        <w:rPr>
          <w:b/>
          <w:color w:val="000080"/>
          <w:lang w:val="es-CR"/>
        </w:rPr>
      </w:pPr>
      <w:r>
        <w:rPr>
          <w:b/>
          <w:color w:val="000080"/>
          <w:lang w:val="es-CR"/>
        </w:rPr>
        <w:t>Otros Gastos no Presupuestarios</w:t>
      </w:r>
    </w:p>
    <w:p w:rsidR="005057F0" w:rsidRDefault="005057F0" w:rsidP="00244622">
      <w:pPr>
        <w:numPr>
          <w:ilvl w:val="0"/>
          <w:numId w:val="35"/>
        </w:numPr>
        <w:spacing w:before="240" w:after="240"/>
        <w:jc w:val="both"/>
        <w:rPr>
          <w:color w:val="000000"/>
          <w:lang w:val="es-CR"/>
        </w:rPr>
      </w:pPr>
      <w:r w:rsidRPr="003A23D9">
        <w:rPr>
          <w:color w:val="000000"/>
          <w:lang w:val="es-CR"/>
        </w:rPr>
        <w:t>Gastos no Presupuestarios en moneda nacional y extranjera: Gastos diversos ocurridos en moneda nacional, sobre operaciones que no son del giro normal del Banco y que no implica salida de dinero.</w:t>
      </w:r>
    </w:p>
    <w:p w:rsidR="005057F0" w:rsidRPr="009126E7" w:rsidRDefault="005057F0" w:rsidP="005057F0">
      <w:pPr>
        <w:spacing w:before="240" w:after="240"/>
        <w:jc w:val="both"/>
        <w:rPr>
          <w:b/>
          <w:color w:val="000080"/>
          <w:lang w:val="es-CR"/>
        </w:rPr>
      </w:pPr>
      <w:r w:rsidRPr="009126E7">
        <w:rPr>
          <w:b/>
          <w:color w:val="000080"/>
          <w:lang w:val="es-CR"/>
        </w:rPr>
        <w:t xml:space="preserve">Gastos </w:t>
      </w:r>
      <w:r>
        <w:rPr>
          <w:b/>
          <w:color w:val="000080"/>
          <w:lang w:val="es-CR"/>
        </w:rPr>
        <w:t>de Estabilización Monetaria</w:t>
      </w:r>
    </w:p>
    <w:p w:rsidR="005057F0" w:rsidRPr="005C0861" w:rsidRDefault="005057F0" w:rsidP="00244622">
      <w:pPr>
        <w:numPr>
          <w:ilvl w:val="0"/>
          <w:numId w:val="36"/>
        </w:numPr>
        <w:spacing w:before="240" w:after="240"/>
        <w:jc w:val="both"/>
        <w:rPr>
          <w:color w:val="000000"/>
          <w:lang w:val="es-CR"/>
        </w:rPr>
      </w:pPr>
      <w:r w:rsidRPr="005C0861">
        <w:rPr>
          <w:lang w:val="es-ES"/>
        </w:rPr>
        <w:t xml:space="preserve">Gastos por Estabilización Monetaria: Los intereses que llegue a pagar el Banco Central cuando coloca los bonos de estabilización monetaria, certificados de depósito a plazo en dólares, operaciones originadas en la reestructuración de la deuda externa, asignaciones y cuotas al FMI; en atención a lo dispuesto en el artículo 74 de </w:t>
      </w:r>
      <w:smartTag w:uri="urn:schemas-microsoft-com:office:smarttags" w:element="PersonName">
        <w:smartTagPr>
          <w:attr w:name="ProductID" w:val="la Ley No.7558"/>
        </w:smartTagPr>
        <w:r w:rsidRPr="005C0861">
          <w:rPr>
            <w:lang w:val="es-ES"/>
          </w:rPr>
          <w:t>la Ley No.7558</w:t>
        </w:r>
      </w:smartTag>
      <w:r w:rsidRPr="005C0861">
        <w:rPr>
          <w:lang w:val="es-ES"/>
        </w:rPr>
        <w:t xml:space="preserve"> del Banco Central de Costa Rica.  </w:t>
      </w:r>
    </w:p>
    <w:p w:rsidR="00BC62B7" w:rsidRPr="00C922B8" w:rsidRDefault="00BC62B7" w:rsidP="00A60C20">
      <w:pPr>
        <w:pStyle w:val="Ttulo1"/>
        <w:spacing w:before="360" w:after="0"/>
        <w:jc w:val="both"/>
        <w:rPr>
          <w:rFonts w:ascii="Times New Roman" w:hAnsi="Times New Roman" w:cs="Times New Roman"/>
          <w:color w:val="000080"/>
          <w:sz w:val="24"/>
          <w:szCs w:val="24"/>
          <w:lang w:val="es-CR"/>
        </w:rPr>
      </w:pPr>
      <w:bookmarkStart w:id="43" w:name="_Toc255802910"/>
      <w:r w:rsidRPr="00C922B8">
        <w:rPr>
          <w:rFonts w:ascii="Times New Roman" w:hAnsi="Times New Roman" w:cs="Times New Roman"/>
          <w:color w:val="000080"/>
          <w:sz w:val="24"/>
          <w:szCs w:val="24"/>
          <w:lang w:val="es-CR"/>
        </w:rPr>
        <w:lastRenderedPageBreak/>
        <w:t xml:space="preserve">Nota </w:t>
      </w:r>
      <w:r w:rsidR="005057F0">
        <w:rPr>
          <w:rFonts w:ascii="Times New Roman" w:hAnsi="Times New Roman" w:cs="Times New Roman"/>
          <w:color w:val="000080"/>
          <w:sz w:val="24"/>
          <w:szCs w:val="24"/>
          <w:lang w:val="es-CR"/>
        </w:rPr>
        <w:t>9</w:t>
      </w:r>
      <w:r w:rsidRPr="00860D45">
        <w:rPr>
          <w:rFonts w:ascii="Times New Roman" w:hAnsi="Times New Roman" w:cs="Times New Roman"/>
          <w:color w:val="000080"/>
          <w:sz w:val="24"/>
          <w:szCs w:val="24"/>
          <w:lang w:val="es-CR"/>
        </w:rPr>
        <w:t>:   Pasivos Externos a Corto Plazo</w:t>
      </w:r>
      <w:bookmarkEnd w:id="43"/>
    </w:p>
    <w:p w:rsidR="00BC62B7" w:rsidRPr="0019670A" w:rsidRDefault="00BC62B7" w:rsidP="00C82E3B">
      <w:pPr>
        <w:pStyle w:val="TextoparrafosCar"/>
        <w:rPr>
          <w:rFonts w:ascii="Times New Roman" w:hAnsi="Times New Roman"/>
        </w:rPr>
      </w:pPr>
      <w:r w:rsidRPr="0019670A">
        <w:rPr>
          <w:rFonts w:ascii="Times New Roman" w:hAnsi="Times New Roman"/>
        </w:rPr>
        <w:t>El Banco Central de Costa Rica, clasifica bajo este concepto:</w:t>
      </w:r>
    </w:p>
    <w:p w:rsidR="00BC62B7" w:rsidRPr="007766FD" w:rsidRDefault="00BC62B7" w:rsidP="001C1F03">
      <w:pPr>
        <w:pStyle w:val="listaa"/>
        <w:numPr>
          <w:ilvl w:val="0"/>
          <w:numId w:val="32"/>
        </w:numPr>
        <w:spacing w:before="0" w:after="0"/>
        <w:ind w:left="357" w:hanging="357"/>
      </w:pPr>
      <w:r w:rsidRPr="0019670A">
        <w:t xml:space="preserve">Intereses, Comisiones y Otros Gastos por Pagar a No Residentes en moneda extranjera: Gastos Financieros por obligaciones en moneda extranjera del Banco Central con </w:t>
      </w:r>
      <w:r>
        <w:t>Entidades y Organismos Externos, sobre empréstitos de mediano y largo plazo</w:t>
      </w:r>
    </w:p>
    <w:p w:rsidR="00412DE2" w:rsidRDefault="00412DE2" w:rsidP="00412DE2">
      <w:pPr>
        <w:pStyle w:val="Ttulo1"/>
        <w:spacing w:before="0" w:after="0"/>
        <w:jc w:val="both"/>
        <w:rPr>
          <w:rFonts w:ascii="Times New Roman" w:hAnsi="Times New Roman" w:cs="Times New Roman"/>
          <w:color w:val="000080"/>
          <w:sz w:val="24"/>
          <w:szCs w:val="24"/>
          <w:lang w:val="es-CR"/>
        </w:rPr>
      </w:pPr>
    </w:p>
    <w:p w:rsidR="00BC62B7" w:rsidRDefault="00BC62B7" w:rsidP="00412DE2">
      <w:pPr>
        <w:pStyle w:val="Ttulo1"/>
        <w:spacing w:before="0" w:after="0"/>
        <w:jc w:val="both"/>
        <w:rPr>
          <w:rFonts w:ascii="Times New Roman" w:hAnsi="Times New Roman" w:cs="Times New Roman"/>
          <w:color w:val="000080"/>
          <w:sz w:val="24"/>
          <w:szCs w:val="24"/>
          <w:lang w:val="es-CR"/>
        </w:rPr>
      </w:pPr>
      <w:bookmarkStart w:id="44" w:name="_Toc255802911"/>
      <w:r w:rsidRPr="00C922B8">
        <w:rPr>
          <w:rFonts w:ascii="Times New Roman" w:hAnsi="Times New Roman" w:cs="Times New Roman"/>
          <w:color w:val="000080"/>
          <w:sz w:val="24"/>
          <w:szCs w:val="24"/>
          <w:lang w:val="es-CR"/>
        </w:rPr>
        <w:t xml:space="preserve">Nota </w:t>
      </w:r>
      <w:r w:rsidR="005057F0">
        <w:rPr>
          <w:rFonts w:ascii="Times New Roman" w:hAnsi="Times New Roman" w:cs="Times New Roman"/>
          <w:color w:val="000080"/>
          <w:sz w:val="24"/>
          <w:szCs w:val="24"/>
          <w:lang w:val="es-CR"/>
        </w:rPr>
        <w:t>10</w:t>
      </w:r>
      <w:r w:rsidRPr="00D6707C">
        <w:rPr>
          <w:rFonts w:ascii="Times New Roman" w:hAnsi="Times New Roman" w:cs="Times New Roman"/>
          <w:color w:val="000080"/>
          <w:sz w:val="24"/>
          <w:szCs w:val="24"/>
          <w:lang w:val="es-CR"/>
        </w:rPr>
        <w:t>:   Endeudamiento Externo a Mediano y Largo Plazo</w:t>
      </w:r>
      <w:bookmarkEnd w:id="44"/>
    </w:p>
    <w:p w:rsidR="001F7790" w:rsidRPr="001F7790" w:rsidRDefault="001F7790" w:rsidP="001F7790">
      <w:pPr>
        <w:rPr>
          <w:lang w:val="es-CR"/>
        </w:rPr>
      </w:pPr>
    </w:p>
    <w:p w:rsidR="00BC62B7" w:rsidRPr="0019670A" w:rsidRDefault="00BC62B7" w:rsidP="00C82E3B">
      <w:pPr>
        <w:pStyle w:val="TextoparrafosCar"/>
        <w:rPr>
          <w:rFonts w:ascii="Times New Roman" w:hAnsi="Times New Roman"/>
        </w:rPr>
      </w:pPr>
      <w:r w:rsidRPr="0019670A">
        <w:rPr>
          <w:rFonts w:ascii="Times New Roman" w:hAnsi="Times New Roman"/>
        </w:rPr>
        <w:t>El Banco Central de Costa Rica, clasifica bajo este concepto:</w:t>
      </w:r>
    </w:p>
    <w:p w:rsidR="00BC62B7" w:rsidRDefault="00BC62B7" w:rsidP="001C1F03">
      <w:pPr>
        <w:pStyle w:val="listaa"/>
        <w:numPr>
          <w:ilvl w:val="0"/>
          <w:numId w:val="24"/>
        </w:numPr>
      </w:pPr>
      <w:r>
        <w:t>E</w:t>
      </w:r>
      <w:r w:rsidRPr="0019670A">
        <w:t>mpréstitos a Mediano y Largo Plazo en moneda extranjera: Recursos obtenidos en Entidades y Organismos Externos</w:t>
      </w:r>
      <w:r>
        <w:t xml:space="preserve"> (AID, BID)</w:t>
      </w:r>
      <w:r w:rsidRPr="0019670A">
        <w:t>, mediante empréstitos o líneas de crédito en moneda extranjera y a plazos superiores a un año</w:t>
      </w:r>
      <w:r>
        <w:t xml:space="preserve">. </w:t>
      </w:r>
    </w:p>
    <w:p w:rsidR="00A60C20" w:rsidRDefault="001E76BC" w:rsidP="00A60C20">
      <w:pPr>
        <w:pStyle w:val="Ttulo1"/>
        <w:spacing w:before="120" w:after="120"/>
        <w:jc w:val="both"/>
        <w:rPr>
          <w:rFonts w:ascii="Times New Roman" w:hAnsi="Times New Roman" w:cs="Times New Roman"/>
          <w:color w:val="000080"/>
          <w:sz w:val="24"/>
          <w:szCs w:val="24"/>
          <w:lang w:val="es-CR"/>
        </w:rPr>
      </w:pPr>
      <w:r w:rsidRPr="001E76BC">
        <w:rPr>
          <w:noProof/>
          <w:szCs w:val="24"/>
          <w:lang w:val="es-ES" w:eastAsia="es-ES"/>
        </w:rPr>
        <w:drawing>
          <wp:inline distT="0" distB="0" distL="0" distR="0">
            <wp:extent cx="5490210" cy="906020"/>
            <wp:effectExtent l="19050" t="0" r="0" b="0"/>
            <wp:docPr id="1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5490210" cy="906020"/>
                    </a:xfrm>
                    <a:prstGeom prst="rect">
                      <a:avLst/>
                    </a:prstGeom>
                    <a:noFill/>
                    <a:ln w="9525">
                      <a:noFill/>
                      <a:miter lim="800000"/>
                      <a:headEnd/>
                      <a:tailEnd/>
                    </a:ln>
                  </pic:spPr>
                </pic:pic>
              </a:graphicData>
            </a:graphic>
          </wp:inline>
        </w:drawing>
      </w:r>
    </w:p>
    <w:p w:rsidR="00BC62B7" w:rsidRPr="00393EE1" w:rsidRDefault="00BC62B7" w:rsidP="00A60C20">
      <w:pPr>
        <w:pStyle w:val="Ttulo1"/>
        <w:spacing w:before="480" w:after="240"/>
        <w:jc w:val="both"/>
        <w:rPr>
          <w:rFonts w:ascii="Times New Roman" w:hAnsi="Times New Roman" w:cs="Times New Roman"/>
          <w:color w:val="000080"/>
          <w:sz w:val="24"/>
          <w:szCs w:val="24"/>
          <w:lang w:val="es-CR"/>
        </w:rPr>
      </w:pPr>
      <w:bookmarkStart w:id="45" w:name="_Toc255802912"/>
      <w:r w:rsidRPr="00393EE1">
        <w:rPr>
          <w:rFonts w:ascii="Times New Roman" w:hAnsi="Times New Roman" w:cs="Times New Roman"/>
          <w:color w:val="000080"/>
          <w:sz w:val="24"/>
          <w:szCs w:val="24"/>
          <w:lang w:val="es-CR"/>
        </w:rPr>
        <w:t>Nota 1</w:t>
      </w:r>
      <w:r w:rsidR="005057F0">
        <w:rPr>
          <w:rFonts w:ascii="Times New Roman" w:hAnsi="Times New Roman" w:cs="Times New Roman"/>
          <w:color w:val="000080"/>
          <w:sz w:val="24"/>
          <w:szCs w:val="24"/>
          <w:lang w:val="es-CR"/>
        </w:rPr>
        <w:t>1</w:t>
      </w:r>
      <w:r w:rsidRPr="00393EE1">
        <w:rPr>
          <w:rFonts w:ascii="Times New Roman" w:hAnsi="Times New Roman" w:cs="Times New Roman"/>
          <w:color w:val="000080"/>
          <w:sz w:val="24"/>
          <w:szCs w:val="24"/>
          <w:lang w:val="es-CR"/>
        </w:rPr>
        <w:t>:   Obligaciones con Organismos Internacionales</w:t>
      </w:r>
      <w:bookmarkEnd w:id="45"/>
    </w:p>
    <w:p w:rsidR="00BC62B7" w:rsidRPr="0019670A" w:rsidRDefault="00BC62B7" w:rsidP="00C82E3B">
      <w:pPr>
        <w:pStyle w:val="TextoparrafosCar"/>
        <w:rPr>
          <w:rFonts w:ascii="Times New Roman" w:hAnsi="Times New Roman"/>
        </w:rPr>
      </w:pPr>
      <w:r w:rsidRPr="0019670A">
        <w:rPr>
          <w:rFonts w:ascii="Times New Roman" w:hAnsi="Times New Roman"/>
        </w:rPr>
        <w:t>El Banco Central de Costa Rica, clasifica bajo este concepto:</w:t>
      </w:r>
    </w:p>
    <w:p w:rsidR="002B60AB" w:rsidRPr="002B60AB" w:rsidRDefault="00BC62B7" w:rsidP="002E0EA2">
      <w:pPr>
        <w:pStyle w:val="listaa"/>
        <w:numPr>
          <w:ilvl w:val="0"/>
          <w:numId w:val="46"/>
        </w:numPr>
        <w:rPr>
          <w:color w:val="000080"/>
        </w:rPr>
      </w:pPr>
      <w:r w:rsidRPr="0019670A">
        <w:t xml:space="preserve">Los depósitos </w:t>
      </w:r>
      <w:r>
        <w:t xml:space="preserve">a la vista </w:t>
      </w:r>
      <w:r w:rsidRPr="0019670A">
        <w:t xml:space="preserve">en </w:t>
      </w:r>
      <w:r>
        <w:t>m</w:t>
      </w:r>
      <w:r w:rsidRPr="0019670A">
        <w:t xml:space="preserve">oneda </w:t>
      </w:r>
      <w:r>
        <w:t>nacional, e</w:t>
      </w:r>
      <w:r w:rsidRPr="0019670A">
        <w:t>xtranjera</w:t>
      </w:r>
      <w:r>
        <w:t>, moneda nacional con equivalencia en moneda extranjera  y</w:t>
      </w:r>
      <w:r w:rsidRPr="0019670A">
        <w:t xml:space="preserve"> la asignación neta de Derechos Especiales de Giro producto de obligaciones y aportaciones de capital por pagar </w:t>
      </w:r>
      <w:r>
        <w:t>a</w:t>
      </w:r>
      <w:r w:rsidRPr="0019670A">
        <w:t xml:space="preserve"> organismos, como:</w:t>
      </w:r>
    </w:p>
    <w:p w:rsidR="00A60C20" w:rsidRPr="002B60AB" w:rsidRDefault="001E76BC" w:rsidP="002B60AB">
      <w:pPr>
        <w:pStyle w:val="listaa"/>
        <w:numPr>
          <w:ilvl w:val="0"/>
          <w:numId w:val="0"/>
        </w:numPr>
        <w:rPr>
          <w:color w:val="000080"/>
        </w:rPr>
      </w:pPr>
      <w:r w:rsidRPr="001E76BC">
        <w:rPr>
          <w:noProof/>
          <w:lang w:val="es-ES" w:eastAsia="es-ES"/>
        </w:rPr>
        <w:drawing>
          <wp:inline distT="0" distB="0" distL="0" distR="0">
            <wp:extent cx="5490210" cy="1470979"/>
            <wp:effectExtent l="19050" t="0" r="0" b="0"/>
            <wp:docPr id="20"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5490210" cy="1470979"/>
                    </a:xfrm>
                    <a:prstGeom prst="rect">
                      <a:avLst/>
                    </a:prstGeom>
                    <a:noFill/>
                    <a:ln w="9525">
                      <a:noFill/>
                      <a:miter lim="800000"/>
                      <a:headEnd/>
                      <a:tailEnd/>
                    </a:ln>
                  </pic:spPr>
                </pic:pic>
              </a:graphicData>
            </a:graphic>
          </wp:inline>
        </w:drawing>
      </w:r>
    </w:p>
    <w:p w:rsidR="001C33C4" w:rsidRDefault="001C33C4" w:rsidP="002E0EA2">
      <w:pPr>
        <w:pStyle w:val="Ttulo1"/>
        <w:spacing w:after="240"/>
        <w:jc w:val="both"/>
        <w:rPr>
          <w:rFonts w:ascii="Times New Roman" w:hAnsi="Times New Roman" w:cs="Times New Roman"/>
          <w:color w:val="000080"/>
          <w:sz w:val="24"/>
          <w:szCs w:val="24"/>
          <w:lang w:val="es-CR"/>
        </w:rPr>
      </w:pPr>
    </w:p>
    <w:p w:rsidR="001C33C4" w:rsidRDefault="001C33C4">
      <w:pPr>
        <w:rPr>
          <w:b/>
          <w:bCs/>
          <w:color w:val="000080"/>
          <w:kern w:val="32"/>
          <w:lang w:val="es-CR"/>
        </w:rPr>
      </w:pPr>
      <w:r>
        <w:rPr>
          <w:color w:val="000080"/>
          <w:lang w:val="es-CR"/>
        </w:rPr>
        <w:br w:type="page"/>
      </w:r>
    </w:p>
    <w:p w:rsidR="002E0EA2" w:rsidRPr="0019670A" w:rsidRDefault="002E5970" w:rsidP="002E0EA2">
      <w:pPr>
        <w:pStyle w:val="Ttulo1"/>
        <w:spacing w:after="240"/>
        <w:jc w:val="both"/>
        <w:rPr>
          <w:rFonts w:ascii="Times New Roman" w:hAnsi="Times New Roman" w:cs="Times New Roman"/>
          <w:color w:val="000080"/>
          <w:sz w:val="24"/>
          <w:szCs w:val="24"/>
          <w:lang w:val="es-CR"/>
        </w:rPr>
      </w:pPr>
      <w:r>
        <w:rPr>
          <w:rFonts w:ascii="Times New Roman" w:hAnsi="Times New Roman" w:cs="Times New Roman"/>
          <w:color w:val="000080"/>
          <w:sz w:val="24"/>
          <w:szCs w:val="24"/>
          <w:lang w:val="es-CR"/>
        </w:rPr>
        <w:lastRenderedPageBreak/>
        <w:t xml:space="preserve"> </w:t>
      </w:r>
      <w:bookmarkStart w:id="46" w:name="_Toc255802913"/>
      <w:r w:rsidR="002E0EA2" w:rsidRPr="0019670A">
        <w:rPr>
          <w:rFonts w:ascii="Times New Roman" w:hAnsi="Times New Roman" w:cs="Times New Roman"/>
          <w:color w:val="000080"/>
          <w:sz w:val="24"/>
          <w:szCs w:val="24"/>
          <w:lang w:val="es-CR"/>
        </w:rPr>
        <w:t>Nota 1</w:t>
      </w:r>
      <w:r w:rsidR="005057F0">
        <w:rPr>
          <w:rFonts w:ascii="Times New Roman" w:hAnsi="Times New Roman" w:cs="Times New Roman"/>
          <w:color w:val="000080"/>
          <w:sz w:val="24"/>
          <w:szCs w:val="24"/>
          <w:lang w:val="es-CR"/>
        </w:rPr>
        <w:t>2</w:t>
      </w:r>
      <w:r w:rsidR="002E0EA2" w:rsidRPr="0019670A">
        <w:rPr>
          <w:rFonts w:ascii="Times New Roman" w:hAnsi="Times New Roman" w:cs="Times New Roman"/>
          <w:color w:val="000080"/>
          <w:sz w:val="24"/>
          <w:szCs w:val="24"/>
          <w:lang w:val="es-CR"/>
        </w:rPr>
        <w:t>:   Otros Pasivos</w:t>
      </w:r>
      <w:r w:rsidR="002E0EA2">
        <w:rPr>
          <w:rFonts w:ascii="Times New Roman" w:hAnsi="Times New Roman" w:cs="Times New Roman"/>
          <w:color w:val="000080"/>
          <w:sz w:val="24"/>
          <w:szCs w:val="24"/>
          <w:lang w:val="es-CR"/>
        </w:rPr>
        <w:t xml:space="preserve"> (Externos)</w:t>
      </w:r>
      <w:bookmarkEnd w:id="46"/>
    </w:p>
    <w:p w:rsidR="00BC62B7" w:rsidRPr="0019670A" w:rsidRDefault="00BC62B7" w:rsidP="00C82E3B">
      <w:pPr>
        <w:pStyle w:val="TextoparrafosCar"/>
        <w:rPr>
          <w:rFonts w:ascii="Times New Roman" w:hAnsi="Times New Roman"/>
        </w:rPr>
      </w:pPr>
      <w:r w:rsidRPr="0019670A">
        <w:rPr>
          <w:rFonts w:ascii="Times New Roman" w:hAnsi="Times New Roman"/>
        </w:rPr>
        <w:t>El Banco Central de Costa Rica, clasifica bajo este concepto:</w:t>
      </w:r>
    </w:p>
    <w:p w:rsidR="005441B8" w:rsidRPr="005441B8" w:rsidRDefault="00BC62B7" w:rsidP="005441B8">
      <w:pPr>
        <w:pStyle w:val="listaa"/>
        <w:numPr>
          <w:ilvl w:val="0"/>
          <w:numId w:val="11"/>
        </w:numPr>
        <w:rPr>
          <w:b/>
          <w:bCs/>
          <w:color w:val="000080"/>
          <w:kern w:val="32"/>
        </w:rPr>
      </w:pPr>
      <w:r w:rsidRPr="00F742C3">
        <w:t>Otras Obligaciones con No Residentes en moneda extranjera: Obligaciones en moneda ex</w:t>
      </w:r>
      <w:r>
        <w:t>tranjera por conceptos diversos como bonos Brady, cheques emitidos y no compensados y garantías de participación</w:t>
      </w:r>
      <w:r w:rsidR="008B2CDC">
        <w:t>.</w:t>
      </w:r>
    </w:p>
    <w:p w:rsidR="00BC62B7" w:rsidRPr="0019670A" w:rsidRDefault="00BC62B7" w:rsidP="00C82E3B">
      <w:pPr>
        <w:pStyle w:val="Ttulo1"/>
        <w:spacing w:after="240"/>
        <w:jc w:val="both"/>
        <w:rPr>
          <w:rFonts w:ascii="Times New Roman" w:hAnsi="Times New Roman" w:cs="Times New Roman"/>
          <w:color w:val="000080"/>
          <w:sz w:val="24"/>
          <w:szCs w:val="24"/>
          <w:lang w:val="es-CR"/>
        </w:rPr>
      </w:pPr>
      <w:bookmarkStart w:id="47" w:name="_Toc255802914"/>
      <w:r w:rsidRPr="0019670A">
        <w:rPr>
          <w:rFonts w:ascii="Times New Roman" w:hAnsi="Times New Roman" w:cs="Times New Roman"/>
          <w:color w:val="000080"/>
          <w:sz w:val="24"/>
          <w:szCs w:val="24"/>
          <w:lang w:val="es-CR"/>
        </w:rPr>
        <w:t>Nota 1</w:t>
      </w:r>
      <w:r w:rsidR="005057F0">
        <w:rPr>
          <w:rFonts w:ascii="Times New Roman" w:hAnsi="Times New Roman" w:cs="Times New Roman"/>
          <w:color w:val="000080"/>
          <w:sz w:val="24"/>
          <w:szCs w:val="24"/>
          <w:lang w:val="es-CR"/>
        </w:rPr>
        <w:t>3</w:t>
      </w:r>
      <w:r w:rsidRPr="0019670A">
        <w:rPr>
          <w:rFonts w:ascii="Times New Roman" w:hAnsi="Times New Roman" w:cs="Times New Roman"/>
          <w:color w:val="000080"/>
          <w:sz w:val="24"/>
          <w:szCs w:val="24"/>
          <w:lang w:val="es-CR"/>
        </w:rPr>
        <w:t>:   Pasivos Monetarios</w:t>
      </w:r>
      <w:bookmarkEnd w:id="47"/>
    </w:p>
    <w:p w:rsidR="00BC62B7" w:rsidRPr="0019670A" w:rsidRDefault="00BC62B7" w:rsidP="005441B8">
      <w:pPr>
        <w:pStyle w:val="TextoparrafosCar"/>
        <w:spacing w:before="120" w:after="0"/>
        <w:rPr>
          <w:rFonts w:ascii="Times New Roman" w:hAnsi="Times New Roman"/>
        </w:rPr>
      </w:pPr>
      <w:r w:rsidRPr="0019670A">
        <w:rPr>
          <w:rFonts w:ascii="Times New Roman" w:hAnsi="Times New Roman"/>
        </w:rPr>
        <w:t>El Banco Central de Costa Rica, clasifica bajo este concepto:</w:t>
      </w:r>
    </w:p>
    <w:p w:rsidR="00BC62B7" w:rsidRPr="0019670A" w:rsidRDefault="00BC62B7" w:rsidP="005441B8">
      <w:pPr>
        <w:pStyle w:val="listaa"/>
        <w:numPr>
          <w:ilvl w:val="0"/>
          <w:numId w:val="12"/>
        </w:numPr>
        <w:spacing w:before="120" w:after="120"/>
        <w:ind w:left="357" w:hanging="357"/>
      </w:pPr>
      <w:r w:rsidRPr="0019670A">
        <w:t xml:space="preserve">Base Monetaria: </w:t>
      </w:r>
    </w:p>
    <w:p w:rsidR="00BC62B7" w:rsidRPr="0019670A" w:rsidRDefault="00BC62B7" w:rsidP="005441B8">
      <w:pPr>
        <w:pStyle w:val="listaa"/>
        <w:numPr>
          <w:ilvl w:val="0"/>
          <w:numId w:val="7"/>
        </w:numPr>
        <w:tabs>
          <w:tab w:val="clear" w:pos="1042"/>
          <w:tab w:val="num" w:pos="709"/>
        </w:tabs>
        <w:spacing w:before="120" w:after="0"/>
        <w:ind w:left="709" w:hanging="142"/>
      </w:pPr>
      <w:r w:rsidRPr="0019670A">
        <w:t>Emisión Monetaria: El numerario (billetes y monedas) en circulación emitido por el Banco Central, en su calidad de Ente Emisor.</w:t>
      </w:r>
    </w:p>
    <w:p w:rsidR="00BC62B7" w:rsidRPr="0019670A" w:rsidRDefault="00BC62B7" w:rsidP="005441B8">
      <w:pPr>
        <w:pStyle w:val="listaa"/>
        <w:numPr>
          <w:ilvl w:val="0"/>
          <w:numId w:val="7"/>
        </w:numPr>
        <w:tabs>
          <w:tab w:val="clear" w:pos="1042"/>
          <w:tab w:val="num" w:pos="709"/>
        </w:tabs>
        <w:spacing w:before="120" w:after="0"/>
        <w:ind w:left="709" w:hanging="142"/>
      </w:pPr>
      <w:r w:rsidRPr="0019670A">
        <w:t>Depósitos Monetarios: Depósitos en moneda nacional</w:t>
      </w:r>
      <w:r>
        <w:t xml:space="preserve"> de los bancos creadores de dinero</w:t>
      </w:r>
      <w:r w:rsidRPr="0019670A">
        <w:t>, que representan un medio de pago de sus tenedores, son transferibles e intercambiables a la vista por moneda y de giro inmediato.</w:t>
      </w:r>
    </w:p>
    <w:p w:rsidR="00BC62B7" w:rsidRPr="0019670A" w:rsidRDefault="00BC62B7" w:rsidP="005441B8">
      <w:pPr>
        <w:pStyle w:val="listaa"/>
        <w:numPr>
          <w:ilvl w:val="0"/>
          <w:numId w:val="12"/>
        </w:numPr>
        <w:spacing w:before="120" w:after="120"/>
        <w:ind w:left="357" w:hanging="357"/>
      </w:pPr>
      <w:r w:rsidRPr="0019670A">
        <w:t xml:space="preserve">Otros </w:t>
      </w:r>
      <w:r>
        <w:t xml:space="preserve">Depósitos </w:t>
      </w:r>
      <w:r w:rsidRPr="0019670A">
        <w:t>Monetarios:</w:t>
      </w:r>
    </w:p>
    <w:p w:rsidR="00BC62B7" w:rsidRDefault="00BC62B7" w:rsidP="005441B8">
      <w:pPr>
        <w:pStyle w:val="listaa"/>
        <w:numPr>
          <w:ilvl w:val="0"/>
          <w:numId w:val="8"/>
        </w:numPr>
        <w:tabs>
          <w:tab w:val="clear" w:pos="1042"/>
          <w:tab w:val="num" w:pos="709"/>
        </w:tabs>
        <w:spacing w:before="120" w:after="0"/>
        <w:ind w:left="709" w:hanging="142"/>
      </w:pPr>
      <w:r>
        <w:t xml:space="preserve">Depósitos Monetarios de Otras Entidades en moneda nacional: </w:t>
      </w:r>
      <w:r w:rsidRPr="0019670A">
        <w:t>Son los depósitos monetarios de otras entidades financieras que no son creador</w:t>
      </w:r>
      <w:r>
        <w:t xml:space="preserve">as de dinero. </w:t>
      </w:r>
    </w:p>
    <w:p w:rsidR="00BC62B7" w:rsidRDefault="00BC62B7" w:rsidP="005441B8">
      <w:pPr>
        <w:pStyle w:val="listaa"/>
        <w:numPr>
          <w:ilvl w:val="0"/>
          <w:numId w:val="8"/>
        </w:numPr>
        <w:tabs>
          <w:tab w:val="clear" w:pos="1042"/>
          <w:tab w:val="num" w:pos="709"/>
        </w:tabs>
        <w:spacing w:before="120" w:after="0"/>
        <w:ind w:left="709" w:hanging="142"/>
      </w:pPr>
      <w:r>
        <w:t>Depósitos Monetarios del Público en moneda nacional: Son depósitos monetarios recibidos del público para efectuar inversiones en Central Directo.</w:t>
      </w:r>
    </w:p>
    <w:p w:rsidR="00BC62B7" w:rsidRDefault="00BC62B7" w:rsidP="005441B8">
      <w:pPr>
        <w:pStyle w:val="listaa"/>
        <w:numPr>
          <w:ilvl w:val="0"/>
          <w:numId w:val="12"/>
        </w:numPr>
        <w:spacing w:before="120" w:after="120"/>
        <w:ind w:left="357" w:hanging="357"/>
      </w:pPr>
      <w:r w:rsidRPr="0019670A">
        <w:t>Otr</w:t>
      </w:r>
      <w:r>
        <w:t>a</w:t>
      </w:r>
      <w:r w:rsidRPr="0019670A">
        <w:t xml:space="preserve">s </w:t>
      </w:r>
      <w:r>
        <w:t>Obligaciones</w:t>
      </w:r>
      <w:r w:rsidRPr="0019670A">
        <w:t>:</w:t>
      </w:r>
    </w:p>
    <w:p w:rsidR="00D43DA1" w:rsidRPr="002811C4" w:rsidRDefault="00BC62B7" w:rsidP="005441B8">
      <w:pPr>
        <w:pStyle w:val="listaa"/>
        <w:numPr>
          <w:ilvl w:val="0"/>
          <w:numId w:val="17"/>
        </w:numPr>
        <w:tabs>
          <w:tab w:val="clear" w:pos="1042"/>
          <w:tab w:val="num" w:pos="709"/>
        </w:tabs>
        <w:spacing w:before="120" w:after="0"/>
        <w:ind w:left="709" w:hanging="142"/>
        <w:rPr>
          <w:color w:val="000080"/>
        </w:rPr>
      </w:pPr>
      <w:r w:rsidRPr="0019670A">
        <w:t>Obligaciones por Recaudación de Timbres, Impuestos y Otr</w:t>
      </w:r>
      <w:r>
        <w:t>a</w:t>
      </w:r>
      <w:r w:rsidRPr="0019670A">
        <w:t xml:space="preserve">s por Distribuir: Obligaciones con Entidades, por el servicio de recaudación de fondos en moneda nacional </w:t>
      </w:r>
      <w:r>
        <w:t>y</w:t>
      </w:r>
      <w:r w:rsidRPr="0019670A">
        <w:t xml:space="preserve"> extranjera.</w:t>
      </w:r>
    </w:p>
    <w:p w:rsidR="001C33C4" w:rsidRDefault="001C33C4" w:rsidP="005441B8">
      <w:pPr>
        <w:pStyle w:val="Ttulo1"/>
        <w:spacing w:after="0"/>
        <w:jc w:val="both"/>
        <w:rPr>
          <w:rFonts w:ascii="Times New Roman" w:hAnsi="Times New Roman" w:cs="Times New Roman"/>
          <w:color w:val="000080"/>
          <w:sz w:val="24"/>
          <w:szCs w:val="24"/>
          <w:lang w:val="es-CR"/>
        </w:rPr>
      </w:pPr>
    </w:p>
    <w:p w:rsidR="00BC62B7" w:rsidRPr="00D43DA1" w:rsidRDefault="00BC62B7" w:rsidP="005441B8">
      <w:pPr>
        <w:pStyle w:val="Ttulo1"/>
        <w:spacing w:after="0"/>
        <w:jc w:val="both"/>
        <w:rPr>
          <w:rFonts w:ascii="Times New Roman" w:hAnsi="Times New Roman" w:cs="Times New Roman"/>
          <w:color w:val="000080"/>
          <w:sz w:val="24"/>
          <w:szCs w:val="24"/>
          <w:lang w:val="es-CR"/>
        </w:rPr>
      </w:pPr>
      <w:bookmarkStart w:id="48" w:name="_Toc255802915"/>
      <w:r w:rsidRPr="00D43DA1">
        <w:rPr>
          <w:rFonts w:ascii="Times New Roman" w:hAnsi="Times New Roman" w:cs="Times New Roman"/>
          <w:color w:val="000080"/>
          <w:sz w:val="24"/>
          <w:szCs w:val="24"/>
          <w:lang w:val="es-CR"/>
        </w:rPr>
        <w:t>Nota 1</w:t>
      </w:r>
      <w:r w:rsidR="005057F0">
        <w:rPr>
          <w:rFonts w:ascii="Times New Roman" w:hAnsi="Times New Roman" w:cs="Times New Roman"/>
          <w:color w:val="000080"/>
          <w:sz w:val="24"/>
          <w:szCs w:val="24"/>
          <w:lang w:val="es-CR"/>
        </w:rPr>
        <w:t>4</w:t>
      </w:r>
      <w:r w:rsidRPr="00D43DA1">
        <w:rPr>
          <w:rFonts w:ascii="Times New Roman" w:hAnsi="Times New Roman" w:cs="Times New Roman"/>
          <w:color w:val="000080"/>
          <w:sz w:val="24"/>
          <w:szCs w:val="24"/>
          <w:lang w:val="es-CR"/>
        </w:rPr>
        <w:t>:</w:t>
      </w:r>
      <w:r w:rsidRPr="0019670A">
        <w:rPr>
          <w:rFonts w:ascii="Times New Roman" w:hAnsi="Times New Roman" w:cs="Times New Roman"/>
          <w:color w:val="000080"/>
          <w:sz w:val="22"/>
          <w:szCs w:val="22"/>
          <w:lang w:val="es-CR"/>
        </w:rPr>
        <w:t xml:space="preserve">   </w:t>
      </w:r>
      <w:r w:rsidRPr="00D43DA1">
        <w:rPr>
          <w:rFonts w:ascii="Times New Roman" w:hAnsi="Times New Roman" w:cs="Times New Roman"/>
          <w:color w:val="000080"/>
          <w:sz w:val="24"/>
          <w:szCs w:val="24"/>
          <w:lang w:val="es-CR"/>
        </w:rPr>
        <w:t xml:space="preserve">Pasivos </w:t>
      </w:r>
      <w:proofErr w:type="spellStart"/>
      <w:r w:rsidRPr="00D43DA1">
        <w:rPr>
          <w:rFonts w:ascii="Times New Roman" w:hAnsi="Times New Roman" w:cs="Times New Roman"/>
          <w:color w:val="000080"/>
          <w:sz w:val="24"/>
          <w:szCs w:val="24"/>
          <w:lang w:val="es-CR"/>
        </w:rPr>
        <w:t>Cuasimonetarios</w:t>
      </w:r>
      <w:bookmarkEnd w:id="48"/>
      <w:proofErr w:type="spellEnd"/>
    </w:p>
    <w:p w:rsidR="00BC62B7" w:rsidRPr="0019670A" w:rsidRDefault="00BC62B7" w:rsidP="00C82E3B">
      <w:pPr>
        <w:pStyle w:val="TextoparrafosCar"/>
        <w:rPr>
          <w:rFonts w:ascii="Times New Roman" w:hAnsi="Times New Roman"/>
        </w:rPr>
      </w:pPr>
      <w:r w:rsidRPr="0019670A">
        <w:rPr>
          <w:rFonts w:ascii="Times New Roman" w:hAnsi="Times New Roman"/>
        </w:rPr>
        <w:t>El Banco Central de Costa Rica, clasifica bajo este concepto:</w:t>
      </w:r>
    </w:p>
    <w:p w:rsidR="00BC62B7" w:rsidRDefault="00BC62B7" w:rsidP="005441B8">
      <w:pPr>
        <w:pStyle w:val="listaa"/>
        <w:numPr>
          <w:ilvl w:val="0"/>
          <w:numId w:val="13"/>
        </w:numPr>
        <w:spacing w:before="120" w:after="0"/>
        <w:ind w:left="357" w:hanging="357"/>
      </w:pPr>
      <w:r w:rsidRPr="0019670A">
        <w:t>Depósitos en Garantía en moneda nacional</w:t>
      </w:r>
      <w:r>
        <w:t xml:space="preserve"> o moneda extranjera</w:t>
      </w:r>
      <w:r w:rsidRPr="0019670A">
        <w:t>: Obligación por depósitos recibidos en garantía de residentes</w:t>
      </w:r>
      <w:r>
        <w:t>.</w:t>
      </w:r>
      <w:r w:rsidRPr="0019670A">
        <w:t xml:space="preserve"> </w:t>
      </w:r>
    </w:p>
    <w:p w:rsidR="002B09A6" w:rsidRPr="002B09A6" w:rsidRDefault="00BC62B7" w:rsidP="00C82E3B">
      <w:pPr>
        <w:pStyle w:val="listaa"/>
        <w:numPr>
          <w:ilvl w:val="0"/>
          <w:numId w:val="13"/>
        </w:numPr>
        <w:rPr>
          <w:color w:val="000080"/>
        </w:rPr>
      </w:pPr>
      <w:r w:rsidRPr="0019670A">
        <w:t>Depósitos a la Vista de Residentes en moneda extranjera</w:t>
      </w:r>
      <w:r>
        <w:t>: Obligación creada por los depósitos recibidos en moneda extranjera, de residentes, excluyendo al Gobierno Central y que el Banco mantiene a la vista para retiro de los depositarios</w:t>
      </w:r>
      <w:r w:rsidRPr="0019670A">
        <w:t>.</w:t>
      </w:r>
    </w:p>
    <w:p w:rsidR="002867A0" w:rsidRDefault="001E76BC" w:rsidP="00C82E3B">
      <w:pPr>
        <w:pStyle w:val="Ttulo1"/>
        <w:spacing w:after="240"/>
        <w:jc w:val="both"/>
        <w:rPr>
          <w:rFonts w:ascii="Times New Roman" w:hAnsi="Times New Roman" w:cs="Times New Roman"/>
          <w:color w:val="000080"/>
          <w:sz w:val="24"/>
          <w:szCs w:val="24"/>
          <w:lang w:val="es-CR"/>
        </w:rPr>
      </w:pPr>
      <w:r w:rsidRPr="001E76BC">
        <w:rPr>
          <w:noProof/>
          <w:szCs w:val="24"/>
          <w:lang w:val="es-ES" w:eastAsia="es-ES"/>
        </w:rPr>
        <w:lastRenderedPageBreak/>
        <w:drawing>
          <wp:inline distT="0" distB="0" distL="0" distR="0">
            <wp:extent cx="5490210" cy="1840225"/>
            <wp:effectExtent l="19050" t="0" r="0" b="0"/>
            <wp:docPr id="2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5490210" cy="1840225"/>
                    </a:xfrm>
                    <a:prstGeom prst="rect">
                      <a:avLst/>
                    </a:prstGeom>
                    <a:noFill/>
                    <a:ln w="9525">
                      <a:noFill/>
                      <a:miter lim="800000"/>
                      <a:headEnd/>
                      <a:tailEnd/>
                    </a:ln>
                  </pic:spPr>
                </pic:pic>
              </a:graphicData>
            </a:graphic>
          </wp:inline>
        </w:drawing>
      </w:r>
    </w:p>
    <w:p w:rsidR="00BC62B7" w:rsidRPr="0019670A" w:rsidRDefault="00BC62B7" w:rsidP="00C82E3B">
      <w:pPr>
        <w:pStyle w:val="Ttulo1"/>
        <w:spacing w:after="240"/>
        <w:jc w:val="both"/>
        <w:rPr>
          <w:rFonts w:ascii="Times New Roman" w:hAnsi="Times New Roman" w:cs="Times New Roman"/>
          <w:color w:val="000080"/>
          <w:sz w:val="24"/>
          <w:szCs w:val="24"/>
          <w:lang w:val="es-CR"/>
        </w:rPr>
      </w:pPr>
      <w:bookmarkStart w:id="49" w:name="_Toc255802916"/>
      <w:r w:rsidRPr="0019670A">
        <w:rPr>
          <w:rFonts w:ascii="Times New Roman" w:hAnsi="Times New Roman" w:cs="Times New Roman"/>
          <w:color w:val="000080"/>
          <w:sz w:val="24"/>
          <w:szCs w:val="24"/>
          <w:lang w:val="es-CR"/>
        </w:rPr>
        <w:t>Nota 1</w:t>
      </w:r>
      <w:r w:rsidR="005057F0">
        <w:rPr>
          <w:rFonts w:ascii="Times New Roman" w:hAnsi="Times New Roman" w:cs="Times New Roman"/>
          <w:color w:val="000080"/>
          <w:sz w:val="24"/>
          <w:szCs w:val="24"/>
          <w:lang w:val="es-CR"/>
        </w:rPr>
        <w:t>5</w:t>
      </w:r>
      <w:r w:rsidRPr="0019670A">
        <w:rPr>
          <w:rFonts w:ascii="Times New Roman" w:hAnsi="Times New Roman" w:cs="Times New Roman"/>
          <w:color w:val="000080"/>
          <w:sz w:val="24"/>
          <w:szCs w:val="24"/>
          <w:lang w:val="es-CR"/>
        </w:rPr>
        <w:t xml:space="preserve">:   Valores Emitidos con </w:t>
      </w:r>
      <w:r>
        <w:rPr>
          <w:rFonts w:ascii="Times New Roman" w:hAnsi="Times New Roman" w:cs="Times New Roman"/>
          <w:color w:val="000080"/>
          <w:sz w:val="24"/>
          <w:szCs w:val="24"/>
          <w:lang w:val="es-CR"/>
        </w:rPr>
        <w:t>R</w:t>
      </w:r>
      <w:r w:rsidRPr="0019670A">
        <w:rPr>
          <w:rFonts w:ascii="Times New Roman" w:hAnsi="Times New Roman" w:cs="Times New Roman"/>
          <w:color w:val="000080"/>
          <w:sz w:val="24"/>
          <w:szCs w:val="24"/>
          <w:lang w:val="es-CR"/>
        </w:rPr>
        <w:t>esidentes</w:t>
      </w:r>
      <w:bookmarkEnd w:id="49"/>
    </w:p>
    <w:p w:rsidR="00BC62B7" w:rsidRPr="0019670A" w:rsidRDefault="00BC62B7" w:rsidP="00C82E3B">
      <w:pPr>
        <w:pStyle w:val="TextoparrafosCar"/>
        <w:rPr>
          <w:rFonts w:ascii="Times New Roman" w:hAnsi="Times New Roman"/>
        </w:rPr>
      </w:pPr>
      <w:r w:rsidRPr="0019670A">
        <w:rPr>
          <w:rFonts w:ascii="Times New Roman" w:hAnsi="Times New Roman"/>
        </w:rPr>
        <w:t>El Banco Central de Costa Rica, clasifica bajo este concepto:</w:t>
      </w:r>
    </w:p>
    <w:p w:rsidR="00BC62B7" w:rsidRPr="0019670A" w:rsidRDefault="00BC62B7" w:rsidP="005441B8">
      <w:pPr>
        <w:pStyle w:val="listaa"/>
        <w:numPr>
          <w:ilvl w:val="0"/>
          <w:numId w:val="14"/>
        </w:numPr>
        <w:spacing w:before="120" w:after="0"/>
        <w:ind w:left="357" w:hanging="357"/>
      </w:pPr>
      <w:r w:rsidRPr="0019670A">
        <w:t xml:space="preserve">Las Obligaciones por captación </w:t>
      </w:r>
      <w:r>
        <w:t>en operaciones de Mercado Abierto</w:t>
      </w:r>
      <w:r w:rsidRPr="0019670A">
        <w:t xml:space="preserve"> en moneda nacional y </w:t>
      </w:r>
      <w:r>
        <w:t xml:space="preserve">en </w:t>
      </w:r>
      <w:r w:rsidRPr="0019670A">
        <w:t>moneda extranjera clasificados en atención al plazo; de la siguiente forma:</w:t>
      </w:r>
    </w:p>
    <w:p w:rsidR="00BC62B7" w:rsidRPr="0019670A" w:rsidRDefault="00BC62B7" w:rsidP="000A7E27">
      <w:pPr>
        <w:pStyle w:val="listaa"/>
        <w:numPr>
          <w:ilvl w:val="0"/>
          <w:numId w:val="9"/>
        </w:numPr>
        <w:spacing w:before="120" w:after="120"/>
        <w:ind w:hanging="153"/>
      </w:pPr>
      <w:r w:rsidRPr="0019670A">
        <w:t xml:space="preserve">A muy corto plazo </w:t>
      </w:r>
      <w:r>
        <w:t>-</w:t>
      </w:r>
      <w:r w:rsidRPr="0019670A">
        <w:t>hasta treinta días plazo</w:t>
      </w:r>
      <w:r>
        <w:t>-</w:t>
      </w:r>
    </w:p>
    <w:p w:rsidR="00BC62B7" w:rsidRPr="0019670A" w:rsidRDefault="00BC62B7" w:rsidP="00BD2618">
      <w:pPr>
        <w:pStyle w:val="listaa"/>
        <w:numPr>
          <w:ilvl w:val="0"/>
          <w:numId w:val="9"/>
        </w:numPr>
        <w:spacing w:before="120" w:after="120"/>
        <w:ind w:hanging="181"/>
      </w:pPr>
      <w:r w:rsidRPr="0019670A">
        <w:t>A Corto Plazo -más de treinta días hasta trescientos sesenta días plazo-</w:t>
      </w:r>
    </w:p>
    <w:p w:rsidR="00BC62B7" w:rsidRPr="0019670A" w:rsidRDefault="00BC62B7" w:rsidP="00BD2618">
      <w:pPr>
        <w:pStyle w:val="listaa"/>
        <w:numPr>
          <w:ilvl w:val="0"/>
          <w:numId w:val="9"/>
        </w:numPr>
        <w:spacing w:before="120" w:after="120"/>
        <w:ind w:hanging="181"/>
      </w:pPr>
      <w:r w:rsidRPr="0019670A">
        <w:t>A Mediano Plazo -más de trescientos sesenta días hasta mil ochocientos días plazo-</w:t>
      </w:r>
    </w:p>
    <w:p w:rsidR="00BC62B7" w:rsidRDefault="00BC62B7" w:rsidP="00BD2618">
      <w:pPr>
        <w:pStyle w:val="listaa"/>
        <w:numPr>
          <w:ilvl w:val="0"/>
          <w:numId w:val="9"/>
        </w:numPr>
        <w:spacing w:before="120"/>
      </w:pPr>
      <w:r w:rsidRPr="0019670A">
        <w:t>A Largo Plazo -más de mil ochocientos días plazo-</w:t>
      </w:r>
    </w:p>
    <w:p w:rsidR="00E2678C" w:rsidRDefault="00BC62B7" w:rsidP="001C1F03">
      <w:pPr>
        <w:pStyle w:val="listaa"/>
        <w:numPr>
          <w:ilvl w:val="0"/>
          <w:numId w:val="14"/>
        </w:numPr>
      </w:pPr>
      <w:r>
        <w:t>Premio por Rendimiento de títulos en moneda nacional y extranjera: Es la prima o premio en la venta de bonos y se presenta cuando los bonos se venden a más de su valor a la par y ese importe no representa intereses ganados por anticipado, sino que por su relación directa con el interés que genera el bono, el premio se amortiza durante el periodo en que los bonos están vigentes</w:t>
      </w:r>
      <w:r w:rsidR="00E2678C">
        <w:t>.</w:t>
      </w:r>
      <w:r>
        <w:t xml:space="preserve"> </w:t>
      </w:r>
    </w:p>
    <w:p w:rsidR="00F82157" w:rsidRDefault="00BC62B7" w:rsidP="001C1F03">
      <w:pPr>
        <w:pStyle w:val="listaa"/>
        <w:numPr>
          <w:ilvl w:val="0"/>
          <w:numId w:val="14"/>
        </w:numPr>
      </w:pPr>
      <w:r>
        <w:t>Descuento por Rendimiento</w:t>
      </w:r>
      <w:r w:rsidRPr="00FC710F">
        <w:t xml:space="preserve"> </w:t>
      </w:r>
      <w:r>
        <w:t>en moneda nacional y extranjera: Es el descuento en la venta de bonos y se presenta cuando los bonos se venden a menos de su valor a la par y ese importe no representa intereses pagados por anticipado, sino que por su relación directa con el interés que genera el bono, el descuento se amortiza durante el periodo en que los bonos están vigentes</w:t>
      </w:r>
      <w:r w:rsidR="00E2678C">
        <w:t>.</w:t>
      </w:r>
    </w:p>
    <w:p w:rsidR="00AF2F0C" w:rsidRDefault="00AF2F0C" w:rsidP="001C1F03">
      <w:pPr>
        <w:pStyle w:val="listaa"/>
        <w:numPr>
          <w:ilvl w:val="0"/>
          <w:numId w:val="14"/>
        </w:numPr>
      </w:pPr>
      <w:r>
        <w:t xml:space="preserve">Descuento por Emisión en moneda nacional y extranjera: Registra la diferencia entre el valor transado bruto y el valor facial de los títulos cero </w:t>
      </w:r>
      <w:proofErr w:type="gramStart"/>
      <w:r>
        <w:t>cupón</w:t>
      </w:r>
      <w:proofErr w:type="gramEnd"/>
      <w:r>
        <w:t xml:space="preserve">, monto que representa la retribución al inversionista al vencimiento del título y que se amortiza durante el periodo en que los bonos están vigentes. </w:t>
      </w:r>
    </w:p>
    <w:p w:rsidR="00BC62B7" w:rsidRDefault="00F82157" w:rsidP="00F82157">
      <w:pPr>
        <w:pStyle w:val="listaa"/>
        <w:numPr>
          <w:ilvl w:val="0"/>
          <w:numId w:val="0"/>
        </w:numPr>
        <w:ind w:left="360"/>
      </w:pPr>
      <w:r w:rsidRPr="00F82157">
        <w:lastRenderedPageBreak/>
        <w:t xml:space="preserve"> </w:t>
      </w:r>
      <w:r w:rsidR="001E76BC" w:rsidRPr="001E76BC">
        <w:rPr>
          <w:noProof/>
          <w:lang w:val="es-ES" w:eastAsia="es-ES"/>
        </w:rPr>
        <w:drawing>
          <wp:inline distT="0" distB="0" distL="0" distR="0">
            <wp:extent cx="5490210" cy="2360697"/>
            <wp:effectExtent l="19050" t="0" r="0" b="0"/>
            <wp:docPr id="24"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srcRect/>
                    <a:stretch>
                      <a:fillRect/>
                    </a:stretch>
                  </pic:blipFill>
                  <pic:spPr bwMode="auto">
                    <a:xfrm>
                      <a:off x="0" y="0"/>
                      <a:ext cx="5490210" cy="2360697"/>
                    </a:xfrm>
                    <a:prstGeom prst="rect">
                      <a:avLst/>
                    </a:prstGeom>
                    <a:noFill/>
                    <a:ln w="9525">
                      <a:noFill/>
                      <a:miter lim="800000"/>
                      <a:headEnd/>
                      <a:tailEnd/>
                    </a:ln>
                  </pic:spPr>
                </pic:pic>
              </a:graphicData>
            </a:graphic>
          </wp:inline>
        </w:drawing>
      </w:r>
    </w:p>
    <w:p w:rsidR="00BC62B7" w:rsidRPr="0019670A" w:rsidRDefault="00BC62B7" w:rsidP="00C82E3B">
      <w:pPr>
        <w:pStyle w:val="Ttulo1"/>
        <w:spacing w:after="240"/>
        <w:jc w:val="both"/>
        <w:rPr>
          <w:rFonts w:ascii="Times New Roman" w:hAnsi="Times New Roman" w:cs="Times New Roman"/>
          <w:color w:val="000080"/>
          <w:sz w:val="24"/>
          <w:szCs w:val="24"/>
          <w:lang w:val="es-CR"/>
        </w:rPr>
      </w:pPr>
      <w:bookmarkStart w:id="50" w:name="_Toc255802917"/>
      <w:r w:rsidRPr="0019670A">
        <w:rPr>
          <w:rFonts w:ascii="Times New Roman" w:hAnsi="Times New Roman" w:cs="Times New Roman"/>
          <w:color w:val="000080"/>
          <w:sz w:val="24"/>
          <w:szCs w:val="24"/>
          <w:lang w:val="es-CR"/>
        </w:rPr>
        <w:t>Nota 1</w:t>
      </w:r>
      <w:r w:rsidR="005057F0">
        <w:rPr>
          <w:rFonts w:ascii="Times New Roman" w:hAnsi="Times New Roman" w:cs="Times New Roman"/>
          <w:color w:val="000080"/>
          <w:sz w:val="24"/>
          <w:szCs w:val="24"/>
          <w:lang w:val="es-CR"/>
        </w:rPr>
        <w:t>6</w:t>
      </w:r>
      <w:r w:rsidRPr="0019670A">
        <w:rPr>
          <w:rFonts w:ascii="Times New Roman" w:hAnsi="Times New Roman" w:cs="Times New Roman"/>
          <w:color w:val="000080"/>
          <w:sz w:val="24"/>
          <w:szCs w:val="24"/>
          <w:lang w:val="es-CR"/>
        </w:rPr>
        <w:t>:   Depósitos del Gobierno Central</w:t>
      </w:r>
      <w:bookmarkEnd w:id="50"/>
      <w:r w:rsidRPr="0019670A">
        <w:rPr>
          <w:rFonts w:ascii="Times New Roman" w:hAnsi="Times New Roman" w:cs="Times New Roman"/>
          <w:color w:val="000080"/>
          <w:sz w:val="24"/>
          <w:szCs w:val="24"/>
          <w:lang w:val="es-CR"/>
        </w:rPr>
        <w:t xml:space="preserve"> </w:t>
      </w:r>
    </w:p>
    <w:p w:rsidR="00BC62B7" w:rsidRPr="0019670A" w:rsidRDefault="00BC62B7" w:rsidP="00C82E3B">
      <w:pPr>
        <w:pStyle w:val="TextoparrafosCar"/>
        <w:rPr>
          <w:rFonts w:ascii="Times New Roman" w:hAnsi="Times New Roman"/>
        </w:rPr>
      </w:pPr>
      <w:r w:rsidRPr="0019670A">
        <w:rPr>
          <w:rFonts w:ascii="Times New Roman" w:hAnsi="Times New Roman"/>
        </w:rPr>
        <w:t>El Banco Central de Costa Rica, clasifica bajo este concepto:</w:t>
      </w:r>
    </w:p>
    <w:p w:rsidR="00BC62B7" w:rsidRPr="0019670A" w:rsidRDefault="00BC62B7" w:rsidP="001C1F03">
      <w:pPr>
        <w:pStyle w:val="listaa"/>
        <w:numPr>
          <w:ilvl w:val="0"/>
          <w:numId w:val="19"/>
        </w:numPr>
      </w:pPr>
      <w:r w:rsidRPr="0019670A">
        <w:t xml:space="preserve">Depósitos del Gobierno Central en </w:t>
      </w:r>
      <w:r>
        <w:t>m</w:t>
      </w:r>
      <w:r w:rsidRPr="0019670A">
        <w:t xml:space="preserve">oneda </w:t>
      </w:r>
      <w:r>
        <w:t>n</w:t>
      </w:r>
      <w:r w:rsidRPr="0019670A">
        <w:t xml:space="preserve">acional y </w:t>
      </w:r>
      <w:r>
        <w:t>e</w:t>
      </w:r>
      <w:r w:rsidRPr="0019670A">
        <w:t>xtranjera: Cuenta corriente que mantiene el Gobierno Central en moneda extranjera y nacional en el Banco Central.</w:t>
      </w:r>
    </w:p>
    <w:p w:rsidR="00BC62B7" w:rsidRPr="0019670A" w:rsidRDefault="00BC62B7" w:rsidP="006C1F84">
      <w:pPr>
        <w:pStyle w:val="Ttulo1"/>
        <w:spacing w:before="0" w:after="0"/>
        <w:jc w:val="both"/>
        <w:rPr>
          <w:rFonts w:ascii="Times New Roman" w:hAnsi="Times New Roman" w:cs="Times New Roman"/>
          <w:color w:val="000080"/>
          <w:sz w:val="24"/>
          <w:szCs w:val="24"/>
          <w:lang w:val="es-CR"/>
        </w:rPr>
      </w:pPr>
      <w:bookmarkStart w:id="51" w:name="_Toc255802918"/>
      <w:r w:rsidRPr="0019670A">
        <w:rPr>
          <w:rFonts w:ascii="Times New Roman" w:hAnsi="Times New Roman" w:cs="Times New Roman"/>
          <w:color w:val="000080"/>
          <w:sz w:val="24"/>
          <w:szCs w:val="24"/>
          <w:lang w:val="es-CR"/>
        </w:rPr>
        <w:t>Nota 1</w:t>
      </w:r>
      <w:r w:rsidR="005057F0">
        <w:rPr>
          <w:rFonts w:ascii="Times New Roman" w:hAnsi="Times New Roman" w:cs="Times New Roman"/>
          <w:color w:val="000080"/>
          <w:sz w:val="24"/>
          <w:szCs w:val="24"/>
          <w:lang w:val="es-CR"/>
        </w:rPr>
        <w:t>7</w:t>
      </w:r>
      <w:r w:rsidRPr="0019670A">
        <w:rPr>
          <w:rFonts w:ascii="Times New Roman" w:hAnsi="Times New Roman" w:cs="Times New Roman"/>
          <w:color w:val="000080"/>
          <w:sz w:val="24"/>
          <w:szCs w:val="24"/>
          <w:lang w:val="es-CR"/>
        </w:rPr>
        <w:t>:   Obligaciones con el Gobierno Central</w:t>
      </w:r>
      <w:bookmarkEnd w:id="51"/>
    </w:p>
    <w:p w:rsidR="00BC62B7" w:rsidRPr="0019670A" w:rsidRDefault="00BC62B7" w:rsidP="00C82E3B">
      <w:pPr>
        <w:pStyle w:val="TextoparrafosCar"/>
        <w:rPr>
          <w:rFonts w:ascii="Times New Roman" w:hAnsi="Times New Roman"/>
        </w:rPr>
      </w:pPr>
      <w:r w:rsidRPr="0019670A">
        <w:rPr>
          <w:rFonts w:ascii="Times New Roman" w:hAnsi="Times New Roman"/>
        </w:rPr>
        <w:t>El Banco Central de Costa Rica, clasifica bajo este concepto:</w:t>
      </w:r>
    </w:p>
    <w:p w:rsidR="00700F31" w:rsidRPr="00700F31" w:rsidRDefault="00BC62B7" w:rsidP="001C1F03">
      <w:pPr>
        <w:pStyle w:val="listaa"/>
        <w:numPr>
          <w:ilvl w:val="0"/>
          <w:numId w:val="16"/>
        </w:numPr>
        <w:rPr>
          <w:color w:val="000080"/>
        </w:rPr>
      </w:pPr>
      <w:r w:rsidRPr="0019670A">
        <w:t>Obligaciones con el Gobierno Central por Administración de recursos de Origen Externo en moneda nacional con equivalencia en moneda extranjera: Obligaciones con el Gobierno Central por recursos obtenidos en el exterior, para ser administrados por el Banco Central.</w:t>
      </w:r>
    </w:p>
    <w:p w:rsidR="00BC62B7" w:rsidRPr="0019670A" w:rsidRDefault="00BC62B7" w:rsidP="005441B8">
      <w:pPr>
        <w:pStyle w:val="Ttulo1"/>
        <w:spacing w:before="360" w:after="240"/>
        <w:jc w:val="both"/>
        <w:rPr>
          <w:rFonts w:ascii="Times New Roman" w:hAnsi="Times New Roman" w:cs="Times New Roman"/>
          <w:color w:val="000080"/>
          <w:sz w:val="24"/>
          <w:szCs w:val="24"/>
          <w:lang w:val="es-CR"/>
        </w:rPr>
      </w:pPr>
      <w:bookmarkStart w:id="52" w:name="_Toc255802919"/>
      <w:r w:rsidRPr="0019670A">
        <w:rPr>
          <w:rFonts w:ascii="Times New Roman" w:hAnsi="Times New Roman" w:cs="Times New Roman"/>
          <w:color w:val="000080"/>
          <w:sz w:val="24"/>
          <w:szCs w:val="24"/>
          <w:lang w:val="es-CR"/>
        </w:rPr>
        <w:t xml:space="preserve">Nota </w:t>
      </w:r>
      <w:r>
        <w:rPr>
          <w:rFonts w:ascii="Times New Roman" w:hAnsi="Times New Roman" w:cs="Times New Roman"/>
          <w:color w:val="000080"/>
          <w:sz w:val="24"/>
          <w:szCs w:val="24"/>
          <w:lang w:val="es-CR"/>
        </w:rPr>
        <w:t>1</w:t>
      </w:r>
      <w:r w:rsidR="005057F0">
        <w:rPr>
          <w:rFonts w:ascii="Times New Roman" w:hAnsi="Times New Roman" w:cs="Times New Roman"/>
          <w:color w:val="000080"/>
          <w:sz w:val="24"/>
          <w:szCs w:val="24"/>
          <w:lang w:val="es-CR"/>
        </w:rPr>
        <w:t>8</w:t>
      </w:r>
      <w:r w:rsidRPr="0019670A">
        <w:rPr>
          <w:rFonts w:ascii="Times New Roman" w:hAnsi="Times New Roman" w:cs="Times New Roman"/>
          <w:color w:val="000080"/>
          <w:sz w:val="24"/>
          <w:szCs w:val="24"/>
          <w:lang w:val="es-CR"/>
        </w:rPr>
        <w:t xml:space="preserve">:   Otros </w:t>
      </w:r>
      <w:r>
        <w:rPr>
          <w:rFonts w:ascii="Times New Roman" w:hAnsi="Times New Roman" w:cs="Times New Roman"/>
          <w:color w:val="000080"/>
          <w:sz w:val="24"/>
          <w:szCs w:val="24"/>
          <w:lang w:val="es-CR"/>
        </w:rPr>
        <w:t>P</w:t>
      </w:r>
      <w:r w:rsidRPr="0019670A">
        <w:rPr>
          <w:rFonts w:ascii="Times New Roman" w:hAnsi="Times New Roman" w:cs="Times New Roman"/>
          <w:color w:val="000080"/>
          <w:sz w:val="24"/>
          <w:szCs w:val="24"/>
          <w:lang w:val="es-CR"/>
        </w:rPr>
        <w:t>asivos</w:t>
      </w:r>
      <w:r>
        <w:rPr>
          <w:rFonts w:ascii="Times New Roman" w:hAnsi="Times New Roman" w:cs="Times New Roman"/>
          <w:color w:val="000080"/>
          <w:sz w:val="24"/>
          <w:szCs w:val="24"/>
          <w:lang w:val="es-CR"/>
        </w:rPr>
        <w:t xml:space="preserve"> (Internos)</w:t>
      </w:r>
      <w:bookmarkEnd w:id="52"/>
    </w:p>
    <w:p w:rsidR="00BC62B7" w:rsidRPr="0019670A" w:rsidRDefault="00BC62B7" w:rsidP="00C82E3B">
      <w:pPr>
        <w:pStyle w:val="TextoparrafosCar"/>
        <w:rPr>
          <w:rFonts w:ascii="Times New Roman" w:hAnsi="Times New Roman"/>
        </w:rPr>
      </w:pPr>
      <w:r w:rsidRPr="0019670A">
        <w:rPr>
          <w:rFonts w:ascii="Times New Roman" w:hAnsi="Times New Roman"/>
        </w:rPr>
        <w:t>El Banco Central de Costa Rica, clasifica bajo este concepto:</w:t>
      </w:r>
    </w:p>
    <w:p w:rsidR="00BC62B7" w:rsidRDefault="00BC62B7" w:rsidP="001C1F03">
      <w:pPr>
        <w:pStyle w:val="listaa"/>
        <w:numPr>
          <w:ilvl w:val="0"/>
          <w:numId w:val="15"/>
        </w:numPr>
      </w:pPr>
      <w:r w:rsidRPr="0019670A">
        <w:t xml:space="preserve">Intereses, Comisiones y Otros Gastos por pagar a Residentes en moneda extranjera: Gastos </w:t>
      </w:r>
      <w:r>
        <w:t>originados por</w:t>
      </w:r>
      <w:r w:rsidRPr="0019670A">
        <w:t xml:space="preserve"> las captaciones en moneda extranjera.</w:t>
      </w:r>
      <w:r>
        <w:t xml:space="preserve"> </w:t>
      </w:r>
    </w:p>
    <w:p w:rsidR="00266FC0" w:rsidRDefault="00BC62B7" w:rsidP="001C1F03">
      <w:pPr>
        <w:pStyle w:val="listaa"/>
        <w:numPr>
          <w:ilvl w:val="0"/>
          <w:numId w:val="15"/>
        </w:numPr>
      </w:pPr>
      <w:r w:rsidRPr="0019670A">
        <w:t>Intereses, Comisiones y Otros Gastos por pagar a Residentes en moneda nacional</w:t>
      </w:r>
      <w:r>
        <w:t xml:space="preserve"> y en moneda nacional con equivalencia en moneda extranjera</w:t>
      </w:r>
      <w:r w:rsidRPr="0019670A">
        <w:t xml:space="preserve">: Gastos </w:t>
      </w:r>
      <w:r>
        <w:t>originados por</w:t>
      </w:r>
      <w:r w:rsidRPr="0019670A">
        <w:t xml:space="preserve"> las captaciones en moneda nacional</w:t>
      </w:r>
      <w:r>
        <w:t xml:space="preserve">. </w:t>
      </w:r>
    </w:p>
    <w:p w:rsidR="00BC62B7" w:rsidRDefault="00266FC0" w:rsidP="001C1F03">
      <w:pPr>
        <w:pStyle w:val="listaa"/>
        <w:numPr>
          <w:ilvl w:val="0"/>
          <w:numId w:val="15"/>
        </w:numPr>
      </w:pPr>
      <w:r>
        <w:t>Provisiones varias: Gastos no presupuestarios originados en la constitución de las provisiones, en cumplimiento de lo dispuesto en el artículo 8 de  la Ley Orgánica del BCCR.</w:t>
      </w:r>
      <w:r w:rsidR="00BC62B7">
        <w:t xml:space="preserve"> </w:t>
      </w:r>
    </w:p>
    <w:p w:rsidR="00462F58" w:rsidRDefault="00462F58" w:rsidP="00462F58">
      <w:pPr>
        <w:pStyle w:val="listaa"/>
        <w:numPr>
          <w:ilvl w:val="0"/>
          <w:numId w:val="15"/>
        </w:numPr>
      </w:pPr>
      <w:r>
        <w:lastRenderedPageBreak/>
        <w:t>Compromisos presupuestarios por pagar en moneda nacional: Obligaciones por pagar registradas por anticipado (devengo), por el concepto de alquileres, seguros y otros.</w:t>
      </w:r>
    </w:p>
    <w:p w:rsidR="00BC62B7" w:rsidRDefault="00BC62B7" w:rsidP="001C1F03">
      <w:pPr>
        <w:pStyle w:val="listaa"/>
        <w:numPr>
          <w:ilvl w:val="0"/>
          <w:numId w:val="15"/>
        </w:numPr>
      </w:pPr>
      <w:r w:rsidRPr="0019670A">
        <w:t xml:space="preserve">Otras Obligaciones con Residentes en moneda nacional: Obligaciones del Banco Central </w:t>
      </w:r>
      <w:r>
        <w:t xml:space="preserve">en moneda nacional con </w:t>
      </w:r>
      <w:r w:rsidRPr="0019670A">
        <w:t xml:space="preserve">residentes, originadas en </w:t>
      </w:r>
      <w:r>
        <w:t>retenciones obrero patronales, aguinaldo y salario escolar por pagar e impuestos de renta sobre intereses pagados (incluye la recaudación por servicio de bonos del gobierno).</w:t>
      </w:r>
    </w:p>
    <w:p w:rsidR="00BC62B7" w:rsidRDefault="00BC62B7" w:rsidP="001C1F03">
      <w:pPr>
        <w:pStyle w:val="listaa"/>
        <w:numPr>
          <w:ilvl w:val="0"/>
          <w:numId w:val="15"/>
        </w:numPr>
      </w:pPr>
      <w:r w:rsidRPr="0019670A">
        <w:t>Varios Acreedores en moneda nacional</w:t>
      </w:r>
      <w:r>
        <w:t xml:space="preserve"> y extranjera</w:t>
      </w:r>
      <w:r w:rsidRPr="0019670A">
        <w:t>: Obligaciones</w:t>
      </w:r>
      <w:r>
        <w:t xml:space="preserve"> </w:t>
      </w:r>
      <w:r w:rsidRPr="001365D6">
        <w:t xml:space="preserve">eventuales que el Banco Central </w:t>
      </w:r>
      <w:r>
        <w:t xml:space="preserve">tiene con terceros </w:t>
      </w:r>
      <w:r w:rsidRPr="001365D6">
        <w:t>en moned</w:t>
      </w:r>
      <w:r>
        <w:t>a nacional y extranjera</w:t>
      </w:r>
      <w:r w:rsidRPr="001365D6">
        <w:t>, originad</w:t>
      </w:r>
      <w:r>
        <w:t>o</w:t>
      </w:r>
      <w:r w:rsidRPr="001365D6">
        <w:t>s en operaciones que no son propias del Banco</w:t>
      </w:r>
      <w:r>
        <w:t>, tales como: Ordenes de pago pendientes de liquidación, Sobrantes de depósitos de deuda externa para el pago del principal e intereses, Desembolsos de organismos internacionales para instituciones públicas, Bonos y cupones recibidos pendientes de pago y pagos a través de Créditos Directos en el SINPE</w:t>
      </w:r>
      <w:r w:rsidRPr="001365D6">
        <w:t>.</w:t>
      </w:r>
    </w:p>
    <w:p w:rsidR="002B60AB" w:rsidRDefault="002B60AB" w:rsidP="00A60C20">
      <w:pPr>
        <w:pStyle w:val="Ttulo1"/>
        <w:spacing w:before="0" w:after="0"/>
        <w:jc w:val="both"/>
        <w:rPr>
          <w:rFonts w:ascii="Times New Roman" w:hAnsi="Times New Roman" w:cs="Times New Roman"/>
          <w:color w:val="000080"/>
          <w:sz w:val="24"/>
          <w:szCs w:val="24"/>
          <w:lang w:val="es-CR"/>
        </w:rPr>
      </w:pPr>
    </w:p>
    <w:p w:rsidR="002B60AB" w:rsidRDefault="002B60AB" w:rsidP="00A60C20">
      <w:pPr>
        <w:pStyle w:val="Ttulo1"/>
        <w:spacing w:before="0" w:after="0"/>
        <w:jc w:val="both"/>
        <w:rPr>
          <w:rFonts w:ascii="Times New Roman" w:hAnsi="Times New Roman" w:cs="Times New Roman"/>
          <w:color w:val="000080"/>
          <w:sz w:val="24"/>
          <w:szCs w:val="24"/>
          <w:lang w:val="es-CR"/>
        </w:rPr>
      </w:pPr>
    </w:p>
    <w:p w:rsidR="00BC62B7" w:rsidRPr="0019670A" w:rsidRDefault="00BC62B7" w:rsidP="00A60C20">
      <w:pPr>
        <w:pStyle w:val="Ttulo1"/>
        <w:spacing w:before="0" w:after="0"/>
        <w:jc w:val="both"/>
        <w:rPr>
          <w:rFonts w:ascii="Times New Roman" w:hAnsi="Times New Roman" w:cs="Times New Roman"/>
          <w:color w:val="000080"/>
          <w:sz w:val="24"/>
          <w:szCs w:val="24"/>
          <w:lang w:val="es-CR"/>
        </w:rPr>
      </w:pPr>
      <w:bookmarkStart w:id="53" w:name="_Toc255802920"/>
      <w:r>
        <w:rPr>
          <w:rFonts w:ascii="Times New Roman" w:hAnsi="Times New Roman" w:cs="Times New Roman"/>
          <w:color w:val="000080"/>
          <w:sz w:val="24"/>
          <w:szCs w:val="24"/>
          <w:lang w:val="es-CR"/>
        </w:rPr>
        <w:t xml:space="preserve">Nota </w:t>
      </w:r>
      <w:r w:rsidR="0053712D">
        <w:rPr>
          <w:rFonts w:ascii="Times New Roman" w:hAnsi="Times New Roman" w:cs="Times New Roman"/>
          <w:color w:val="000080"/>
          <w:sz w:val="24"/>
          <w:szCs w:val="24"/>
          <w:lang w:val="es-CR"/>
        </w:rPr>
        <w:t>1</w:t>
      </w:r>
      <w:r w:rsidR="005057F0">
        <w:rPr>
          <w:rFonts w:ascii="Times New Roman" w:hAnsi="Times New Roman" w:cs="Times New Roman"/>
          <w:color w:val="000080"/>
          <w:sz w:val="24"/>
          <w:szCs w:val="24"/>
          <w:lang w:val="es-CR"/>
        </w:rPr>
        <w:t>9</w:t>
      </w:r>
      <w:r w:rsidRPr="0019670A">
        <w:rPr>
          <w:rFonts w:ascii="Times New Roman" w:hAnsi="Times New Roman" w:cs="Times New Roman"/>
          <w:color w:val="000080"/>
          <w:sz w:val="24"/>
          <w:szCs w:val="24"/>
          <w:lang w:val="es-CR"/>
        </w:rPr>
        <w:t xml:space="preserve">:   </w:t>
      </w:r>
      <w:r>
        <w:rPr>
          <w:rFonts w:ascii="Times New Roman" w:hAnsi="Times New Roman" w:cs="Times New Roman"/>
          <w:color w:val="000080"/>
          <w:sz w:val="24"/>
          <w:szCs w:val="24"/>
          <w:lang w:val="es-CR"/>
        </w:rPr>
        <w:t xml:space="preserve">Cuentas de </w:t>
      </w:r>
      <w:r w:rsidRPr="0019670A">
        <w:rPr>
          <w:rFonts w:ascii="Times New Roman" w:hAnsi="Times New Roman" w:cs="Times New Roman"/>
          <w:color w:val="000080"/>
          <w:sz w:val="24"/>
          <w:szCs w:val="24"/>
          <w:lang w:val="es-CR"/>
        </w:rPr>
        <w:t>Capital</w:t>
      </w:r>
      <w:bookmarkEnd w:id="53"/>
      <w:r w:rsidRPr="0019670A">
        <w:rPr>
          <w:rFonts w:ascii="Times New Roman" w:hAnsi="Times New Roman" w:cs="Times New Roman"/>
          <w:color w:val="000080"/>
          <w:sz w:val="24"/>
          <w:szCs w:val="24"/>
          <w:lang w:val="es-CR"/>
        </w:rPr>
        <w:t xml:space="preserve"> </w:t>
      </w:r>
    </w:p>
    <w:p w:rsidR="002B60AB" w:rsidRDefault="002B60AB" w:rsidP="00873CC5">
      <w:pPr>
        <w:pStyle w:val="TextoparrafosCar"/>
        <w:spacing w:before="0" w:after="0"/>
        <w:rPr>
          <w:rFonts w:ascii="Times New Roman" w:hAnsi="Times New Roman"/>
        </w:rPr>
      </w:pPr>
    </w:p>
    <w:p w:rsidR="00BC62B7" w:rsidRDefault="00BC62B7" w:rsidP="00873CC5">
      <w:pPr>
        <w:pStyle w:val="TextoparrafosCar"/>
        <w:spacing w:before="0" w:after="0"/>
        <w:rPr>
          <w:rFonts w:ascii="Times New Roman" w:hAnsi="Times New Roman"/>
        </w:rPr>
      </w:pPr>
      <w:r w:rsidRPr="0019670A">
        <w:rPr>
          <w:rFonts w:ascii="Times New Roman" w:hAnsi="Times New Roman"/>
        </w:rPr>
        <w:t>El Banco Central de Costa Rica, clasifica bajo este concepto:</w:t>
      </w:r>
    </w:p>
    <w:p w:rsidR="000A049A" w:rsidRPr="0019670A" w:rsidRDefault="000A049A" w:rsidP="00873CC5">
      <w:pPr>
        <w:pStyle w:val="TextoparrafosCar"/>
        <w:spacing w:before="0" w:after="0"/>
        <w:rPr>
          <w:rFonts w:ascii="Times New Roman" w:hAnsi="Times New Roman"/>
        </w:rPr>
      </w:pPr>
    </w:p>
    <w:p w:rsidR="002811C4" w:rsidRDefault="00BC62B7" w:rsidP="00873CC5">
      <w:pPr>
        <w:pStyle w:val="listaa"/>
        <w:numPr>
          <w:ilvl w:val="0"/>
          <w:numId w:val="25"/>
        </w:numPr>
        <w:spacing w:before="120" w:after="0"/>
        <w:ind w:left="425" w:hanging="425"/>
      </w:pPr>
      <w:r w:rsidRPr="0019670A">
        <w:t>Capital y Reserva Legal: Se clasifican las cuentas de capital aportado íntegramente por el estado y las reservas legales del Banco.</w:t>
      </w:r>
    </w:p>
    <w:p w:rsidR="002811C4" w:rsidRDefault="002811C4" w:rsidP="002811C4">
      <w:pPr>
        <w:pStyle w:val="listaa"/>
        <w:numPr>
          <w:ilvl w:val="0"/>
          <w:numId w:val="0"/>
        </w:numPr>
        <w:spacing w:before="0" w:after="0"/>
        <w:ind w:left="360" w:hanging="360"/>
      </w:pPr>
    </w:p>
    <w:p w:rsidR="00BC62B7" w:rsidRDefault="00BC62B7" w:rsidP="00873CC5">
      <w:pPr>
        <w:pStyle w:val="listaa"/>
        <w:numPr>
          <w:ilvl w:val="0"/>
          <w:numId w:val="25"/>
        </w:numPr>
        <w:spacing w:before="0" w:after="0"/>
        <w:ind w:left="425" w:hanging="425"/>
      </w:pPr>
      <w:r w:rsidRPr="0019670A">
        <w:t>Donaciones:</w:t>
      </w:r>
      <w:r>
        <w:t xml:space="preserve"> </w:t>
      </w:r>
      <w:r w:rsidRPr="0019670A">
        <w:t xml:space="preserve">Se clasifican las donaciones </w:t>
      </w:r>
      <w:r w:rsidRPr="005C7755">
        <w:t>recibid</w:t>
      </w:r>
      <w:r>
        <w:t>a</w:t>
      </w:r>
      <w:r w:rsidRPr="005C7755">
        <w:t>s de organismos internacionales para activar diversos sectores de la economía nacional</w:t>
      </w:r>
      <w:r>
        <w:t>.</w:t>
      </w:r>
      <w:r w:rsidRPr="0019670A">
        <w:t xml:space="preserve"> </w:t>
      </w:r>
      <w:r>
        <w:t>Además, se clasifican las donaciones de billetes, monedas, otros objetos de colección, bien</w:t>
      </w:r>
      <w:r w:rsidRPr="0019670A">
        <w:t>e</w:t>
      </w:r>
      <w:r>
        <w:t>s muebles, e</w:t>
      </w:r>
      <w:r w:rsidRPr="0019670A">
        <w:t>quipo informático</w:t>
      </w:r>
      <w:r>
        <w:t xml:space="preserve"> y</w:t>
      </w:r>
      <w:r w:rsidRPr="0019670A">
        <w:t xml:space="preserve"> software</w:t>
      </w:r>
      <w:r>
        <w:t>.</w:t>
      </w:r>
      <w:r w:rsidRPr="0019670A">
        <w:t xml:space="preserve"> </w:t>
      </w:r>
    </w:p>
    <w:p w:rsidR="000A3A83" w:rsidRPr="000A3A83" w:rsidRDefault="00337014" w:rsidP="001C1F03">
      <w:pPr>
        <w:pStyle w:val="listaa"/>
        <w:numPr>
          <w:ilvl w:val="0"/>
          <w:numId w:val="25"/>
        </w:numPr>
        <w:tabs>
          <w:tab w:val="left" w:pos="720"/>
        </w:tabs>
        <w:ind w:left="426" w:hanging="426"/>
        <w:rPr>
          <w:szCs w:val="22"/>
        </w:rPr>
      </w:pPr>
      <w:r>
        <w:t xml:space="preserve">Capitalización de Operaciones </w:t>
      </w:r>
      <w:proofErr w:type="spellStart"/>
      <w:r>
        <w:t>Cuasifiscales</w:t>
      </w:r>
      <w:proofErr w:type="spellEnd"/>
      <w:r w:rsidR="009849D2">
        <w:t>: Comprenden</w:t>
      </w:r>
      <w:r w:rsidR="000A3A83" w:rsidRPr="000A3A83">
        <w:rPr>
          <w:szCs w:val="22"/>
        </w:rPr>
        <w:t xml:space="preserve"> las amortizaciones </w:t>
      </w:r>
      <w:r w:rsidR="00964258">
        <w:rPr>
          <w:szCs w:val="22"/>
        </w:rPr>
        <w:t xml:space="preserve">efectuadas por </w:t>
      </w:r>
      <w:r w:rsidR="000A3A83" w:rsidRPr="000A3A83">
        <w:rPr>
          <w:szCs w:val="22"/>
        </w:rPr>
        <w:t xml:space="preserve">el Ministerio de </w:t>
      </w:r>
      <w:proofErr w:type="spellStart"/>
      <w:r w:rsidR="000A3A83" w:rsidRPr="000A3A83">
        <w:rPr>
          <w:szCs w:val="22"/>
        </w:rPr>
        <w:t>Hda</w:t>
      </w:r>
      <w:proofErr w:type="spellEnd"/>
      <w:r w:rsidR="000A3A83" w:rsidRPr="000A3A83">
        <w:rPr>
          <w:szCs w:val="22"/>
        </w:rPr>
        <w:t xml:space="preserve">, </w:t>
      </w:r>
      <w:r w:rsidR="00964258">
        <w:rPr>
          <w:szCs w:val="22"/>
        </w:rPr>
        <w:t>según el Art</w:t>
      </w:r>
      <w:r w:rsidR="002811C4">
        <w:rPr>
          <w:szCs w:val="22"/>
        </w:rPr>
        <w:t>.</w:t>
      </w:r>
      <w:r w:rsidR="00964258">
        <w:rPr>
          <w:szCs w:val="22"/>
        </w:rPr>
        <w:t xml:space="preserve"> 175 de las Deudas </w:t>
      </w:r>
      <w:proofErr w:type="spellStart"/>
      <w:r w:rsidR="00964258">
        <w:rPr>
          <w:szCs w:val="22"/>
        </w:rPr>
        <w:t>Cuasifiscales</w:t>
      </w:r>
      <w:proofErr w:type="spellEnd"/>
      <w:r w:rsidR="00CE466E">
        <w:rPr>
          <w:szCs w:val="22"/>
        </w:rPr>
        <w:t>.</w:t>
      </w:r>
    </w:p>
    <w:p w:rsidR="00BC62B7" w:rsidRDefault="00BC62B7" w:rsidP="001C1F03">
      <w:pPr>
        <w:pStyle w:val="listaa"/>
        <w:numPr>
          <w:ilvl w:val="0"/>
          <w:numId w:val="25"/>
        </w:numPr>
        <w:ind w:left="426" w:hanging="426"/>
      </w:pPr>
      <w:r w:rsidRPr="0019670A">
        <w:t>Superávit por Revaluación de Activos: Comp</w:t>
      </w:r>
      <w:r w:rsidR="00146EFC">
        <w:t>rende las revaluaciones de los bienes i</w:t>
      </w:r>
      <w:r w:rsidRPr="0019670A">
        <w:t xml:space="preserve">nmuebles, </w:t>
      </w:r>
      <w:r w:rsidR="00146EFC">
        <w:t>i</w:t>
      </w:r>
      <w:r>
        <w:t>ntangibles,  billetes, monedas y otros objetos de colección.</w:t>
      </w:r>
      <w:r w:rsidRPr="006A13E2">
        <w:t xml:space="preserve"> </w:t>
      </w:r>
      <w:r>
        <w:t xml:space="preserve">Además incluye el efecto de la </w:t>
      </w:r>
      <w:r w:rsidRPr="0019670A">
        <w:t>valoración</w:t>
      </w:r>
      <w:r>
        <w:t xml:space="preserve"> a precios de mercado </w:t>
      </w:r>
      <w:r w:rsidRPr="0019670A">
        <w:t xml:space="preserve">de las </w:t>
      </w:r>
      <w:proofErr w:type="spellStart"/>
      <w:r>
        <w:t>I</w:t>
      </w:r>
      <w:r w:rsidRPr="0019670A">
        <w:t>nvers</w:t>
      </w:r>
      <w:proofErr w:type="spellEnd"/>
      <w:r w:rsidR="002811C4">
        <w:t>.</w:t>
      </w:r>
      <w:r w:rsidRPr="0019670A">
        <w:t xml:space="preserve"> </w:t>
      </w:r>
      <w:r>
        <w:t xml:space="preserve">en el Exterior.  </w:t>
      </w:r>
    </w:p>
    <w:p w:rsidR="00BC62B7" w:rsidRDefault="009C7BFC" w:rsidP="001C1F03">
      <w:pPr>
        <w:pStyle w:val="listaa"/>
        <w:numPr>
          <w:ilvl w:val="0"/>
          <w:numId w:val="25"/>
        </w:numPr>
        <w:ind w:left="426" w:hanging="426"/>
      </w:pPr>
      <w:r>
        <w:t>E</w:t>
      </w:r>
      <w:r w:rsidR="00BC62B7">
        <w:t>l registro de las depreciaciones de los bienes inmuebles revaluados a partir de julio del 2007 se efectúa contra el superávit por revaluación de activos, esto en acatamiento a</w:t>
      </w:r>
      <w:r w:rsidR="002F35A4">
        <w:t xml:space="preserve"> la recomendación de la Auditorí</w:t>
      </w:r>
      <w:r w:rsidR="00BC62B7">
        <w:t>a Externa.</w:t>
      </w:r>
    </w:p>
    <w:p w:rsidR="003A79B0" w:rsidRDefault="003A79B0" w:rsidP="003A79B0">
      <w:pPr>
        <w:pStyle w:val="listaa"/>
        <w:numPr>
          <w:ilvl w:val="0"/>
          <w:numId w:val="25"/>
        </w:numPr>
        <w:ind w:left="426" w:hanging="426"/>
      </w:pPr>
      <w:r w:rsidRPr="0019670A">
        <w:t xml:space="preserve">Déficit por Devaluación de Activos: Se clasifican las devaluaciones sobre las inversiones </w:t>
      </w:r>
      <w:r>
        <w:t>en el exterior</w:t>
      </w:r>
      <w:r w:rsidRPr="0019670A">
        <w:t xml:space="preserve"> originadas por </w:t>
      </w:r>
      <w:r>
        <w:t xml:space="preserve">el efecto de </w:t>
      </w:r>
      <w:r w:rsidRPr="0019670A">
        <w:t>las valoraciones a precios de mercado de dich</w:t>
      </w:r>
      <w:r>
        <w:t>as</w:t>
      </w:r>
      <w:r w:rsidRPr="0019670A">
        <w:t xml:space="preserve"> </w:t>
      </w:r>
      <w:r>
        <w:t>inversiones.</w:t>
      </w:r>
    </w:p>
    <w:p w:rsidR="002B60AB" w:rsidRDefault="002B60AB" w:rsidP="002B60AB">
      <w:pPr>
        <w:pStyle w:val="listaa"/>
        <w:numPr>
          <w:ilvl w:val="0"/>
          <w:numId w:val="0"/>
        </w:numPr>
        <w:ind w:left="360" w:hanging="360"/>
      </w:pPr>
    </w:p>
    <w:p w:rsidR="00AE420E" w:rsidRDefault="00AE420E" w:rsidP="001C1F03">
      <w:pPr>
        <w:pStyle w:val="listaa"/>
        <w:numPr>
          <w:ilvl w:val="0"/>
          <w:numId w:val="25"/>
        </w:numPr>
        <w:ind w:left="426" w:hanging="426"/>
      </w:pPr>
      <w:r>
        <w:lastRenderedPageBreak/>
        <w:t>Déficit Acumulado, el cual incluye:</w:t>
      </w:r>
    </w:p>
    <w:p w:rsidR="008720A8" w:rsidRDefault="008720A8" w:rsidP="008720A8">
      <w:pPr>
        <w:pStyle w:val="listaa"/>
        <w:numPr>
          <w:ilvl w:val="1"/>
          <w:numId w:val="25"/>
        </w:numPr>
        <w:spacing w:before="0" w:after="0"/>
        <w:ind w:left="1434" w:hanging="357"/>
      </w:pPr>
      <w:r>
        <w:t>Déficit por Revaluaciones Monetarias: Es el monto que refleja el resultado negativo en que los gastos por revaluaciones monetarias superan a los ingresos por revaluaciones monetarias. M</w:t>
      </w:r>
      <w:r w:rsidRPr="0019670A">
        <w:t xml:space="preserve">ontos </w:t>
      </w:r>
      <w:r>
        <w:t xml:space="preserve">que </w:t>
      </w:r>
      <w:r w:rsidRPr="0019670A">
        <w:t>a partir de 1996, de acuerdo con la Ley Orgánica del Banco Central Nº 7558, forman parte de la liquidación de ganancias y pérdidas</w:t>
      </w:r>
      <w:r>
        <w:t xml:space="preserve"> que ascendieron a </w:t>
      </w:r>
      <w:r w:rsidRPr="005458F2">
        <w:t>¢</w:t>
      </w:r>
      <w:r>
        <w:t>116.282.273.215,50.</w:t>
      </w:r>
    </w:p>
    <w:p w:rsidR="008720A8" w:rsidRDefault="008720A8" w:rsidP="008720A8">
      <w:pPr>
        <w:pStyle w:val="listaa"/>
        <w:numPr>
          <w:ilvl w:val="0"/>
          <w:numId w:val="0"/>
        </w:numPr>
        <w:spacing w:before="0" w:after="0"/>
        <w:ind w:left="1077"/>
      </w:pPr>
    </w:p>
    <w:p w:rsidR="008720A8" w:rsidRDefault="008720A8" w:rsidP="008720A8">
      <w:pPr>
        <w:pStyle w:val="listaa"/>
        <w:numPr>
          <w:ilvl w:val="1"/>
          <w:numId w:val="25"/>
        </w:numPr>
        <w:spacing w:before="0" w:after="0"/>
        <w:ind w:left="1434" w:hanging="357"/>
      </w:pPr>
      <w:r>
        <w:t>Déficit por Estabilización Monetaria: Es el monto que refleja el resultado negativo por los gastos de programas de estabilización económica. M</w:t>
      </w:r>
      <w:r w:rsidRPr="0019670A">
        <w:t xml:space="preserve">ontos </w:t>
      </w:r>
      <w:r>
        <w:t xml:space="preserve">que </w:t>
      </w:r>
      <w:r w:rsidRPr="0019670A">
        <w:t>a partir de 1996, de acuerdo con la Ley Orgánica del Banco Central Nº 7558, forman parte de la liquidación de ganancias y pérdidas</w:t>
      </w:r>
      <w:r>
        <w:t xml:space="preserve"> que ascendieron a </w:t>
      </w:r>
      <w:r w:rsidRPr="005458F2">
        <w:t>¢</w:t>
      </w:r>
      <w:r w:rsidRPr="00E90393">
        <w:t>1.</w:t>
      </w:r>
      <w:r>
        <w:t xml:space="preserve">412.881.684.981,71 de los cuales, </w:t>
      </w:r>
      <w:r w:rsidRPr="00F5794D">
        <w:t>¢69.154.284.536,59</w:t>
      </w:r>
      <w:r w:rsidRPr="00AE420E">
        <w:t xml:space="preserve"> </w:t>
      </w:r>
      <w:r>
        <w:t>corresponden a la liquidación del segundo semestre del 2008.</w:t>
      </w:r>
    </w:p>
    <w:p w:rsidR="008720A8" w:rsidRPr="000A049A" w:rsidRDefault="008720A8" w:rsidP="008720A8">
      <w:pPr>
        <w:pStyle w:val="listaa"/>
        <w:numPr>
          <w:ilvl w:val="0"/>
          <w:numId w:val="0"/>
        </w:numPr>
        <w:spacing w:before="0" w:after="0"/>
        <w:ind w:left="1077"/>
      </w:pPr>
    </w:p>
    <w:p w:rsidR="003A79B0" w:rsidRPr="003A79B0" w:rsidRDefault="003A79B0" w:rsidP="003A79B0">
      <w:pPr>
        <w:pStyle w:val="listaa"/>
        <w:numPr>
          <w:ilvl w:val="1"/>
          <w:numId w:val="25"/>
        </w:numPr>
        <w:spacing w:before="0" w:after="0"/>
        <w:ind w:left="1434" w:hanging="357"/>
        <w:rPr>
          <w:color w:val="000080"/>
        </w:rPr>
      </w:pPr>
      <w:r w:rsidRPr="000A049A">
        <w:t xml:space="preserve">Déficit </w:t>
      </w:r>
      <w:r w:rsidR="00B85B98" w:rsidRPr="000A049A">
        <w:t xml:space="preserve">ó Superávit de </w:t>
      </w:r>
      <w:r w:rsidRPr="000A049A">
        <w:t>Operación: Es el monto que refleja el resultado negativo en</w:t>
      </w:r>
      <w:r>
        <w:t xml:space="preserve"> que los gastos superan a los ingresos donde dichos gastos e ingresos excluyen las partidas de los puntos </w:t>
      </w:r>
      <w:proofErr w:type="spellStart"/>
      <w:r w:rsidR="002049DA">
        <w:t>ii</w:t>
      </w:r>
      <w:proofErr w:type="spellEnd"/>
      <w:r w:rsidR="002049DA">
        <w:t xml:space="preserve"> y </w:t>
      </w:r>
      <w:proofErr w:type="spellStart"/>
      <w:r w:rsidR="002049DA">
        <w:t>iii</w:t>
      </w:r>
      <w:proofErr w:type="spellEnd"/>
      <w:r>
        <w:t xml:space="preserve"> de esta Nota, ò en caso contrario en donde </w:t>
      </w:r>
      <w:r w:rsidR="00AE3888">
        <w:t xml:space="preserve">los ingresos superan a los gastos </w:t>
      </w:r>
      <w:r>
        <w:t xml:space="preserve">se refleja </w:t>
      </w:r>
      <w:r w:rsidR="001D0160">
        <w:t>un</w:t>
      </w:r>
      <w:r>
        <w:t xml:space="preserve"> resultado positivo genera</w:t>
      </w:r>
      <w:r w:rsidR="00C14953">
        <w:t>ndo</w:t>
      </w:r>
      <w:r w:rsidR="002049DA">
        <w:t xml:space="preserve"> un Superávit </w:t>
      </w:r>
      <w:r w:rsidR="00B85B98">
        <w:t>de operación</w:t>
      </w:r>
      <w:r w:rsidR="002049DA">
        <w:t>.</w:t>
      </w:r>
    </w:p>
    <w:p w:rsidR="002B60AB" w:rsidRDefault="002B60AB" w:rsidP="00060306">
      <w:pPr>
        <w:pStyle w:val="Ttulo1"/>
        <w:spacing w:after="240"/>
        <w:jc w:val="both"/>
        <w:rPr>
          <w:rFonts w:ascii="Times New Roman" w:hAnsi="Times New Roman" w:cs="Times New Roman"/>
          <w:color w:val="000080"/>
          <w:sz w:val="24"/>
          <w:szCs w:val="24"/>
          <w:lang w:val="es-CR"/>
        </w:rPr>
      </w:pPr>
      <w:bookmarkStart w:id="54" w:name="_Toc185651788"/>
      <w:bookmarkStart w:id="55" w:name="_Toc190251795"/>
    </w:p>
    <w:p w:rsidR="00060306" w:rsidRPr="0019670A" w:rsidRDefault="00060306" w:rsidP="00060306">
      <w:pPr>
        <w:pStyle w:val="Ttulo1"/>
        <w:spacing w:after="240"/>
        <w:jc w:val="both"/>
        <w:rPr>
          <w:rFonts w:ascii="Times New Roman" w:hAnsi="Times New Roman" w:cs="Times New Roman"/>
          <w:color w:val="000080"/>
          <w:sz w:val="24"/>
          <w:szCs w:val="24"/>
          <w:lang w:val="es-CR"/>
        </w:rPr>
      </w:pPr>
      <w:bookmarkStart w:id="56" w:name="_Toc255802921"/>
      <w:r w:rsidRPr="0019670A">
        <w:rPr>
          <w:rFonts w:ascii="Times New Roman" w:hAnsi="Times New Roman" w:cs="Times New Roman"/>
          <w:color w:val="000080"/>
          <w:sz w:val="24"/>
          <w:szCs w:val="24"/>
          <w:lang w:val="es-CR"/>
        </w:rPr>
        <w:t xml:space="preserve">Nota </w:t>
      </w:r>
      <w:r>
        <w:rPr>
          <w:rFonts w:ascii="Times New Roman" w:hAnsi="Times New Roman" w:cs="Times New Roman"/>
          <w:color w:val="000080"/>
          <w:sz w:val="24"/>
          <w:szCs w:val="24"/>
          <w:lang w:val="es-CR"/>
        </w:rPr>
        <w:t>20</w:t>
      </w:r>
      <w:r w:rsidRPr="0019670A">
        <w:rPr>
          <w:rFonts w:ascii="Times New Roman" w:hAnsi="Times New Roman" w:cs="Times New Roman"/>
          <w:color w:val="000080"/>
          <w:sz w:val="24"/>
          <w:szCs w:val="24"/>
          <w:lang w:val="es-CR"/>
        </w:rPr>
        <w:t xml:space="preserve">:   </w:t>
      </w:r>
      <w:r>
        <w:rPr>
          <w:rFonts w:ascii="Times New Roman" w:hAnsi="Times New Roman" w:cs="Times New Roman"/>
          <w:color w:val="000080"/>
          <w:sz w:val="24"/>
          <w:szCs w:val="24"/>
          <w:lang w:val="es-CR"/>
        </w:rPr>
        <w:t>Cuentas de Resultado Acreedoras</w:t>
      </w:r>
      <w:bookmarkEnd w:id="54"/>
      <w:bookmarkEnd w:id="55"/>
      <w:bookmarkEnd w:id="56"/>
      <w:r w:rsidRPr="0019670A">
        <w:rPr>
          <w:rFonts w:ascii="Times New Roman" w:hAnsi="Times New Roman" w:cs="Times New Roman"/>
          <w:color w:val="000080"/>
          <w:sz w:val="24"/>
          <w:szCs w:val="24"/>
          <w:lang w:val="es-CR"/>
        </w:rPr>
        <w:t xml:space="preserve"> </w:t>
      </w:r>
    </w:p>
    <w:p w:rsidR="00060306" w:rsidRPr="009126E7" w:rsidRDefault="00060306" w:rsidP="00060306">
      <w:pPr>
        <w:jc w:val="both"/>
        <w:rPr>
          <w:lang w:val="es-CR"/>
        </w:rPr>
      </w:pPr>
      <w:r w:rsidRPr="009126E7">
        <w:rPr>
          <w:lang w:val="es-CR"/>
        </w:rPr>
        <w:t>El Banco Central de Costa Rica, clasifica bajo este concepto:</w:t>
      </w:r>
    </w:p>
    <w:p w:rsidR="00060306" w:rsidRPr="009126E7" w:rsidRDefault="00060306" w:rsidP="00060306">
      <w:pPr>
        <w:spacing w:before="240" w:after="240"/>
        <w:jc w:val="both"/>
        <w:rPr>
          <w:b/>
          <w:color w:val="000080"/>
          <w:lang w:val="es-CR"/>
        </w:rPr>
      </w:pPr>
      <w:r>
        <w:rPr>
          <w:b/>
          <w:color w:val="000080"/>
          <w:lang w:val="es-CR"/>
        </w:rPr>
        <w:tab/>
      </w:r>
      <w:r w:rsidRPr="009126E7">
        <w:rPr>
          <w:b/>
          <w:color w:val="000080"/>
          <w:lang w:val="es-CR"/>
        </w:rPr>
        <w:t xml:space="preserve">Ingresos </w:t>
      </w:r>
      <w:r>
        <w:rPr>
          <w:b/>
          <w:color w:val="000080"/>
          <w:lang w:val="es-CR"/>
        </w:rPr>
        <w:t>Corrientes</w:t>
      </w:r>
    </w:p>
    <w:p w:rsidR="00060306" w:rsidRPr="009126E7" w:rsidRDefault="00060306" w:rsidP="00244622">
      <w:pPr>
        <w:numPr>
          <w:ilvl w:val="0"/>
          <w:numId w:val="37"/>
        </w:numPr>
        <w:tabs>
          <w:tab w:val="clear" w:pos="1080"/>
          <w:tab w:val="num" w:pos="360"/>
        </w:tabs>
        <w:spacing w:before="240" w:after="240"/>
        <w:ind w:left="360"/>
        <w:jc w:val="both"/>
        <w:rPr>
          <w:lang w:val="es-CR"/>
        </w:rPr>
      </w:pPr>
      <w:r w:rsidRPr="009126E7">
        <w:rPr>
          <w:lang w:val="es-CR"/>
        </w:rPr>
        <w:t xml:space="preserve">Intereses y Comisiones Ganados </w:t>
      </w:r>
      <w:r>
        <w:rPr>
          <w:lang w:val="es-CR"/>
        </w:rPr>
        <w:t xml:space="preserve">de </w:t>
      </w:r>
      <w:r w:rsidRPr="009126E7">
        <w:rPr>
          <w:lang w:val="es-CR"/>
        </w:rPr>
        <w:t xml:space="preserve">Residentes en </w:t>
      </w:r>
      <w:r>
        <w:rPr>
          <w:lang w:val="es-CR"/>
        </w:rPr>
        <w:t>m</w:t>
      </w:r>
      <w:r w:rsidRPr="009126E7">
        <w:rPr>
          <w:lang w:val="es-CR"/>
        </w:rPr>
        <w:t xml:space="preserve">oneda </w:t>
      </w:r>
      <w:r>
        <w:rPr>
          <w:lang w:val="es-CR"/>
        </w:rPr>
        <w:t>n</w:t>
      </w:r>
      <w:r w:rsidRPr="009126E7">
        <w:rPr>
          <w:lang w:val="es-CR"/>
        </w:rPr>
        <w:t>acional: Producto de los Préstamos de Reestructuración Deuda Externa, Compensatorios y Redesc</w:t>
      </w:r>
      <w:r>
        <w:rPr>
          <w:lang w:val="es-CR"/>
        </w:rPr>
        <w:t>uentos</w:t>
      </w:r>
      <w:r w:rsidRPr="009126E7">
        <w:rPr>
          <w:lang w:val="es-CR"/>
        </w:rPr>
        <w:t xml:space="preserve">, Deuda Interna, Compra y Venta de </w:t>
      </w:r>
      <w:r>
        <w:rPr>
          <w:lang w:val="es-CR"/>
        </w:rPr>
        <w:t>m</w:t>
      </w:r>
      <w:r w:rsidRPr="009126E7">
        <w:rPr>
          <w:lang w:val="es-CR"/>
        </w:rPr>
        <w:t xml:space="preserve">oneda </w:t>
      </w:r>
      <w:r>
        <w:rPr>
          <w:lang w:val="es-CR"/>
        </w:rPr>
        <w:t>e</w:t>
      </w:r>
      <w:r w:rsidRPr="009126E7">
        <w:rPr>
          <w:lang w:val="es-CR"/>
        </w:rPr>
        <w:t>xtranjera y otros servicios bancarios.</w:t>
      </w:r>
    </w:p>
    <w:p w:rsidR="00060306" w:rsidRDefault="00060306" w:rsidP="00244622">
      <w:pPr>
        <w:numPr>
          <w:ilvl w:val="0"/>
          <w:numId w:val="37"/>
        </w:numPr>
        <w:tabs>
          <w:tab w:val="clear" w:pos="1080"/>
          <w:tab w:val="num" w:pos="360"/>
        </w:tabs>
        <w:spacing w:before="240" w:after="240"/>
        <w:ind w:left="360"/>
        <w:jc w:val="both"/>
        <w:rPr>
          <w:lang w:val="es-CR"/>
        </w:rPr>
      </w:pPr>
      <w:r w:rsidRPr="009126E7">
        <w:rPr>
          <w:lang w:val="es-CR"/>
        </w:rPr>
        <w:t>Intereses Ganados de</w:t>
      </w:r>
      <w:r>
        <w:rPr>
          <w:lang w:val="es-CR"/>
        </w:rPr>
        <w:t xml:space="preserve"> Residentes y</w:t>
      </w:r>
      <w:r w:rsidRPr="009126E7">
        <w:rPr>
          <w:lang w:val="es-CR"/>
        </w:rPr>
        <w:t xml:space="preserve"> No Residentes en </w:t>
      </w:r>
      <w:r>
        <w:rPr>
          <w:lang w:val="es-CR"/>
        </w:rPr>
        <w:t>moneda nacional con equivalencia en moneda extranjera y en m</w:t>
      </w:r>
      <w:r w:rsidRPr="009126E7">
        <w:rPr>
          <w:lang w:val="es-CR"/>
        </w:rPr>
        <w:t xml:space="preserve">oneda </w:t>
      </w:r>
      <w:r>
        <w:rPr>
          <w:lang w:val="es-CR"/>
        </w:rPr>
        <w:t>e</w:t>
      </w:r>
      <w:r w:rsidRPr="009126E7">
        <w:rPr>
          <w:lang w:val="es-CR"/>
        </w:rPr>
        <w:t xml:space="preserve">xtranjera: Sobre Depósitos en el exterior, </w:t>
      </w:r>
      <w:r>
        <w:rPr>
          <w:lang w:val="es-CR"/>
        </w:rPr>
        <w:t>C</w:t>
      </w:r>
      <w:r w:rsidRPr="009126E7">
        <w:rPr>
          <w:lang w:val="es-CR"/>
        </w:rPr>
        <w:t>o</w:t>
      </w:r>
      <w:r>
        <w:rPr>
          <w:lang w:val="es-CR"/>
        </w:rPr>
        <w:t>n</w:t>
      </w:r>
      <w:r w:rsidRPr="009126E7">
        <w:rPr>
          <w:lang w:val="es-CR"/>
        </w:rPr>
        <w:t xml:space="preserve">venios de Compensación, </w:t>
      </w:r>
      <w:r>
        <w:rPr>
          <w:lang w:val="es-CR"/>
        </w:rPr>
        <w:t>Inversiones en el Exterior</w:t>
      </w:r>
      <w:r w:rsidRPr="009126E7">
        <w:rPr>
          <w:lang w:val="es-CR"/>
        </w:rPr>
        <w:t>, Reestructuración Deuda Externa y sobre Títulos TUDES por la liquidación del Banco Anglo Costarricense.</w:t>
      </w:r>
      <w:r>
        <w:rPr>
          <w:lang w:val="es-CR"/>
        </w:rPr>
        <w:t xml:space="preserve"> Además de intereses por dividendos, sobre aportaciones en instituciones financieras internacionales.</w:t>
      </w:r>
    </w:p>
    <w:p w:rsidR="00060306" w:rsidRDefault="00060306" w:rsidP="00244622">
      <w:pPr>
        <w:numPr>
          <w:ilvl w:val="0"/>
          <w:numId w:val="37"/>
        </w:numPr>
        <w:tabs>
          <w:tab w:val="clear" w:pos="1080"/>
          <w:tab w:val="num" w:pos="360"/>
        </w:tabs>
        <w:spacing w:before="240" w:after="240"/>
        <w:ind w:left="360"/>
        <w:jc w:val="both"/>
        <w:rPr>
          <w:lang w:val="es-CR"/>
        </w:rPr>
      </w:pPr>
      <w:r>
        <w:rPr>
          <w:lang w:val="es-CR"/>
        </w:rPr>
        <w:t>Ingresos Varios en moneda nacional y extranjera: Sobre operaciones con organismos internacionales, bancos corresponsales e instituciones no financieras. Además, ingresos por los servicios prestados al sistema financiero por parte del</w:t>
      </w:r>
      <w:r w:rsidRPr="009126E7">
        <w:rPr>
          <w:lang w:val="es-CR"/>
        </w:rPr>
        <w:t xml:space="preserve"> SINPE</w:t>
      </w:r>
      <w:r>
        <w:rPr>
          <w:lang w:val="es-CR"/>
        </w:rPr>
        <w:t>, así como otros ingresos.</w:t>
      </w:r>
    </w:p>
    <w:p w:rsidR="00060306" w:rsidRDefault="00060306" w:rsidP="00244622">
      <w:pPr>
        <w:numPr>
          <w:ilvl w:val="0"/>
          <w:numId w:val="37"/>
        </w:numPr>
        <w:tabs>
          <w:tab w:val="clear" w:pos="1080"/>
          <w:tab w:val="num" w:pos="360"/>
        </w:tabs>
        <w:spacing w:before="240" w:after="240"/>
        <w:ind w:left="360"/>
        <w:jc w:val="both"/>
        <w:rPr>
          <w:lang w:val="es-CR"/>
        </w:rPr>
      </w:pPr>
      <w:r>
        <w:rPr>
          <w:lang w:val="es-CR"/>
        </w:rPr>
        <w:lastRenderedPageBreak/>
        <w:t>Ingresos por operaciones de compra y venta de moneda extranjera recibidos en moneda nacional: Contabiliza las ganancias del Banco por su participación en la compra y venta de divisas por medio del Mercado de Moneda Extranjera (MONEX), de conformidad con lo dispuesto en el artículo 87 de su Ley Orgánica y el Reglamento para las Operaciones Cambiarias.</w:t>
      </w:r>
    </w:p>
    <w:p w:rsidR="00060306" w:rsidRDefault="00060306" w:rsidP="00244622">
      <w:pPr>
        <w:numPr>
          <w:ilvl w:val="0"/>
          <w:numId w:val="37"/>
        </w:numPr>
        <w:tabs>
          <w:tab w:val="clear" w:pos="1080"/>
          <w:tab w:val="num" w:pos="360"/>
        </w:tabs>
        <w:spacing w:before="240" w:after="240"/>
        <w:ind w:left="360"/>
        <w:jc w:val="both"/>
        <w:rPr>
          <w:lang w:val="es-CR"/>
        </w:rPr>
      </w:pPr>
      <w:r w:rsidRPr="00A40100">
        <w:rPr>
          <w:lang w:val="es-CR"/>
        </w:rPr>
        <w:t>Superintendencia General de Entidades Financieras,</w:t>
      </w:r>
      <w:r w:rsidRPr="009126E7">
        <w:rPr>
          <w:lang w:val="es-CR"/>
        </w:rPr>
        <w:t xml:space="preserve"> Superintendencia General de Valores y Superintendencia de Pensiones</w:t>
      </w:r>
      <w:r w:rsidRPr="00A40100">
        <w:rPr>
          <w:lang w:val="es-CR"/>
        </w:rPr>
        <w:t>: I</w:t>
      </w:r>
      <w:r w:rsidRPr="009126E7">
        <w:rPr>
          <w:lang w:val="es-CR"/>
        </w:rPr>
        <w:t xml:space="preserve">ngresos corrientes por conceptos de multas, costos de intervención y de supervisión (artículo 74 de </w:t>
      </w:r>
      <w:smartTag w:uri="urn:schemas-microsoft-com:office:smarttags" w:element="PersonName">
        <w:smartTagPr>
          <w:attr w:name="ProductID" w:val="la Ley Reguladora"/>
        </w:smartTagPr>
        <w:r w:rsidRPr="009126E7">
          <w:rPr>
            <w:lang w:val="es-CR"/>
          </w:rPr>
          <w:t>la Ley Reguladora</w:t>
        </w:r>
      </w:smartTag>
      <w:r w:rsidRPr="009126E7">
        <w:rPr>
          <w:lang w:val="es-CR"/>
        </w:rPr>
        <w:t xml:space="preserve"> del Mercado de Valores número 7732 del 17-12-97 y el "Reglamento para regular  la participación de los sujetos fiscalizados del Banco Central de Costa Rica, en el financiamiento del presupuesto de las superintendencias") y otros, generados por la</w:t>
      </w:r>
      <w:r>
        <w:rPr>
          <w:lang w:val="es-CR"/>
        </w:rPr>
        <w:t>s superintendencias.</w:t>
      </w:r>
    </w:p>
    <w:p w:rsidR="00060306" w:rsidRDefault="00060306" w:rsidP="00060306">
      <w:pPr>
        <w:tabs>
          <w:tab w:val="num" w:pos="360"/>
        </w:tabs>
        <w:spacing w:before="240" w:after="240"/>
        <w:ind w:left="360" w:hanging="360"/>
        <w:jc w:val="both"/>
        <w:rPr>
          <w:b/>
          <w:color w:val="000080"/>
          <w:lang w:val="es-CR"/>
        </w:rPr>
      </w:pPr>
      <w:r>
        <w:rPr>
          <w:b/>
          <w:color w:val="000080"/>
          <w:lang w:val="es-CR"/>
        </w:rPr>
        <w:t>Variaciones Patrimoniales Compensatorias</w:t>
      </w:r>
    </w:p>
    <w:p w:rsidR="005441B8" w:rsidRPr="002B60AB" w:rsidRDefault="00060306" w:rsidP="002B60AB">
      <w:pPr>
        <w:pStyle w:val="Prrafodelista"/>
        <w:numPr>
          <w:ilvl w:val="0"/>
          <w:numId w:val="52"/>
        </w:numPr>
        <w:spacing w:before="240" w:after="240"/>
        <w:jc w:val="both"/>
        <w:rPr>
          <w:b/>
          <w:color w:val="000080"/>
          <w:lang w:val="es-CR"/>
        </w:rPr>
      </w:pPr>
      <w:r w:rsidRPr="002B60AB">
        <w:rPr>
          <w:lang w:val="es-CR"/>
        </w:rPr>
        <w:t>Cuenta Acreedora de Control de Presupuesto de Inversiones: Corresponde a las cuentas de contrapartida de las cuentas deudoras de control presupuestario de las inversiones realizadas por el BCCR y del Consejo Nacional de Supervisión del Sistema Financiero originadas por la adquisición de bienes de capital; las cuales no forman parte de la liquidación de ganancias y pérdidas y su contabilización es para efectos presupuestarios.</w:t>
      </w:r>
    </w:p>
    <w:p w:rsidR="000A049A" w:rsidRDefault="000A049A" w:rsidP="00060306">
      <w:pPr>
        <w:tabs>
          <w:tab w:val="num" w:pos="360"/>
        </w:tabs>
        <w:spacing w:before="240" w:after="240"/>
        <w:ind w:left="360" w:hanging="360"/>
        <w:jc w:val="both"/>
        <w:rPr>
          <w:b/>
          <w:color w:val="000080"/>
          <w:lang w:val="es-CR"/>
        </w:rPr>
      </w:pPr>
    </w:p>
    <w:p w:rsidR="00060306" w:rsidRDefault="00060306" w:rsidP="00060306">
      <w:pPr>
        <w:tabs>
          <w:tab w:val="num" w:pos="360"/>
        </w:tabs>
        <w:spacing w:before="240" w:after="240"/>
        <w:ind w:left="360" w:hanging="360"/>
        <w:jc w:val="both"/>
        <w:rPr>
          <w:b/>
          <w:color w:val="000080"/>
          <w:lang w:val="es-CR"/>
        </w:rPr>
      </w:pPr>
      <w:r>
        <w:rPr>
          <w:b/>
          <w:color w:val="000080"/>
          <w:lang w:val="es-CR"/>
        </w:rPr>
        <w:t>Incrementos Patrimoniales</w:t>
      </w:r>
    </w:p>
    <w:p w:rsidR="002B60AB" w:rsidRPr="000A049A" w:rsidRDefault="00462F58" w:rsidP="000A049A">
      <w:pPr>
        <w:pStyle w:val="Prrafodelista"/>
        <w:numPr>
          <w:ilvl w:val="0"/>
          <w:numId w:val="54"/>
        </w:numPr>
        <w:tabs>
          <w:tab w:val="clear" w:pos="360"/>
          <w:tab w:val="num" w:pos="426"/>
          <w:tab w:val="num" w:pos="1080"/>
        </w:tabs>
        <w:spacing w:before="240" w:after="240"/>
        <w:jc w:val="both"/>
        <w:rPr>
          <w:lang w:val="es-CR"/>
        </w:rPr>
      </w:pPr>
      <w:r w:rsidRPr="000A049A">
        <w:rPr>
          <w:lang w:val="es-CR"/>
        </w:rPr>
        <w:t>Descuentos obtenidos sobre inversiones en moneda extranjera: Producto de  inversiones en el exterior  en títulos  de Mercado de Dinero.</w:t>
      </w:r>
    </w:p>
    <w:p w:rsidR="005441B8" w:rsidRPr="000A049A" w:rsidRDefault="00060306" w:rsidP="000A049A">
      <w:pPr>
        <w:numPr>
          <w:ilvl w:val="0"/>
          <w:numId w:val="54"/>
        </w:numPr>
        <w:tabs>
          <w:tab w:val="clear" w:pos="360"/>
          <w:tab w:val="num" w:pos="426"/>
          <w:tab w:val="num" w:pos="1080"/>
        </w:tabs>
        <w:spacing w:before="240" w:after="240"/>
        <w:jc w:val="both"/>
        <w:rPr>
          <w:lang w:val="es-CR"/>
        </w:rPr>
      </w:pPr>
      <w:r w:rsidRPr="000A049A">
        <w:rPr>
          <w:lang w:val="es-CR"/>
        </w:rPr>
        <w:t>Utilidades Obtenidas en Venta de Activos: Ingresos por utilidades en la venta de activos, bienes muebles o inmuebles y las ganancias de capital derivadas de las inversiones en el exterior.</w:t>
      </w:r>
    </w:p>
    <w:p w:rsidR="000A049A" w:rsidRDefault="000A049A" w:rsidP="00060306">
      <w:pPr>
        <w:tabs>
          <w:tab w:val="num" w:pos="360"/>
        </w:tabs>
        <w:spacing w:before="240" w:after="240"/>
        <w:jc w:val="both"/>
        <w:rPr>
          <w:b/>
          <w:color w:val="000080"/>
          <w:lang w:val="es-CR"/>
        </w:rPr>
      </w:pPr>
    </w:p>
    <w:p w:rsidR="00060306" w:rsidRPr="009126E7" w:rsidRDefault="00060306" w:rsidP="00060306">
      <w:pPr>
        <w:tabs>
          <w:tab w:val="num" w:pos="360"/>
        </w:tabs>
        <w:spacing w:before="240" w:after="240"/>
        <w:jc w:val="both"/>
        <w:rPr>
          <w:b/>
          <w:color w:val="000080"/>
          <w:lang w:val="es-CR"/>
        </w:rPr>
      </w:pPr>
      <w:r w:rsidRPr="009126E7">
        <w:rPr>
          <w:b/>
          <w:color w:val="000080"/>
          <w:lang w:val="es-CR"/>
        </w:rPr>
        <w:t>Ingresos por Revaluaciones Monetarias</w:t>
      </w:r>
    </w:p>
    <w:p w:rsidR="00060306" w:rsidRDefault="00060306" w:rsidP="00244622">
      <w:pPr>
        <w:numPr>
          <w:ilvl w:val="0"/>
          <w:numId w:val="38"/>
        </w:numPr>
        <w:tabs>
          <w:tab w:val="num" w:pos="360"/>
        </w:tabs>
        <w:spacing w:before="240" w:after="240"/>
        <w:ind w:left="360"/>
        <w:jc w:val="both"/>
        <w:rPr>
          <w:lang w:val="es-CR"/>
        </w:rPr>
      </w:pPr>
      <w:r w:rsidRPr="00EA18E2">
        <w:rPr>
          <w:lang w:val="es-CR"/>
        </w:rPr>
        <w:t>Revaluaciones Monetarias sobre Intereses:</w:t>
      </w:r>
      <w:r w:rsidRPr="009126E7">
        <w:rPr>
          <w:lang w:val="es-CR"/>
        </w:rPr>
        <w:t xml:space="preserve"> Ingreso</w:t>
      </w:r>
      <w:r>
        <w:rPr>
          <w:lang w:val="es-CR"/>
        </w:rPr>
        <w:t>s</w:t>
      </w:r>
      <w:r w:rsidRPr="009126E7">
        <w:rPr>
          <w:lang w:val="es-CR"/>
        </w:rPr>
        <w:t xml:space="preserve"> por la modificación del valor externo de las monedas, sobre las cuentas de intereses</w:t>
      </w:r>
      <w:r>
        <w:rPr>
          <w:lang w:val="es-CR"/>
        </w:rPr>
        <w:t xml:space="preserve"> (rendimientos y/o cargas financieras), </w:t>
      </w:r>
      <w:r w:rsidRPr="009126E7">
        <w:rPr>
          <w:lang w:val="es-CR"/>
        </w:rPr>
        <w:t xml:space="preserve">de conformidad con lo dispuesto en el artículo 11 de </w:t>
      </w:r>
      <w:smartTag w:uri="urn:schemas-microsoft-com:office:smarttags" w:element="PersonName">
        <w:smartTagPr>
          <w:attr w:name="ProductID" w:val="la Ley Org￡nica"/>
        </w:smartTagPr>
        <w:r w:rsidRPr="009126E7">
          <w:rPr>
            <w:lang w:val="es-CR"/>
          </w:rPr>
          <w:t>la Ley Orgánica</w:t>
        </w:r>
      </w:smartTag>
      <w:r w:rsidRPr="009126E7">
        <w:rPr>
          <w:lang w:val="es-CR"/>
        </w:rPr>
        <w:t xml:space="preserve"> del Banco Central número 7558 del 27/11/95 y sus reformas.</w:t>
      </w:r>
    </w:p>
    <w:p w:rsidR="00060306" w:rsidRDefault="00060306" w:rsidP="00244622">
      <w:pPr>
        <w:numPr>
          <w:ilvl w:val="0"/>
          <w:numId w:val="38"/>
        </w:numPr>
        <w:tabs>
          <w:tab w:val="num" w:pos="360"/>
        </w:tabs>
        <w:spacing w:before="240" w:after="240"/>
        <w:ind w:left="360"/>
        <w:jc w:val="both"/>
        <w:rPr>
          <w:lang w:val="es-CR"/>
        </w:rPr>
      </w:pPr>
      <w:r w:rsidRPr="009126E7">
        <w:rPr>
          <w:lang w:val="es-CR"/>
        </w:rPr>
        <w:t>Revaluaciones Monetarias</w:t>
      </w:r>
      <w:r>
        <w:rPr>
          <w:lang w:val="es-CR"/>
        </w:rPr>
        <w:t xml:space="preserve"> sobre Principales</w:t>
      </w:r>
      <w:r w:rsidRPr="009126E7">
        <w:rPr>
          <w:lang w:val="es-CR"/>
        </w:rPr>
        <w:t xml:space="preserve">: Ingresos por la modificación del valor externo de las monedas, sobre las </w:t>
      </w:r>
      <w:r>
        <w:rPr>
          <w:lang w:val="es-CR"/>
        </w:rPr>
        <w:t xml:space="preserve">partidas diferentes de las </w:t>
      </w:r>
      <w:r w:rsidRPr="009126E7">
        <w:rPr>
          <w:lang w:val="es-CR"/>
        </w:rPr>
        <w:t xml:space="preserve">cuentas de </w:t>
      </w:r>
      <w:r>
        <w:rPr>
          <w:lang w:val="es-CR"/>
        </w:rPr>
        <w:t>intereses (rendimientos y/o cargas financieras)</w:t>
      </w:r>
      <w:r w:rsidRPr="009126E7">
        <w:rPr>
          <w:lang w:val="es-CR"/>
        </w:rPr>
        <w:t xml:space="preserve">, de conformidad con lo dispuesto en el artículo 11 de </w:t>
      </w:r>
      <w:smartTag w:uri="urn:schemas-microsoft-com:office:smarttags" w:element="PersonName">
        <w:smartTagPr>
          <w:attr w:name="ProductID" w:val="la Ley Org￡nica"/>
        </w:smartTagPr>
        <w:r w:rsidRPr="009126E7">
          <w:rPr>
            <w:lang w:val="es-CR"/>
          </w:rPr>
          <w:t>la Ley Orgánica</w:t>
        </w:r>
      </w:smartTag>
      <w:r w:rsidRPr="009126E7">
        <w:rPr>
          <w:lang w:val="es-CR"/>
        </w:rPr>
        <w:t xml:space="preserve"> del Banco Central número 7558 del 27/11/95 y sus reformas.</w:t>
      </w:r>
    </w:p>
    <w:p w:rsidR="000A049A" w:rsidRDefault="000A049A" w:rsidP="000A049A">
      <w:pPr>
        <w:spacing w:before="240" w:after="240"/>
        <w:jc w:val="both"/>
        <w:rPr>
          <w:lang w:val="es-CR"/>
        </w:rPr>
      </w:pPr>
    </w:p>
    <w:p w:rsidR="005441B8" w:rsidRDefault="00060306" w:rsidP="00060306">
      <w:pPr>
        <w:tabs>
          <w:tab w:val="num" w:pos="360"/>
        </w:tabs>
        <w:spacing w:before="240" w:after="240"/>
        <w:ind w:left="360" w:hanging="360"/>
        <w:jc w:val="both"/>
        <w:rPr>
          <w:lang w:val="es-CR"/>
        </w:rPr>
      </w:pPr>
      <w:r>
        <w:rPr>
          <w:lang w:val="es-CR"/>
        </w:rPr>
        <w:tab/>
        <w:t xml:space="preserve">Asimismo a partir del 25 de octubre del 2006, con la aplicación de la tasa de cambio de cierre contable a las transacciones de MONEX, las ganancias que se reflejen son consideradas revaluaciones monetarias, producto de los efectos de las variaciones en las tasas de cambio. </w:t>
      </w:r>
    </w:p>
    <w:p w:rsidR="000A049A" w:rsidRDefault="000A049A" w:rsidP="00060306">
      <w:pPr>
        <w:tabs>
          <w:tab w:val="num" w:pos="360"/>
        </w:tabs>
        <w:spacing w:before="240" w:after="240"/>
        <w:ind w:left="360" w:hanging="360"/>
        <w:jc w:val="both"/>
        <w:rPr>
          <w:b/>
          <w:color w:val="000080"/>
          <w:lang w:val="es-CR"/>
        </w:rPr>
      </w:pPr>
    </w:p>
    <w:p w:rsidR="00060306" w:rsidRPr="009126E7" w:rsidRDefault="00060306" w:rsidP="00060306">
      <w:pPr>
        <w:tabs>
          <w:tab w:val="num" w:pos="360"/>
        </w:tabs>
        <w:spacing w:before="240" w:after="240"/>
        <w:ind w:left="360" w:hanging="360"/>
        <w:jc w:val="both"/>
        <w:rPr>
          <w:b/>
          <w:color w:val="000080"/>
          <w:lang w:val="es-CR"/>
        </w:rPr>
      </w:pPr>
      <w:r>
        <w:rPr>
          <w:b/>
          <w:color w:val="000080"/>
          <w:lang w:val="es-CR"/>
        </w:rPr>
        <w:t>Otros Ingresos no presupuestarios</w:t>
      </w:r>
    </w:p>
    <w:p w:rsidR="00060306" w:rsidRDefault="00060306" w:rsidP="00244622">
      <w:pPr>
        <w:numPr>
          <w:ilvl w:val="0"/>
          <w:numId w:val="39"/>
        </w:numPr>
        <w:tabs>
          <w:tab w:val="num" w:pos="360"/>
        </w:tabs>
        <w:spacing w:before="240" w:after="240"/>
        <w:ind w:left="360"/>
        <w:jc w:val="both"/>
        <w:rPr>
          <w:lang w:val="es-CR"/>
        </w:rPr>
      </w:pPr>
      <w:r>
        <w:rPr>
          <w:lang w:val="es-CR"/>
        </w:rPr>
        <w:t>Ingresos en moneda nacional y moneda extranjera</w:t>
      </w:r>
      <w:r w:rsidRPr="009126E7">
        <w:rPr>
          <w:lang w:val="es-CR"/>
        </w:rPr>
        <w:t>: Productos o ingresos diversos que no son del giro normal de</w:t>
      </w:r>
      <w:r>
        <w:rPr>
          <w:lang w:val="es-CR"/>
        </w:rPr>
        <w:t>l</w:t>
      </w:r>
      <w:r w:rsidRPr="009126E7">
        <w:rPr>
          <w:lang w:val="es-CR"/>
        </w:rPr>
        <w:t xml:space="preserve"> Banco </w:t>
      </w:r>
      <w:r>
        <w:rPr>
          <w:lang w:val="es-CR"/>
        </w:rPr>
        <w:t>o reversiones de egresos que no implican ingreso de efectivo</w:t>
      </w:r>
      <w:r w:rsidRPr="009126E7">
        <w:rPr>
          <w:lang w:val="es-CR"/>
        </w:rPr>
        <w:t>.</w:t>
      </w:r>
      <w:r>
        <w:rPr>
          <w:lang w:val="es-CR"/>
        </w:rPr>
        <w:t xml:space="preserve"> </w:t>
      </w:r>
    </w:p>
    <w:p w:rsidR="00060306" w:rsidRDefault="00060306" w:rsidP="00B34AAB">
      <w:pPr>
        <w:pStyle w:val="listaa"/>
        <w:numPr>
          <w:ilvl w:val="0"/>
          <w:numId w:val="0"/>
        </w:numPr>
        <w:spacing w:before="0" w:after="0"/>
        <w:ind w:left="1077"/>
      </w:pPr>
    </w:p>
    <w:p w:rsidR="000A049A" w:rsidRDefault="000A049A" w:rsidP="00B34AAB">
      <w:pPr>
        <w:pStyle w:val="listaa"/>
        <w:numPr>
          <w:ilvl w:val="0"/>
          <w:numId w:val="0"/>
        </w:numPr>
        <w:spacing w:before="0" w:after="0"/>
        <w:ind w:left="1077"/>
      </w:pPr>
    </w:p>
    <w:p w:rsidR="000A049A" w:rsidRDefault="000A049A" w:rsidP="00B34AAB">
      <w:pPr>
        <w:pStyle w:val="listaa"/>
        <w:numPr>
          <w:ilvl w:val="0"/>
          <w:numId w:val="0"/>
        </w:numPr>
        <w:spacing w:before="0" w:after="0"/>
        <w:ind w:left="1077"/>
      </w:pPr>
    </w:p>
    <w:p w:rsidR="000A049A" w:rsidRDefault="000A049A" w:rsidP="00B34AAB">
      <w:pPr>
        <w:pStyle w:val="listaa"/>
        <w:numPr>
          <w:ilvl w:val="0"/>
          <w:numId w:val="0"/>
        </w:numPr>
        <w:spacing w:before="0" w:after="0"/>
        <w:ind w:left="1077"/>
      </w:pPr>
    </w:p>
    <w:p w:rsidR="000A049A" w:rsidRDefault="000A049A" w:rsidP="00B34AAB">
      <w:pPr>
        <w:pStyle w:val="listaa"/>
        <w:numPr>
          <w:ilvl w:val="0"/>
          <w:numId w:val="0"/>
        </w:numPr>
        <w:spacing w:before="0" w:after="0"/>
        <w:ind w:left="1077"/>
      </w:pPr>
    </w:p>
    <w:p w:rsidR="000A049A" w:rsidRDefault="000A049A" w:rsidP="00B34AAB">
      <w:pPr>
        <w:pStyle w:val="listaa"/>
        <w:numPr>
          <w:ilvl w:val="0"/>
          <w:numId w:val="0"/>
        </w:numPr>
        <w:spacing w:before="0" w:after="0"/>
        <w:ind w:left="1077"/>
      </w:pPr>
    </w:p>
    <w:p w:rsidR="000A049A" w:rsidRDefault="000A049A" w:rsidP="00B34AAB">
      <w:pPr>
        <w:pStyle w:val="listaa"/>
        <w:numPr>
          <w:ilvl w:val="0"/>
          <w:numId w:val="0"/>
        </w:numPr>
        <w:spacing w:before="0" w:after="0"/>
        <w:ind w:left="1077"/>
      </w:pPr>
    </w:p>
    <w:p w:rsidR="000A049A" w:rsidRDefault="000A049A" w:rsidP="00B34AAB">
      <w:pPr>
        <w:pStyle w:val="listaa"/>
        <w:numPr>
          <w:ilvl w:val="0"/>
          <w:numId w:val="0"/>
        </w:numPr>
        <w:spacing w:before="0" w:after="0"/>
        <w:ind w:left="1077"/>
      </w:pPr>
    </w:p>
    <w:p w:rsidR="000A049A" w:rsidRDefault="000A049A" w:rsidP="00B34AAB">
      <w:pPr>
        <w:pStyle w:val="listaa"/>
        <w:numPr>
          <w:ilvl w:val="0"/>
          <w:numId w:val="0"/>
        </w:numPr>
        <w:spacing w:before="0" w:after="0"/>
        <w:ind w:left="1077"/>
      </w:pPr>
    </w:p>
    <w:p w:rsidR="000A049A" w:rsidRDefault="000A049A" w:rsidP="00B34AAB">
      <w:pPr>
        <w:pStyle w:val="listaa"/>
        <w:numPr>
          <w:ilvl w:val="0"/>
          <w:numId w:val="0"/>
        </w:numPr>
        <w:spacing w:before="0" w:after="0"/>
        <w:ind w:left="1077"/>
      </w:pPr>
    </w:p>
    <w:p w:rsidR="000A049A" w:rsidRDefault="000A049A" w:rsidP="00B34AAB">
      <w:pPr>
        <w:pStyle w:val="listaa"/>
        <w:numPr>
          <w:ilvl w:val="0"/>
          <w:numId w:val="0"/>
        </w:numPr>
        <w:spacing w:before="0" w:after="0"/>
        <w:ind w:left="1077"/>
      </w:pPr>
    </w:p>
    <w:p w:rsidR="000A049A" w:rsidRDefault="000A049A" w:rsidP="00B34AAB">
      <w:pPr>
        <w:pStyle w:val="listaa"/>
        <w:numPr>
          <w:ilvl w:val="0"/>
          <w:numId w:val="0"/>
        </w:numPr>
        <w:spacing w:before="0" w:after="0"/>
        <w:ind w:left="1077"/>
      </w:pPr>
    </w:p>
    <w:p w:rsidR="000A049A" w:rsidRDefault="000A049A" w:rsidP="00B34AAB">
      <w:pPr>
        <w:pStyle w:val="listaa"/>
        <w:numPr>
          <w:ilvl w:val="0"/>
          <w:numId w:val="0"/>
        </w:numPr>
        <w:spacing w:before="0" w:after="0"/>
        <w:ind w:left="1077"/>
      </w:pPr>
    </w:p>
    <w:p w:rsidR="00350350" w:rsidRDefault="00350350" w:rsidP="00350350">
      <w:pPr>
        <w:rPr>
          <w:lang w:val="es-CR"/>
        </w:rPr>
      </w:pPr>
    </w:p>
    <w:p w:rsidR="00350350" w:rsidRDefault="00350350" w:rsidP="00350350">
      <w:pPr>
        <w:pStyle w:val="listaa"/>
        <w:numPr>
          <w:ilvl w:val="0"/>
          <w:numId w:val="0"/>
        </w:numPr>
        <w:ind w:left="180"/>
      </w:pPr>
      <w:bookmarkStart w:id="57" w:name="_Toc152497105"/>
      <w:bookmarkStart w:id="58" w:name="_Toc166922849"/>
    </w:p>
    <w:p w:rsidR="00F14CB3" w:rsidRDefault="00F14CB3" w:rsidP="00350350">
      <w:pPr>
        <w:pStyle w:val="listaa"/>
        <w:numPr>
          <w:ilvl w:val="0"/>
          <w:numId w:val="0"/>
        </w:numPr>
        <w:ind w:left="180"/>
      </w:pPr>
    </w:p>
    <w:p w:rsidR="00F14CB3" w:rsidRPr="00100F6D" w:rsidRDefault="00F14CB3" w:rsidP="00350350">
      <w:pPr>
        <w:pStyle w:val="listaa"/>
        <w:numPr>
          <w:ilvl w:val="0"/>
          <w:numId w:val="0"/>
        </w:numPr>
        <w:ind w:left="180"/>
      </w:pPr>
    </w:p>
    <w:bookmarkEnd w:id="57"/>
    <w:bookmarkEnd w:id="58"/>
    <w:p w:rsidR="00350350" w:rsidRDefault="00350350" w:rsidP="00350350">
      <w:pPr>
        <w:spacing w:before="240" w:after="240"/>
        <w:jc w:val="both"/>
        <w:rPr>
          <w:lang w:val="es-CR"/>
        </w:rPr>
      </w:pPr>
    </w:p>
    <w:p w:rsidR="00350350" w:rsidRDefault="00350350" w:rsidP="00350350">
      <w:pPr>
        <w:spacing w:before="240" w:after="240"/>
        <w:jc w:val="both"/>
        <w:rPr>
          <w:lang w:val="es-CR"/>
        </w:rPr>
      </w:pPr>
    </w:p>
    <w:p w:rsidR="00F14CB3" w:rsidRDefault="00082551" w:rsidP="00D60254">
      <w:pPr>
        <w:rPr>
          <w:lang w:val="es-CR"/>
        </w:rPr>
      </w:pPr>
      <w:r w:rsidRPr="00082551">
        <w:rPr>
          <w:noProof/>
          <w:lang w:val="es-CR"/>
        </w:rPr>
        <w:pict>
          <v:shape id="_x0000_s1038" type="#_x0000_t202" style="position:absolute;margin-left:63pt;margin-top:11.7pt;width:258pt;height:178.75pt;z-index:251667456" filled="f" stroked="f">
            <v:textbox style="mso-next-textbox:#_x0000_s1038">
              <w:txbxContent>
                <w:p w:rsidR="002B60AB" w:rsidRPr="002B09A6" w:rsidRDefault="002B60AB" w:rsidP="002B09A6"/>
              </w:txbxContent>
            </v:textbox>
          </v:shape>
        </w:pict>
      </w:r>
      <w:r>
        <w:rPr>
          <w:noProof/>
          <w:lang w:val="es-ES" w:eastAsia="es-ES"/>
        </w:rPr>
        <w:pict>
          <v:shape id="_x0000_s1037" type="#_x0000_t202" style="position:absolute;margin-left:93.75pt;margin-top:9pt;width:258pt;height:178.75pt;z-index:251660288" filled="f" stroked="f">
            <v:textbox style="mso-next-textbox:#_x0000_s1037">
              <w:txbxContent>
                <w:p w:rsidR="002B60AB" w:rsidRPr="001D68C7" w:rsidRDefault="002B60AB" w:rsidP="001D68C7"/>
              </w:txbxContent>
            </v:textbox>
          </v:shape>
        </w:pict>
      </w:r>
    </w:p>
    <w:p w:rsidR="00F14CB3" w:rsidRDefault="00F14CB3" w:rsidP="00C82E3B">
      <w:pPr>
        <w:jc w:val="both"/>
        <w:rPr>
          <w:lang w:val="es-CR"/>
        </w:rPr>
      </w:pPr>
    </w:p>
    <w:p w:rsidR="009B40BC" w:rsidRDefault="009B40BC" w:rsidP="00C82E3B">
      <w:pPr>
        <w:jc w:val="both"/>
        <w:rPr>
          <w:lang w:val="es-CR"/>
        </w:rPr>
      </w:pPr>
    </w:p>
    <w:p w:rsidR="009B40BC" w:rsidRDefault="009B40BC" w:rsidP="00C82E3B">
      <w:pPr>
        <w:jc w:val="both"/>
        <w:rPr>
          <w:lang w:val="es-CR"/>
        </w:rPr>
      </w:pPr>
    </w:p>
    <w:p w:rsidR="000A049A" w:rsidRDefault="000A049A" w:rsidP="00C82E3B">
      <w:pPr>
        <w:jc w:val="both"/>
        <w:rPr>
          <w:lang w:val="es-CR"/>
        </w:rPr>
      </w:pPr>
    </w:p>
    <w:p w:rsidR="000A049A" w:rsidRDefault="000A049A" w:rsidP="00C82E3B">
      <w:pPr>
        <w:jc w:val="both"/>
        <w:rPr>
          <w:lang w:val="es-CR"/>
        </w:rPr>
      </w:pPr>
    </w:p>
    <w:p w:rsidR="000A049A" w:rsidRDefault="000A049A" w:rsidP="00C82E3B">
      <w:pPr>
        <w:jc w:val="both"/>
        <w:rPr>
          <w:lang w:val="es-CR"/>
        </w:rPr>
      </w:pPr>
    </w:p>
    <w:p w:rsidR="009B40BC" w:rsidRDefault="009B40BC" w:rsidP="00C82E3B">
      <w:pPr>
        <w:jc w:val="both"/>
        <w:rPr>
          <w:lang w:val="es-CR"/>
        </w:rPr>
      </w:pPr>
    </w:p>
    <w:p w:rsidR="009B40BC" w:rsidRDefault="009B40BC" w:rsidP="00C82E3B">
      <w:pPr>
        <w:jc w:val="both"/>
        <w:rPr>
          <w:lang w:val="es-CR"/>
        </w:rPr>
      </w:pPr>
    </w:p>
    <w:p w:rsidR="009B40BC" w:rsidRDefault="009B40BC" w:rsidP="00C82E3B">
      <w:pPr>
        <w:jc w:val="both"/>
        <w:rPr>
          <w:lang w:val="es-CR"/>
        </w:rPr>
      </w:pPr>
    </w:p>
    <w:p w:rsidR="000A049A" w:rsidRDefault="000A049A" w:rsidP="00C82E3B">
      <w:pPr>
        <w:jc w:val="both"/>
        <w:rPr>
          <w:lang w:val="es-CR"/>
        </w:rPr>
      </w:pPr>
    </w:p>
    <w:p w:rsidR="000A049A" w:rsidRDefault="000A049A" w:rsidP="00C82E3B">
      <w:pPr>
        <w:jc w:val="both"/>
        <w:rPr>
          <w:lang w:val="es-CR"/>
        </w:rPr>
      </w:pPr>
    </w:p>
    <w:p w:rsidR="000A049A" w:rsidRDefault="000A049A" w:rsidP="00C82E3B">
      <w:pPr>
        <w:jc w:val="both"/>
        <w:rPr>
          <w:lang w:val="es-CR"/>
        </w:rPr>
      </w:pPr>
    </w:p>
    <w:p w:rsidR="000A049A" w:rsidRDefault="000A049A" w:rsidP="00C82E3B">
      <w:pPr>
        <w:jc w:val="both"/>
        <w:rPr>
          <w:lang w:val="es-CR"/>
        </w:rPr>
      </w:pPr>
    </w:p>
    <w:p w:rsidR="000A049A" w:rsidRDefault="000A049A" w:rsidP="00C82E3B">
      <w:pPr>
        <w:jc w:val="both"/>
        <w:rPr>
          <w:lang w:val="es-CR"/>
        </w:rPr>
      </w:pPr>
    </w:p>
    <w:p w:rsidR="009B40BC" w:rsidRDefault="009B40BC" w:rsidP="00C82E3B">
      <w:pPr>
        <w:jc w:val="both"/>
        <w:rPr>
          <w:lang w:val="es-CR"/>
        </w:rPr>
      </w:pPr>
    </w:p>
    <w:p w:rsidR="009B40BC" w:rsidRDefault="009B40BC" w:rsidP="00C82E3B">
      <w:pPr>
        <w:jc w:val="both"/>
        <w:rPr>
          <w:lang w:val="es-CR"/>
        </w:rPr>
      </w:pPr>
    </w:p>
    <w:p w:rsidR="00F14CB3" w:rsidRDefault="00F14CB3" w:rsidP="00C82E3B">
      <w:pPr>
        <w:jc w:val="both"/>
        <w:rPr>
          <w:lang w:val="es-CR"/>
        </w:rPr>
      </w:pPr>
    </w:p>
    <w:p w:rsidR="00F14CB3" w:rsidRDefault="00F14CB3" w:rsidP="00C82E3B">
      <w:pPr>
        <w:jc w:val="both"/>
        <w:rPr>
          <w:lang w:val="es-CR"/>
        </w:rPr>
      </w:pPr>
    </w:p>
    <w:p w:rsidR="00BC62B7" w:rsidRDefault="00082551" w:rsidP="00C82E3B">
      <w:pPr>
        <w:jc w:val="both"/>
        <w:rPr>
          <w:lang w:val="es-CR"/>
        </w:rPr>
      </w:pPr>
      <w:r>
        <w:rPr>
          <w:noProof/>
          <w:lang w:val="es-ES" w:eastAsia="es-ES"/>
        </w:rPr>
        <w:pict>
          <v:group id="_x0000_s1031" style="position:absolute;left:0;text-align:left;margin-left:63pt;margin-top:11.35pt;width:284.1pt;height:196.8pt;z-index:251655168" coordorigin="3771,1258" coordsize="5682,3936">
            <v:line id="_x0000_s1032" style="position:absolute" from="4311,4138" to="9453,4138" strokecolor="#339"/>
            <v:line id="_x0000_s1033" style="position:absolute" from="9351,1258" to="9351,5038" strokecolor="#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3771;top:1618;width:5160;height:3576">
              <v:imagedata r:id="rId20" o:title=""/>
            </v:shape>
            <w10:wrap type="square"/>
          </v:group>
        </w:pict>
      </w:r>
    </w:p>
    <w:p w:rsidR="00BC62B7" w:rsidRDefault="00BC62B7" w:rsidP="00C82E3B">
      <w:pPr>
        <w:jc w:val="both"/>
        <w:rPr>
          <w:lang w:val="es-CR"/>
        </w:rPr>
      </w:pPr>
    </w:p>
    <w:p w:rsidR="00BC62B7" w:rsidRDefault="00BC62B7" w:rsidP="00C82E3B">
      <w:pPr>
        <w:jc w:val="both"/>
        <w:rPr>
          <w:lang w:val="es-CR"/>
        </w:rPr>
      </w:pPr>
    </w:p>
    <w:p w:rsidR="00BC62B7" w:rsidRDefault="00BC62B7" w:rsidP="00C82E3B">
      <w:pPr>
        <w:jc w:val="both"/>
        <w:rPr>
          <w:lang w:val="es-CR"/>
        </w:rPr>
      </w:pPr>
    </w:p>
    <w:p w:rsidR="00BC62B7" w:rsidRDefault="00BC62B7" w:rsidP="00C82E3B">
      <w:pPr>
        <w:jc w:val="both"/>
        <w:rPr>
          <w:lang w:val="es-CR"/>
        </w:rPr>
      </w:pPr>
    </w:p>
    <w:p w:rsidR="00BC62B7" w:rsidRPr="0019670A" w:rsidRDefault="00BC62B7" w:rsidP="00C82E3B">
      <w:pPr>
        <w:jc w:val="both"/>
        <w:rPr>
          <w:lang w:val="es-CR"/>
        </w:rPr>
      </w:pPr>
    </w:p>
    <w:p w:rsidR="00BC62B7" w:rsidRDefault="00BC62B7" w:rsidP="00C82E3B">
      <w:pPr>
        <w:jc w:val="both"/>
        <w:rPr>
          <w:lang w:val="es-CR"/>
        </w:rPr>
      </w:pPr>
    </w:p>
    <w:p w:rsidR="00BC62B7" w:rsidRDefault="00BC62B7" w:rsidP="00C82E3B">
      <w:pPr>
        <w:jc w:val="both"/>
        <w:rPr>
          <w:lang w:val="es-CR"/>
        </w:rPr>
      </w:pPr>
    </w:p>
    <w:p w:rsidR="00BC62B7" w:rsidRDefault="00BC62B7" w:rsidP="00C82E3B">
      <w:pPr>
        <w:jc w:val="both"/>
        <w:rPr>
          <w:lang w:val="es-CR"/>
        </w:rPr>
      </w:pPr>
    </w:p>
    <w:p w:rsidR="00BC62B7" w:rsidRDefault="00BC62B7" w:rsidP="00C82E3B">
      <w:pPr>
        <w:jc w:val="both"/>
        <w:rPr>
          <w:lang w:val="es-CR"/>
        </w:rPr>
      </w:pPr>
    </w:p>
    <w:p w:rsidR="00BC62B7" w:rsidRDefault="00BC62B7" w:rsidP="00C82E3B">
      <w:pPr>
        <w:jc w:val="both"/>
        <w:rPr>
          <w:lang w:val="es-CR"/>
        </w:rPr>
      </w:pPr>
    </w:p>
    <w:p w:rsidR="00BC62B7" w:rsidRDefault="00BC62B7" w:rsidP="00C82E3B">
      <w:pPr>
        <w:jc w:val="both"/>
        <w:rPr>
          <w:lang w:val="es-CR"/>
        </w:rPr>
      </w:pPr>
    </w:p>
    <w:p w:rsidR="00BC62B7" w:rsidRDefault="00BC62B7" w:rsidP="00C82E3B">
      <w:pPr>
        <w:jc w:val="both"/>
        <w:rPr>
          <w:lang w:val="es-CR"/>
        </w:rPr>
      </w:pPr>
    </w:p>
    <w:p w:rsidR="00BC62B7" w:rsidRDefault="00BC62B7" w:rsidP="00C82E3B">
      <w:pPr>
        <w:jc w:val="both"/>
        <w:rPr>
          <w:lang w:val="es-CR"/>
        </w:rPr>
      </w:pPr>
    </w:p>
    <w:p w:rsidR="00BC62B7" w:rsidRDefault="00BC62B7" w:rsidP="00C82E3B">
      <w:pPr>
        <w:jc w:val="both"/>
        <w:rPr>
          <w:lang w:val="es-CR"/>
        </w:rPr>
      </w:pPr>
    </w:p>
    <w:p w:rsidR="00BC62B7" w:rsidRDefault="00BC62B7" w:rsidP="00C82E3B">
      <w:pPr>
        <w:jc w:val="both"/>
        <w:rPr>
          <w:lang w:val="es-CR"/>
        </w:rPr>
      </w:pPr>
    </w:p>
    <w:p w:rsidR="00BC62B7" w:rsidRDefault="00BC62B7" w:rsidP="00C82E3B">
      <w:pPr>
        <w:jc w:val="both"/>
        <w:rPr>
          <w:lang w:val="es-CR"/>
        </w:rPr>
      </w:pPr>
    </w:p>
    <w:p w:rsidR="00BC62B7" w:rsidRDefault="00BC62B7" w:rsidP="00C82E3B">
      <w:pPr>
        <w:jc w:val="both"/>
        <w:rPr>
          <w:lang w:val="es-CR"/>
        </w:rPr>
      </w:pPr>
    </w:p>
    <w:p w:rsidR="00BC62B7" w:rsidRDefault="00BC62B7" w:rsidP="00C82E3B">
      <w:pPr>
        <w:jc w:val="both"/>
        <w:rPr>
          <w:lang w:val="es-CR"/>
        </w:rPr>
      </w:pPr>
    </w:p>
    <w:p w:rsidR="00BC62B7" w:rsidRDefault="00BC62B7" w:rsidP="00C82E3B">
      <w:pPr>
        <w:jc w:val="both"/>
        <w:rPr>
          <w:lang w:val="es-CR"/>
        </w:rPr>
      </w:pPr>
    </w:p>
    <w:p w:rsidR="00BC62B7" w:rsidRDefault="00BC62B7" w:rsidP="00C82E3B">
      <w:pPr>
        <w:jc w:val="both"/>
        <w:rPr>
          <w:lang w:val="es-CR"/>
        </w:rPr>
      </w:pPr>
    </w:p>
    <w:p w:rsidR="00BC62B7" w:rsidRDefault="00BC62B7" w:rsidP="00C82E3B">
      <w:pPr>
        <w:jc w:val="both"/>
        <w:rPr>
          <w:lang w:val="es-CR"/>
        </w:rPr>
      </w:pPr>
    </w:p>
    <w:p w:rsidR="00BC62B7" w:rsidRDefault="00BC62B7" w:rsidP="00C82E3B">
      <w:pPr>
        <w:jc w:val="both"/>
        <w:rPr>
          <w:lang w:val="es-CR"/>
        </w:rPr>
      </w:pPr>
    </w:p>
    <w:p w:rsidR="00BC62B7" w:rsidRDefault="00BC62B7" w:rsidP="00C82E3B">
      <w:pPr>
        <w:jc w:val="both"/>
        <w:rPr>
          <w:lang w:val="es-CR"/>
        </w:rPr>
      </w:pPr>
    </w:p>
    <w:p w:rsidR="00BC62B7" w:rsidRDefault="00BC62B7" w:rsidP="00C82E3B">
      <w:pPr>
        <w:jc w:val="both"/>
        <w:rPr>
          <w:lang w:val="es-CR"/>
        </w:rPr>
      </w:pPr>
    </w:p>
    <w:p w:rsidR="00BC62B7" w:rsidRDefault="00BC62B7" w:rsidP="00C82E3B">
      <w:pPr>
        <w:jc w:val="both"/>
        <w:rPr>
          <w:lang w:val="es-CR"/>
        </w:rPr>
      </w:pPr>
    </w:p>
    <w:p w:rsidR="00BC62B7" w:rsidRDefault="00BC62B7" w:rsidP="00C82E3B">
      <w:pPr>
        <w:jc w:val="both"/>
        <w:rPr>
          <w:lang w:val="es-CR"/>
        </w:rPr>
      </w:pPr>
    </w:p>
    <w:p w:rsidR="00BC62B7" w:rsidRDefault="00BC62B7" w:rsidP="00C82E3B">
      <w:pPr>
        <w:jc w:val="both"/>
        <w:rPr>
          <w:lang w:val="es-CR"/>
        </w:rPr>
      </w:pPr>
    </w:p>
    <w:p w:rsidR="002B09A6" w:rsidRDefault="002B09A6">
      <w:pPr>
        <w:rPr>
          <w:b/>
          <w:bCs/>
          <w:color w:val="000080"/>
          <w:kern w:val="32"/>
          <w:sz w:val="28"/>
          <w:szCs w:val="28"/>
          <w:lang w:val="es-CR"/>
        </w:rPr>
      </w:pPr>
      <w:r>
        <w:rPr>
          <w:color w:val="000080"/>
          <w:sz w:val="28"/>
          <w:szCs w:val="28"/>
          <w:lang w:val="es-CR"/>
        </w:rPr>
        <w:br w:type="page"/>
      </w:r>
    </w:p>
    <w:p w:rsidR="00BC62B7" w:rsidRPr="0019670A" w:rsidRDefault="00BC62B7" w:rsidP="00C82E3B">
      <w:pPr>
        <w:pStyle w:val="Ttulo1"/>
        <w:jc w:val="both"/>
        <w:rPr>
          <w:rFonts w:ascii="Times New Roman" w:hAnsi="Times New Roman" w:cs="Times New Roman"/>
          <w:color w:val="000080"/>
          <w:sz w:val="28"/>
          <w:szCs w:val="28"/>
          <w:lang w:val="es-CR"/>
        </w:rPr>
      </w:pPr>
      <w:bookmarkStart w:id="59" w:name="_Toc255802922"/>
      <w:r w:rsidRPr="0019670A">
        <w:rPr>
          <w:rFonts w:ascii="Times New Roman" w:hAnsi="Times New Roman" w:cs="Times New Roman"/>
          <w:color w:val="000080"/>
          <w:sz w:val="28"/>
          <w:szCs w:val="28"/>
          <w:lang w:val="es-CR"/>
        </w:rPr>
        <w:lastRenderedPageBreak/>
        <w:t xml:space="preserve">NOTAS COMPLEMENTARIAS PARA LAS PARTIDAS PRESENTADAS EN </w:t>
      </w:r>
      <w:r>
        <w:rPr>
          <w:rFonts w:ascii="Times New Roman" w:hAnsi="Times New Roman" w:cs="Times New Roman"/>
          <w:color w:val="000080"/>
          <w:sz w:val="28"/>
          <w:szCs w:val="28"/>
          <w:lang w:val="es-CR"/>
        </w:rPr>
        <w:t>E</w:t>
      </w:r>
      <w:r w:rsidRPr="0019670A">
        <w:rPr>
          <w:rFonts w:ascii="Times New Roman" w:hAnsi="Times New Roman" w:cs="Times New Roman"/>
          <w:color w:val="000080"/>
          <w:sz w:val="28"/>
          <w:szCs w:val="28"/>
          <w:lang w:val="es-CR"/>
        </w:rPr>
        <w:t xml:space="preserve">L </w:t>
      </w:r>
      <w:r>
        <w:rPr>
          <w:rFonts w:ascii="Times New Roman" w:hAnsi="Times New Roman" w:cs="Times New Roman"/>
          <w:color w:val="000080"/>
          <w:sz w:val="28"/>
          <w:szCs w:val="28"/>
          <w:lang w:val="es-CR"/>
        </w:rPr>
        <w:t>ESTADO DE FLUJO DE EFECTIVO (</w:t>
      </w:r>
      <w:r w:rsidRPr="0019670A">
        <w:rPr>
          <w:rFonts w:ascii="Times New Roman" w:hAnsi="Times New Roman" w:cs="Times New Roman"/>
          <w:color w:val="000080"/>
          <w:sz w:val="28"/>
          <w:szCs w:val="28"/>
          <w:lang w:val="es-CR"/>
        </w:rPr>
        <w:t>NOTAS A LOS ESTADOS FINANCIEROS)</w:t>
      </w:r>
      <w:bookmarkEnd w:id="59"/>
    </w:p>
    <w:p w:rsidR="00BC62B7" w:rsidRDefault="00BC62B7" w:rsidP="00C82E3B">
      <w:pPr>
        <w:tabs>
          <w:tab w:val="left" w:pos="540"/>
        </w:tabs>
        <w:jc w:val="both"/>
        <w:rPr>
          <w:lang w:val="es-CR"/>
        </w:rPr>
      </w:pPr>
      <w:bookmarkStart w:id="60" w:name="_Toc114019663"/>
      <w:r w:rsidRPr="00192152">
        <w:rPr>
          <w:lang w:val="es-CR"/>
        </w:rPr>
        <w:t>El  Estado de Flujo de Efectivo presenta</w:t>
      </w:r>
      <w:r>
        <w:rPr>
          <w:lang w:val="es-CR"/>
        </w:rPr>
        <w:t xml:space="preserve"> </w:t>
      </w:r>
      <w:r w:rsidRPr="00192152">
        <w:rPr>
          <w:lang w:val="es-CR"/>
        </w:rPr>
        <w:t>las variaciones de la Base Monetaria</w:t>
      </w:r>
      <w:r w:rsidRPr="000F122A">
        <w:rPr>
          <w:lang w:val="es-CR"/>
        </w:rPr>
        <w:t xml:space="preserve"> </w:t>
      </w:r>
      <w:r>
        <w:rPr>
          <w:lang w:val="es-CR"/>
        </w:rPr>
        <w:t>para un determinado período</w:t>
      </w:r>
      <w:r w:rsidRPr="00192152">
        <w:rPr>
          <w:lang w:val="es-CR"/>
        </w:rPr>
        <w:t>,</w:t>
      </w:r>
      <w:r>
        <w:rPr>
          <w:lang w:val="es-CR"/>
        </w:rPr>
        <w:t xml:space="preserve"> explicadas por las entradas y  salidas de efectivo en moneda nacional y moneda extranjera, que se traducen en efectos expansivos y contractivos de la base monetaria, cuyos flujos se resumen en tres grandes grupos de operaciones efectivas:</w:t>
      </w:r>
    </w:p>
    <w:p w:rsidR="00BC62B7" w:rsidRDefault="00BC62B7" w:rsidP="00C82E3B">
      <w:pPr>
        <w:tabs>
          <w:tab w:val="left" w:pos="540"/>
        </w:tabs>
        <w:jc w:val="both"/>
        <w:rPr>
          <w:lang w:val="es-CR"/>
        </w:rPr>
      </w:pPr>
    </w:p>
    <w:p w:rsidR="00BC62B7" w:rsidRPr="00BB4B55" w:rsidRDefault="00BC62B7" w:rsidP="001C1F03">
      <w:pPr>
        <w:numPr>
          <w:ilvl w:val="0"/>
          <w:numId w:val="18"/>
        </w:numPr>
        <w:tabs>
          <w:tab w:val="clear" w:pos="720"/>
          <w:tab w:val="num" w:pos="-1080"/>
          <w:tab w:val="left" w:pos="540"/>
        </w:tabs>
        <w:ind w:left="0" w:firstLine="0"/>
        <w:jc w:val="both"/>
        <w:rPr>
          <w:bCs/>
          <w:color w:val="000080"/>
          <w:kern w:val="32"/>
          <w:lang w:val="es-CR"/>
        </w:rPr>
      </w:pPr>
      <w:r w:rsidRPr="00BB4B55">
        <w:rPr>
          <w:bCs/>
          <w:color w:val="000080"/>
          <w:kern w:val="32"/>
          <w:lang w:val="es-CR"/>
        </w:rPr>
        <w:t>Operaciones Activas Generadoras de Efectivo</w:t>
      </w:r>
    </w:p>
    <w:p w:rsidR="00BC62B7" w:rsidRPr="00BB4B55" w:rsidRDefault="00BC62B7" w:rsidP="001C1F03">
      <w:pPr>
        <w:numPr>
          <w:ilvl w:val="0"/>
          <w:numId w:val="18"/>
        </w:numPr>
        <w:tabs>
          <w:tab w:val="clear" w:pos="720"/>
          <w:tab w:val="num" w:pos="-1080"/>
          <w:tab w:val="left" w:pos="540"/>
        </w:tabs>
        <w:ind w:left="0" w:firstLine="0"/>
        <w:jc w:val="both"/>
        <w:rPr>
          <w:bCs/>
          <w:color w:val="000080"/>
          <w:kern w:val="32"/>
          <w:lang w:val="es-CR"/>
        </w:rPr>
      </w:pPr>
      <w:r w:rsidRPr="00BB4B55">
        <w:rPr>
          <w:bCs/>
          <w:color w:val="000080"/>
          <w:kern w:val="32"/>
          <w:lang w:val="es-CR"/>
        </w:rPr>
        <w:t>Operaciones Pasivas Generadoras de Efectivo</w:t>
      </w:r>
    </w:p>
    <w:p w:rsidR="00BC62B7" w:rsidRPr="00BB4B55" w:rsidRDefault="00BC62B7" w:rsidP="001C1F03">
      <w:pPr>
        <w:numPr>
          <w:ilvl w:val="0"/>
          <w:numId w:val="18"/>
        </w:numPr>
        <w:tabs>
          <w:tab w:val="clear" w:pos="720"/>
          <w:tab w:val="num" w:pos="-1080"/>
          <w:tab w:val="left" w:pos="540"/>
        </w:tabs>
        <w:ind w:left="0" w:firstLine="0"/>
        <w:jc w:val="both"/>
        <w:rPr>
          <w:bCs/>
          <w:color w:val="000080"/>
          <w:kern w:val="32"/>
          <w:lang w:val="es-CR"/>
        </w:rPr>
      </w:pPr>
      <w:r w:rsidRPr="00BB4B55">
        <w:rPr>
          <w:bCs/>
          <w:color w:val="000080"/>
          <w:kern w:val="32"/>
          <w:lang w:val="es-CR"/>
        </w:rPr>
        <w:t>Resultados de las Operaciones Efectivas</w:t>
      </w:r>
    </w:p>
    <w:p w:rsidR="00BC62B7" w:rsidRDefault="00BC62B7" w:rsidP="00C82E3B">
      <w:pPr>
        <w:pStyle w:val="Ttulo1"/>
        <w:tabs>
          <w:tab w:val="num" w:pos="-1080"/>
          <w:tab w:val="left" w:pos="540"/>
        </w:tabs>
        <w:jc w:val="both"/>
        <w:rPr>
          <w:rFonts w:ascii="Times New Roman" w:hAnsi="Times New Roman" w:cs="Times New Roman"/>
          <w:color w:val="000080"/>
          <w:sz w:val="24"/>
          <w:szCs w:val="24"/>
          <w:lang w:val="es-CR"/>
        </w:rPr>
      </w:pPr>
      <w:bookmarkStart w:id="61" w:name="_Toc125772505"/>
      <w:bookmarkStart w:id="62" w:name="_Toc255802923"/>
      <w:r>
        <w:rPr>
          <w:rFonts w:ascii="Times New Roman" w:hAnsi="Times New Roman" w:cs="Times New Roman"/>
          <w:color w:val="000080"/>
          <w:sz w:val="24"/>
          <w:szCs w:val="24"/>
          <w:lang w:val="es-CR"/>
        </w:rPr>
        <w:t xml:space="preserve">VARIACIÓN DE </w:t>
      </w:r>
      <w:smartTag w:uri="urn:schemas-microsoft-com:office:smarttags" w:element="PersonName">
        <w:smartTagPr>
          <w:attr w:name="ProductID" w:val="la Base Monetaria"/>
        </w:smartTagPr>
        <w:r>
          <w:rPr>
            <w:rFonts w:ascii="Times New Roman" w:hAnsi="Times New Roman" w:cs="Times New Roman"/>
            <w:color w:val="000080"/>
            <w:sz w:val="24"/>
            <w:szCs w:val="24"/>
            <w:lang w:val="es-CR"/>
          </w:rPr>
          <w:t>LA BASE MONETARIA</w:t>
        </w:r>
      </w:smartTag>
      <w:bookmarkEnd w:id="61"/>
      <w:bookmarkEnd w:id="62"/>
    </w:p>
    <w:p w:rsidR="00BC62B7" w:rsidRPr="00837D1A" w:rsidRDefault="00BC62B7" w:rsidP="00C82E3B">
      <w:pPr>
        <w:tabs>
          <w:tab w:val="num" w:pos="-1080"/>
          <w:tab w:val="left" w:pos="540"/>
        </w:tabs>
        <w:jc w:val="both"/>
        <w:rPr>
          <w:lang w:val="es-CR"/>
        </w:rPr>
      </w:pPr>
    </w:p>
    <w:p w:rsidR="00BC62B7" w:rsidRPr="00440616" w:rsidRDefault="009C33E0" w:rsidP="00C82E3B">
      <w:pPr>
        <w:tabs>
          <w:tab w:val="num" w:pos="-1080"/>
          <w:tab w:val="left" w:pos="540"/>
        </w:tabs>
        <w:jc w:val="both"/>
        <w:rPr>
          <w:lang w:val="es-CR"/>
        </w:rPr>
      </w:pPr>
      <w:r>
        <w:rPr>
          <w:lang w:val="es-CR"/>
        </w:rPr>
        <w:t>Está</w:t>
      </w:r>
      <w:r w:rsidR="00BC62B7" w:rsidRPr="00440616">
        <w:rPr>
          <w:lang w:val="es-CR"/>
        </w:rPr>
        <w:t xml:space="preserve"> conformada por los billetes y monedas en circulación y los depósitos en moneda nacional de los bancos en las cuentas de reserva en el Banco Central</w:t>
      </w:r>
      <w:r w:rsidR="00BC62B7">
        <w:rPr>
          <w:lang w:val="es-CR"/>
        </w:rPr>
        <w:t xml:space="preserve"> de Costa Rica</w:t>
      </w:r>
      <w:r w:rsidR="00BC62B7" w:rsidRPr="00440616">
        <w:rPr>
          <w:lang w:val="es-CR"/>
        </w:rPr>
        <w:t xml:space="preserve">.  </w:t>
      </w:r>
    </w:p>
    <w:p w:rsidR="00BC62B7" w:rsidRPr="004D66A0" w:rsidRDefault="00BC62B7" w:rsidP="00C82E3B">
      <w:pPr>
        <w:tabs>
          <w:tab w:val="num" w:pos="-1080"/>
          <w:tab w:val="left" w:pos="540"/>
        </w:tabs>
        <w:jc w:val="both"/>
        <w:rPr>
          <w:lang w:val="es-CR"/>
        </w:rPr>
      </w:pPr>
    </w:p>
    <w:p w:rsidR="00BC62B7" w:rsidRPr="002C1A0C" w:rsidRDefault="00BC62B7" w:rsidP="009B40BC">
      <w:pPr>
        <w:pStyle w:val="Ttulo1"/>
        <w:numPr>
          <w:ilvl w:val="1"/>
          <w:numId w:val="18"/>
        </w:numPr>
        <w:tabs>
          <w:tab w:val="clear" w:pos="1250"/>
          <w:tab w:val="num" w:pos="-1080"/>
          <w:tab w:val="num" w:pos="0"/>
          <w:tab w:val="left" w:pos="540"/>
        </w:tabs>
        <w:spacing w:before="0" w:after="0"/>
        <w:ind w:left="0" w:firstLine="0"/>
        <w:jc w:val="both"/>
        <w:rPr>
          <w:rFonts w:ascii="Times New Roman" w:hAnsi="Times New Roman" w:cs="Times New Roman"/>
          <w:color w:val="000080"/>
          <w:sz w:val="22"/>
          <w:szCs w:val="22"/>
          <w:lang w:val="es-CR"/>
        </w:rPr>
      </w:pPr>
      <w:bookmarkStart w:id="63" w:name="_Toc125772506"/>
      <w:r>
        <w:rPr>
          <w:rFonts w:ascii="Times New Roman" w:hAnsi="Times New Roman" w:cs="Times New Roman"/>
          <w:color w:val="000080"/>
          <w:sz w:val="22"/>
          <w:szCs w:val="22"/>
          <w:lang w:val="es-CR"/>
        </w:rPr>
        <w:t xml:space="preserve">  </w:t>
      </w:r>
      <w:r w:rsidR="008077AD">
        <w:rPr>
          <w:rFonts w:ascii="Times New Roman" w:hAnsi="Times New Roman" w:cs="Times New Roman"/>
          <w:color w:val="000080"/>
          <w:sz w:val="22"/>
          <w:szCs w:val="22"/>
          <w:lang w:val="es-CR"/>
        </w:rPr>
        <w:tab/>
      </w:r>
      <w:bookmarkStart w:id="64" w:name="_Toc255802924"/>
      <w:r w:rsidRPr="002C1A0C">
        <w:rPr>
          <w:rFonts w:ascii="Times New Roman" w:hAnsi="Times New Roman" w:cs="Times New Roman"/>
          <w:color w:val="000080"/>
          <w:sz w:val="22"/>
          <w:szCs w:val="22"/>
          <w:lang w:val="es-CR"/>
        </w:rPr>
        <w:t>OPERACIONES ACTIVAS GENERADORAS DE EFECTIVO:</w:t>
      </w:r>
      <w:bookmarkEnd w:id="63"/>
      <w:bookmarkEnd w:id="64"/>
    </w:p>
    <w:p w:rsidR="00BC62B7" w:rsidRPr="00BB4B55" w:rsidRDefault="00BC62B7" w:rsidP="00C82E3B">
      <w:pPr>
        <w:tabs>
          <w:tab w:val="num" w:pos="-1080"/>
          <w:tab w:val="left" w:pos="540"/>
        </w:tabs>
        <w:jc w:val="both"/>
        <w:rPr>
          <w:lang w:val="es-CR"/>
        </w:rPr>
      </w:pPr>
    </w:p>
    <w:p w:rsidR="00BC62B7" w:rsidRDefault="00BC62B7" w:rsidP="001C1F03">
      <w:pPr>
        <w:pStyle w:val="Ttulo1"/>
        <w:numPr>
          <w:ilvl w:val="2"/>
          <w:numId w:val="18"/>
        </w:numPr>
        <w:tabs>
          <w:tab w:val="num" w:pos="-1080"/>
          <w:tab w:val="left" w:pos="709"/>
        </w:tabs>
        <w:spacing w:before="0" w:after="0"/>
        <w:ind w:left="709" w:hanging="142"/>
        <w:jc w:val="both"/>
        <w:rPr>
          <w:rFonts w:ascii="Times New Roman" w:hAnsi="Times New Roman" w:cs="Times New Roman"/>
          <w:color w:val="000080"/>
          <w:sz w:val="24"/>
          <w:szCs w:val="24"/>
          <w:lang w:val="es-CR"/>
        </w:rPr>
      </w:pPr>
      <w:bookmarkStart w:id="65" w:name="_Toc125772507"/>
      <w:bookmarkStart w:id="66" w:name="_Toc255802925"/>
      <w:r>
        <w:rPr>
          <w:rFonts w:ascii="Times New Roman" w:hAnsi="Times New Roman" w:cs="Times New Roman"/>
          <w:color w:val="000080"/>
          <w:sz w:val="24"/>
          <w:szCs w:val="24"/>
          <w:lang w:val="es-CR"/>
        </w:rPr>
        <w:t>Operaciones con divisas (efecto neto)</w:t>
      </w:r>
      <w:bookmarkEnd w:id="65"/>
      <w:bookmarkEnd w:id="66"/>
      <w:r w:rsidRPr="0019670A">
        <w:rPr>
          <w:rFonts w:ascii="Times New Roman" w:hAnsi="Times New Roman" w:cs="Times New Roman"/>
          <w:color w:val="000080"/>
          <w:sz w:val="24"/>
          <w:szCs w:val="24"/>
          <w:lang w:val="es-CR"/>
        </w:rPr>
        <w:t xml:space="preserve"> </w:t>
      </w:r>
    </w:p>
    <w:p w:rsidR="00BC62B7" w:rsidRDefault="00BC62B7" w:rsidP="00C82E3B">
      <w:pPr>
        <w:pStyle w:val="listaa"/>
        <w:numPr>
          <w:ilvl w:val="0"/>
          <w:numId w:val="0"/>
        </w:numPr>
        <w:tabs>
          <w:tab w:val="num" w:pos="-1080"/>
          <w:tab w:val="left" w:pos="540"/>
        </w:tabs>
        <w:spacing w:before="0" w:after="0"/>
        <w:rPr>
          <w:color w:val="000000"/>
        </w:rPr>
      </w:pPr>
    </w:p>
    <w:p w:rsidR="00BC62B7" w:rsidRPr="004E22FC" w:rsidRDefault="00BC62B7" w:rsidP="009B40BC">
      <w:pPr>
        <w:pStyle w:val="listaa"/>
        <w:numPr>
          <w:ilvl w:val="0"/>
          <w:numId w:val="0"/>
        </w:numPr>
        <w:tabs>
          <w:tab w:val="num" w:pos="-1080"/>
          <w:tab w:val="left" w:pos="709"/>
        </w:tabs>
        <w:spacing w:before="0" w:after="0"/>
        <w:ind w:left="709"/>
        <w:rPr>
          <w:color w:val="000000"/>
        </w:rPr>
      </w:pPr>
      <w:r w:rsidRPr="004E22FC">
        <w:rPr>
          <w:color w:val="000000"/>
        </w:rPr>
        <w:t>Co</w:t>
      </w:r>
      <w:r>
        <w:rPr>
          <w:color w:val="000000"/>
        </w:rPr>
        <w:t>mprende el efecto neto de la variación de los flujos de las disponibilidades de divisas.</w:t>
      </w:r>
    </w:p>
    <w:p w:rsidR="00BC62B7" w:rsidRPr="000F122A" w:rsidRDefault="00BC62B7" w:rsidP="00C82E3B">
      <w:pPr>
        <w:tabs>
          <w:tab w:val="num" w:pos="-1080"/>
          <w:tab w:val="left" w:pos="540"/>
        </w:tabs>
        <w:jc w:val="both"/>
        <w:rPr>
          <w:lang w:val="es-CR"/>
        </w:rPr>
      </w:pPr>
    </w:p>
    <w:p w:rsidR="00BC62B7" w:rsidRDefault="00BC62B7" w:rsidP="001C1F03">
      <w:pPr>
        <w:pStyle w:val="Ttulo1"/>
        <w:numPr>
          <w:ilvl w:val="2"/>
          <w:numId w:val="18"/>
        </w:numPr>
        <w:tabs>
          <w:tab w:val="clear" w:pos="880"/>
          <w:tab w:val="num" w:pos="-1080"/>
          <w:tab w:val="left" w:pos="709"/>
        </w:tabs>
        <w:spacing w:before="0" w:after="0"/>
        <w:ind w:left="709" w:hanging="142"/>
        <w:jc w:val="both"/>
        <w:rPr>
          <w:rFonts w:ascii="Times New Roman" w:hAnsi="Times New Roman" w:cs="Times New Roman"/>
          <w:color w:val="000080"/>
          <w:sz w:val="24"/>
          <w:szCs w:val="24"/>
          <w:lang w:val="es-CR"/>
        </w:rPr>
      </w:pPr>
      <w:bookmarkStart w:id="67" w:name="_Toc125772508"/>
      <w:bookmarkStart w:id="68" w:name="_Toc255802926"/>
      <w:r w:rsidRPr="000F122A">
        <w:rPr>
          <w:rFonts w:ascii="Times New Roman" w:hAnsi="Times New Roman" w:cs="Times New Roman"/>
          <w:color w:val="000080"/>
          <w:sz w:val="24"/>
          <w:szCs w:val="24"/>
          <w:lang w:val="es-CR"/>
        </w:rPr>
        <w:t>Inversiones en Valores Nacionales (MIB)</w:t>
      </w:r>
      <w:bookmarkEnd w:id="67"/>
      <w:bookmarkEnd w:id="68"/>
    </w:p>
    <w:p w:rsidR="00BC62B7" w:rsidRPr="000F122A" w:rsidRDefault="00BC62B7" w:rsidP="00586293">
      <w:pPr>
        <w:tabs>
          <w:tab w:val="num" w:pos="-1080"/>
          <w:tab w:val="left" w:pos="540"/>
        </w:tabs>
        <w:ind w:left="284"/>
        <w:jc w:val="both"/>
        <w:rPr>
          <w:lang w:val="es-CR"/>
        </w:rPr>
      </w:pPr>
    </w:p>
    <w:p w:rsidR="00BC62B7" w:rsidRDefault="00BC62B7" w:rsidP="009B40BC">
      <w:pPr>
        <w:pStyle w:val="listaa"/>
        <w:numPr>
          <w:ilvl w:val="0"/>
          <w:numId w:val="0"/>
        </w:numPr>
        <w:tabs>
          <w:tab w:val="num" w:pos="-1080"/>
          <w:tab w:val="left" w:pos="540"/>
        </w:tabs>
        <w:spacing w:before="0" w:after="0"/>
        <w:ind w:left="709"/>
        <w:rPr>
          <w:color w:val="000000"/>
        </w:rPr>
      </w:pPr>
      <w:r w:rsidRPr="004E22FC">
        <w:rPr>
          <w:color w:val="000000"/>
        </w:rPr>
        <w:t>Co</w:t>
      </w:r>
      <w:r>
        <w:rPr>
          <w:color w:val="000000"/>
        </w:rPr>
        <w:t>mprende la liquidación de las inversiones recibidas como pagos por la liquidación del Banco Anglo (TUDES) y los flujos originados por las operaciones de préstamos concedidos por el Banco al Sistema Bancario Nacional para solventar problemas de liquidez.</w:t>
      </w:r>
    </w:p>
    <w:p w:rsidR="00BC62B7" w:rsidRDefault="00BC62B7" w:rsidP="00586293">
      <w:pPr>
        <w:pStyle w:val="listaa"/>
        <w:numPr>
          <w:ilvl w:val="0"/>
          <w:numId w:val="0"/>
        </w:numPr>
        <w:tabs>
          <w:tab w:val="num" w:pos="-1080"/>
          <w:tab w:val="left" w:pos="540"/>
        </w:tabs>
        <w:spacing w:before="0" w:after="0"/>
        <w:ind w:left="284"/>
        <w:rPr>
          <w:color w:val="000000"/>
        </w:rPr>
      </w:pPr>
    </w:p>
    <w:p w:rsidR="00BC62B7" w:rsidRPr="0019670A" w:rsidRDefault="00BC62B7" w:rsidP="001C1F03">
      <w:pPr>
        <w:pStyle w:val="Ttulo1"/>
        <w:numPr>
          <w:ilvl w:val="2"/>
          <w:numId w:val="18"/>
        </w:numPr>
        <w:tabs>
          <w:tab w:val="clear" w:pos="880"/>
          <w:tab w:val="num" w:pos="-1080"/>
          <w:tab w:val="left" w:pos="709"/>
        </w:tabs>
        <w:spacing w:before="0" w:after="0"/>
        <w:ind w:left="709" w:hanging="142"/>
        <w:jc w:val="both"/>
        <w:rPr>
          <w:rFonts w:ascii="Times New Roman" w:hAnsi="Times New Roman" w:cs="Times New Roman"/>
          <w:color w:val="000080"/>
          <w:sz w:val="24"/>
          <w:szCs w:val="24"/>
          <w:lang w:val="es-CR"/>
        </w:rPr>
      </w:pPr>
      <w:bookmarkStart w:id="69" w:name="_Toc125772509"/>
      <w:bookmarkStart w:id="70" w:name="_Toc255802927"/>
      <w:r>
        <w:rPr>
          <w:rFonts w:ascii="Times New Roman" w:hAnsi="Times New Roman" w:cs="Times New Roman"/>
          <w:color w:val="000080"/>
          <w:sz w:val="24"/>
          <w:szCs w:val="24"/>
          <w:lang w:val="es-CR"/>
        </w:rPr>
        <w:t>Crédito Interno a Banca Estatal e Instituciones Públicas</w:t>
      </w:r>
      <w:bookmarkEnd w:id="69"/>
      <w:bookmarkEnd w:id="70"/>
    </w:p>
    <w:p w:rsidR="00BC62B7" w:rsidRDefault="00BC62B7" w:rsidP="00586293">
      <w:pPr>
        <w:pStyle w:val="listaa"/>
        <w:numPr>
          <w:ilvl w:val="0"/>
          <w:numId w:val="0"/>
        </w:numPr>
        <w:tabs>
          <w:tab w:val="num" w:pos="-1080"/>
          <w:tab w:val="left" w:pos="540"/>
        </w:tabs>
        <w:spacing w:before="0" w:after="0"/>
        <w:ind w:left="284"/>
        <w:rPr>
          <w:color w:val="000000"/>
        </w:rPr>
      </w:pPr>
    </w:p>
    <w:p w:rsidR="00084F05" w:rsidRDefault="00BC62B7" w:rsidP="009B40BC">
      <w:pPr>
        <w:pStyle w:val="listaa"/>
        <w:numPr>
          <w:ilvl w:val="0"/>
          <w:numId w:val="0"/>
        </w:numPr>
        <w:tabs>
          <w:tab w:val="num" w:pos="-1080"/>
          <w:tab w:val="left" w:pos="540"/>
        </w:tabs>
        <w:spacing w:before="0" w:after="0"/>
        <w:ind w:left="709"/>
        <w:rPr>
          <w:color w:val="000000"/>
        </w:rPr>
      </w:pPr>
      <w:r w:rsidRPr="00304300">
        <w:rPr>
          <w:color w:val="000000"/>
        </w:rPr>
        <w:t>Comprende la recuperación de los créditos otorgados a residentes sobre préstamos a mediano y largo plazo con recursos internos y externos, en moneda nacional y por reestructuración de deuda externa en moneda nacional con equivalencia en moneda extranjera</w:t>
      </w:r>
      <w:r w:rsidR="00084F05">
        <w:rPr>
          <w:color w:val="000000"/>
        </w:rPr>
        <w:t>.</w:t>
      </w:r>
    </w:p>
    <w:p w:rsidR="00BC62B7" w:rsidRDefault="00BC62B7" w:rsidP="00586293">
      <w:pPr>
        <w:pStyle w:val="listaa"/>
        <w:numPr>
          <w:ilvl w:val="0"/>
          <w:numId w:val="0"/>
        </w:numPr>
        <w:tabs>
          <w:tab w:val="num" w:pos="-1080"/>
          <w:tab w:val="left" w:pos="540"/>
        </w:tabs>
        <w:spacing w:before="0" w:after="0"/>
        <w:ind w:left="284"/>
        <w:rPr>
          <w:color w:val="000000"/>
        </w:rPr>
      </w:pPr>
    </w:p>
    <w:p w:rsidR="00BC62B7" w:rsidRPr="00304300" w:rsidRDefault="00BC62B7" w:rsidP="00586293">
      <w:pPr>
        <w:pStyle w:val="listaa"/>
        <w:numPr>
          <w:ilvl w:val="0"/>
          <w:numId w:val="0"/>
        </w:numPr>
        <w:tabs>
          <w:tab w:val="num" w:pos="-1080"/>
          <w:tab w:val="left" w:pos="540"/>
        </w:tabs>
        <w:spacing w:before="0" w:after="0"/>
        <w:ind w:left="284"/>
        <w:rPr>
          <w:color w:val="000000"/>
        </w:rPr>
      </w:pPr>
    </w:p>
    <w:p w:rsidR="00084F05" w:rsidRDefault="00084F05" w:rsidP="001C1F03">
      <w:pPr>
        <w:pStyle w:val="Ttulo1"/>
        <w:numPr>
          <w:ilvl w:val="2"/>
          <w:numId w:val="18"/>
        </w:numPr>
        <w:tabs>
          <w:tab w:val="clear" w:pos="880"/>
          <w:tab w:val="num" w:pos="-1080"/>
        </w:tabs>
        <w:spacing w:before="0" w:after="0"/>
        <w:ind w:left="709" w:hanging="142"/>
        <w:jc w:val="both"/>
        <w:rPr>
          <w:rFonts w:ascii="Times New Roman" w:hAnsi="Times New Roman" w:cs="Times New Roman"/>
          <w:color w:val="000080"/>
          <w:sz w:val="24"/>
          <w:szCs w:val="24"/>
          <w:lang w:val="es-CR"/>
        </w:rPr>
      </w:pPr>
      <w:bookmarkStart w:id="71" w:name="_Toc125772510"/>
      <w:bookmarkStart w:id="72" w:name="_Toc255802928"/>
      <w:r>
        <w:rPr>
          <w:rFonts w:ascii="Times New Roman" w:hAnsi="Times New Roman" w:cs="Times New Roman"/>
          <w:color w:val="000080"/>
          <w:sz w:val="24"/>
          <w:szCs w:val="24"/>
          <w:lang w:val="es-CR"/>
        </w:rPr>
        <w:t>Otras Partidas del Activo</w:t>
      </w:r>
      <w:bookmarkEnd w:id="72"/>
    </w:p>
    <w:p w:rsidR="00084F05" w:rsidRDefault="00084F05" w:rsidP="00084F05">
      <w:pPr>
        <w:ind w:left="284"/>
        <w:rPr>
          <w:color w:val="000000"/>
          <w:lang w:val="es-CR"/>
        </w:rPr>
      </w:pPr>
    </w:p>
    <w:p w:rsidR="00CD6486" w:rsidRPr="00084F05" w:rsidRDefault="00084F05" w:rsidP="009B40BC">
      <w:pPr>
        <w:ind w:left="709"/>
        <w:jc w:val="both"/>
        <w:rPr>
          <w:color w:val="000000"/>
          <w:lang w:val="es-CR"/>
        </w:rPr>
      </w:pPr>
      <w:r>
        <w:rPr>
          <w:color w:val="000000"/>
          <w:lang w:val="es-CR"/>
        </w:rPr>
        <w:t xml:space="preserve">Comprende </w:t>
      </w:r>
      <w:r w:rsidR="009B40BC" w:rsidRPr="00CD6486">
        <w:rPr>
          <w:color w:val="000000"/>
          <w:lang w:val="es-ES"/>
        </w:rPr>
        <w:t>la Administración de Emisión y acuñación de numerario</w:t>
      </w:r>
      <w:r w:rsidR="009B40BC">
        <w:rPr>
          <w:color w:val="000000"/>
          <w:lang w:val="es-ES"/>
        </w:rPr>
        <w:t xml:space="preserve"> (</w:t>
      </w:r>
      <w:r w:rsidR="00CD6486">
        <w:rPr>
          <w:color w:val="000000"/>
          <w:lang w:val="es-ES"/>
        </w:rPr>
        <w:t>costo del billete y moneda cuando se efectúa el pago al proveedor y se amortiza conforme el numerar</w:t>
      </w:r>
      <w:r w:rsidR="009B40BC">
        <w:rPr>
          <w:color w:val="000000"/>
          <w:lang w:val="es-ES"/>
        </w:rPr>
        <w:t>io nuevo se pone en circulación).</w:t>
      </w:r>
    </w:p>
    <w:p w:rsidR="00BC62B7" w:rsidRDefault="00BC62B7" w:rsidP="00227159">
      <w:pPr>
        <w:pStyle w:val="Ttulo1"/>
        <w:numPr>
          <w:ilvl w:val="0"/>
          <w:numId w:val="47"/>
        </w:numPr>
        <w:spacing w:before="0" w:after="0"/>
        <w:ind w:left="709" w:hanging="283"/>
        <w:jc w:val="both"/>
        <w:rPr>
          <w:rFonts w:ascii="Times New Roman" w:hAnsi="Times New Roman" w:cs="Times New Roman"/>
          <w:color w:val="000080"/>
          <w:sz w:val="24"/>
          <w:szCs w:val="24"/>
          <w:lang w:val="es-CR"/>
        </w:rPr>
      </w:pPr>
      <w:bookmarkStart w:id="73" w:name="_Toc255802929"/>
      <w:r>
        <w:rPr>
          <w:rFonts w:ascii="Times New Roman" w:hAnsi="Times New Roman" w:cs="Times New Roman"/>
          <w:color w:val="000080"/>
          <w:sz w:val="24"/>
          <w:szCs w:val="24"/>
          <w:lang w:val="es-CR"/>
        </w:rPr>
        <w:lastRenderedPageBreak/>
        <w:t>Aportes a Organismos Internacionales</w:t>
      </w:r>
      <w:bookmarkEnd w:id="71"/>
      <w:bookmarkEnd w:id="73"/>
    </w:p>
    <w:p w:rsidR="00BC62B7" w:rsidRDefault="00BC62B7" w:rsidP="009B40BC">
      <w:pPr>
        <w:tabs>
          <w:tab w:val="num" w:pos="-1080"/>
          <w:tab w:val="left" w:pos="540"/>
        </w:tabs>
        <w:ind w:left="284" w:hanging="283"/>
        <w:jc w:val="both"/>
        <w:rPr>
          <w:lang w:val="es-CR"/>
        </w:rPr>
      </w:pPr>
    </w:p>
    <w:p w:rsidR="00BC62B7" w:rsidRDefault="00BC62B7" w:rsidP="009B40BC">
      <w:pPr>
        <w:pStyle w:val="listaa"/>
        <w:numPr>
          <w:ilvl w:val="0"/>
          <w:numId w:val="0"/>
        </w:numPr>
        <w:tabs>
          <w:tab w:val="num" w:pos="-1080"/>
        </w:tabs>
        <w:spacing w:before="0" w:after="0"/>
        <w:ind w:left="709"/>
      </w:pPr>
      <w:r w:rsidRPr="00673DE2">
        <w:t>Comprende l</w:t>
      </w:r>
      <w:r>
        <w:t>a</w:t>
      </w:r>
      <w:r w:rsidRPr="00673DE2">
        <w:t xml:space="preserve">s </w:t>
      </w:r>
      <w:r>
        <w:t>salidas de efectivo en moneda extranjera, originadas por los a</w:t>
      </w:r>
      <w:r w:rsidRPr="00673DE2">
        <w:t xml:space="preserve">portes </w:t>
      </w:r>
      <w:r>
        <w:t xml:space="preserve">realizados </w:t>
      </w:r>
      <w:r w:rsidRPr="00673DE2">
        <w:t>a Organismos Financieros Internacionales</w:t>
      </w:r>
      <w:r>
        <w:t>, como el</w:t>
      </w:r>
      <w:r w:rsidRPr="00673DE2">
        <w:t xml:space="preserve"> FMI, FOCEM, BIRF, BID, BCIE, BLADEX, AIF</w:t>
      </w:r>
      <w:r>
        <w:t>, CAF</w:t>
      </w:r>
      <w:r w:rsidRPr="00673DE2">
        <w:t xml:space="preserve"> y FLAR</w:t>
      </w:r>
      <w:r>
        <w:t>.</w:t>
      </w:r>
    </w:p>
    <w:p w:rsidR="00BC62B7" w:rsidRDefault="00BC62B7" w:rsidP="009B40BC">
      <w:pPr>
        <w:pStyle w:val="listaa"/>
        <w:numPr>
          <w:ilvl w:val="0"/>
          <w:numId w:val="0"/>
        </w:numPr>
        <w:tabs>
          <w:tab w:val="num" w:pos="-1080"/>
          <w:tab w:val="left" w:pos="540"/>
        </w:tabs>
        <w:spacing w:before="0" w:after="0"/>
        <w:ind w:left="709"/>
      </w:pPr>
    </w:p>
    <w:p w:rsidR="00BC62B7" w:rsidRDefault="00BC62B7" w:rsidP="001C1F03">
      <w:pPr>
        <w:pStyle w:val="Ttulo1"/>
        <w:numPr>
          <w:ilvl w:val="1"/>
          <w:numId w:val="18"/>
        </w:numPr>
        <w:tabs>
          <w:tab w:val="clear" w:pos="1250"/>
          <w:tab w:val="num" w:pos="-1080"/>
          <w:tab w:val="num" w:pos="0"/>
          <w:tab w:val="left" w:pos="540"/>
        </w:tabs>
        <w:spacing w:before="0" w:after="0"/>
        <w:ind w:left="284" w:firstLine="0"/>
        <w:jc w:val="both"/>
        <w:rPr>
          <w:rFonts w:ascii="Times New Roman" w:hAnsi="Times New Roman" w:cs="Times New Roman"/>
          <w:color w:val="000080"/>
          <w:sz w:val="22"/>
          <w:szCs w:val="22"/>
          <w:lang w:val="es-CR"/>
        </w:rPr>
      </w:pPr>
      <w:bookmarkStart w:id="74" w:name="_Toc125772512"/>
      <w:r>
        <w:rPr>
          <w:rFonts w:ascii="Times New Roman" w:hAnsi="Times New Roman" w:cs="Times New Roman"/>
          <w:color w:val="000080"/>
          <w:sz w:val="22"/>
          <w:szCs w:val="22"/>
          <w:lang w:val="es-CR"/>
        </w:rPr>
        <w:t xml:space="preserve">  </w:t>
      </w:r>
      <w:bookmarkStart w:id="75" w:name="_Toc255802930"/>
      <w:r w:rsidRPr="00E75668">
        <w:rPr>
          <w:rFonts w:ascii="Times New Roman" w:hAnsi="Times New Roman" w:cs="Times New Roman"/>
          <w:color w:val="000080"/>
          <w:sz w:val="22"/>
          <w:szCs w:val="22"/>
          <w:lang w:val="es-CR"/>
        </w:rPr>
        <w:t>OPERACIONES PASIVAS GENERADORAS DE EFECTIVO:</w:t>
      </w:r>
      <w:bookmarkEnd w:id="74"/>
      <w:bookmarkEnd w:id="75"/>
    </w:p>
    <w:p w:rsidR="00BC62B7" w:rsidRPr="000D2EAB" w:rsidRDefault="00BC62B7" w:rsidP="00586293">
      <w:pPr>
        <w:tabs>
          <w:tab w:val="num" w:pos="-1080"/>
          <w:tab w:val="left" w:pos="540"/>
        </w:tabs>
        <w:ind w:left="284"/>
        <w:jc w:val="both"/>
        <w:rPr>
          <w:lang w:val="es-CR"/>
        </w:rPr>
      </w:pPr>
    </w:p>
    <w:p w:rsidR="00BC62B7" w:rsidRPr="0019670A" w:rsidRDefault="00BC62B7" w:rsidP="001C1F03">
      <w:pPr>
        <w:pStyle w:val="Ttulo1"/>
        <w:numPr>
          <w:ilvl w:val="2"/>
          <w:numId w:val="18"/>
        </w:numPr>
        <w:tabs>
          <w:tab w:val="clear" w:pos="880"/>
          <w:tab w:val="num" w:pos="-1080"/>
        </w:tabs>
        <w:spacing w:before="0" w:after="0"/>
        <w:ind w:left="709" w:hanging="142"/>
        <w:jc w:val="both"/>
        <w:rPr>
          <w:rFonts w:ascii="Times New Roman" w:hAnsi="Times New Roman" w:cs="Times New Roman"/>
          <w:color w:val="000080"/>
          <w:sz w:val="24"/>
          <w:szCs w:val="24"/>
          <w:lang w:val="es-CR"/>
        </w:rPr>
      </w:pPr>
      <w:bookmarkStart w:id="76" w:name="_Toc125772513"/>
      <w:bookmarkStart w:id="77" w:name="_Toc255802931"/>
      <w:r>
        <w:rPr>
          <w:rFonts w:ascii="Times New Roman" w:hAnsi="Times New Roman" w:cs="Times New Roman"/>
          <w:color w:val="000080"/>
          <w:sz w:val="24"/>
          <w:szCs w:val="24"/>
          <w:lang w:val="es-CR"/>
        </w:rPr>
        <w:t>Valores a plazo emitidos por el BCCR</w:t>
      </w:r>
      <w:bookmarkEnd w:id="76"/>
      <w:bookmarkEnd w:id="77"/>
    </w:p>
    <w:p w:rsidR="00BC62B7" w:rsidRDefault="00BC62B7" w:rsidP="00586293">
      <w:pPr>
        <w:pStyle w:val="listaa"/>
        <w:numPr>
          <w:ilvl w:val="0"/>
          <w:numId w:val="0"/>
        </w:numPr>
        <w:tabs>
          <w:tab w:val="num" w:pos="-1080"/>
          <w:tab w:val="left" w:pos="540"/>
        </w:tabs>
        <w:spacing w:before="0" w:after="0"/>
        <w:ind w:left="284"/>
      </w:pPr>
    </w:p>
    <w:p w:rsidR="00BC62B7" w:rsidRDefault="00BC62B7" w:rsidP="009B40BC">
      <w:pPr>
        <w:pStyle w:val="listaa"/>
        <w:numPr>
          <w:ilvl w:val="0"/>
          <w:numId w:val="0"/>
        </w:numPr>
        <w:tabs>
          <w:tab w:val="num" w:pos="-1080"/>
        </w:tabs>
        <w:spacing w:before="0" w:after="0"/>
        <w:ind w:left="709"/>
      </w:pPr>
      <w:r w:rsidRPr="00371547">
        <w:t>Comprende l</w:t>
      </w:r>
      <w:r>
        <w:t xml:space="preserve">os flujos originados por las operaciones de mercado abierto, tanto en colones </w:t>
      </w:r>
      <w:r w:rsidRPr="00371547">
        <w:t xml:space="preserve">Bonos de Estabilización Monetaria (BEM) </w:t>
      </w:r>
      <w:r>
        <w:t xml:space="preserve">como en dólares </w:t>
      </w:r>
      <w:r w:rsidRPr="00371547">
        <w:t>Certificados de Depósito a Plazo (CDP$)</w:t>
      </w:r>
      <w:r>
        <w:t>, e inversiones efectuadas en Central Directo, con plazos mayores a</w:t>
      </w:r>
      <w:r w:rsidRPr="00371547">
        <w:t xml:space="preserve"> </w:t>
      </w:r>
      <w:r w:rsidR="00CD4FDD">
        <w:t>30 días</w:t>
      </w:r>
      <w:r>
        <w:t>.</w:t>
      </w:r>
    </w:p>
    <w:p w:rsidR="00BC62B7" w:rsidRDefault="00BC62B7" w:rsidP="009B40BC">
      <w:pPr>
        <w:pStyle w:val="listaa"/>
        <w:numPr>
          <w:ilvl w:val="0"/>
          <w:numId w:val="0"/>
        </w:numPr>
        <w:tabs>
          <w:tab w:val="num" w:pos="-1080"/>
        </w:tabs>
        <w:spacing w:before="0" w:after="0"/>
        <w:ind w:left="709"/>
      </w:pPr>
    </w:p>
    <w:p w:rsidR="00BC62B7" w:rsidRDefault="00BC62B7" w:rsidP="009B40BC">
      <w:pPr>
        <w:pStyle w:val="listaa"/>
        <w:numPr>
          <w:ilvl w:val="0"/>
          <w:numId w:val="0"/>
        </w:numPr>
        <w:tabs>
          <w:tab w:val="num" w:pos="-1080"/>
        </w:tabs>
        <w:spacing w:before="0" w:after="0"/>
        <w:ind w:left="709"/>
      </w:pPr>
      <w:r w:rsidRPr="00371547">
        <w:t>En caso de los BEM cero cupón</w:t>
      </w:r>
      <w:r>
        <w:t>,</w:t>
      </w:r>
      <w:r w:rsidRPr="00371547">
        <w:t xml:space="preserve"> los intereses </w:t>
      </w:r>
      <w:r>
        <w:t xml:space="preserve">están incorporados en </w:t>
      </w:r>
      <w:r w:rsidRPr="00371547">
        <w:t>el principal, por lo tanto</w:t>
      </w:r>
      <w:r>
        <w:t>,</w:t>
      </w:r>
      <w:r w:rsidRPr="00371547">
        <w:t xml:space="preserve"> </w:t>
      </w:r>
      <w:r>
        <w:t xml:space="preserve">en este renglón se </w:t>
      </w:r>
      <w:r w:rsidRPr="00371547">
        <w:t>incluye</w:t>
      </w:r>
      <w:r>
        <w:t>n los flujos en colones derivados de los principales y sus intereses</w:t>
      </w:r>
      <w:r w:rsidRPr="00371547">
        <w:t xml:space="preserve">. </w:t>
      </w:r>
    </w:p>
    <w:p w:rsidR="00BC62B7" w:rsidRPr="00371547" w:rsidRDefault="00BC62B7" w:rsidP="00586293">
      <w:pPr>
        <w:pStyle w:val="listaa"/>
        <w:numPr>
          <w:ilvl w:val="0"/>
          <w:numId w:val="0"/>
        </w:numPr>
        <w:tabs>
          <w:tab w:val="num" w:pos="-1080"/>
          <w:tab w:val="left" w:pos="540"/>
        </w:tabs>
        <w:spacing w:before="0" w:after="0"/>
        <w:ind w:left="284"/>
      </w:pPr>
      <w:r w:rsidRPr="00371547">
        <w:t xml:space="preserve"> </w:t>
      </w:r>
    </w:p>
    <w:p w:rsidR="00BC62B7" w:rsidRPr="0072390C" w:rsidRDefault="00BC62B7" w:rsidP="001C1F03">
      <w:pPr>
        <w:pStyle w:val="Ttulo1"/>
        <w:numPr>
          <w:ilvl w:val="2"/>
          <w:numId w:val="18"/>
        </w:numPr>
        <w:tabs>
          <w:tab w:val="clear" w:pos="880"/>
          <w:tab w:val="num" w:pos="-1080"/>
        </w:tabs>
        <w:spacing w:before="0" w:after="0"/>
        <w:ind w:left="709" w:hanging="142"/>
        <w:jc w:val="both"/>
        <w:rPr>
          <w:rFonts w:ascii="Times New Roman" w:hAnsi="Times New Roman" w:cs="Times New Roman"/>
          <w:color w:val="000080"/>
          <w:sz w:val="24"/>
          <w:szCs w:val="24"/>
          <w:lang w:val="es-CR"/>
        </w:rPr>
      </w:pPr>
      <w:bookmarkStart w:id="78" w:name="_Toc125772514"/>
      <w:bookmarkStart w:id="79" w:name="_Toc255802932"/>
      <w:r w:rsidRPr="0072390C">
        <w:rPr>
          <w:rFonts w:ascii="Times New Roman" w:hAnsi="Times New Roman" w:cs="Times New Roman"/>
          <w:color w:val="000080"/>
          <w:sz w:val="24"/>
          <w:szCs w:val="24"/>
          <w:lang w:val="es-CR"/>
        </w:rPr>
        <w:t>Captaciones de Muy Corto Plazo</w:t>
      </w:r>
      <w:bookmarkEnd w:id="78"/>
      <w:bookmarkEnd w:id="79"/>
    </w:p>
    <w:p w:rsidR="00BC62B7" w:rsidRDefault="00BC62B7" w:rsidP="000A7E27">
      <w:pPr>
        <w:pStyle w:val="listaa"/>
        <w:numPr>
          <w:ilvl w:val="0"/>
          <w:numId w:val="0"/>
        </w:numPr>
        <w:tabs>
          <w:tab w:val="num" w:pos="-1080"/>
        </w:tabs>
        <w:spacing w:before="0" w:after="0"/>
        <w:ind w:left="709" w:hanging="142"/>
      </w:pPr>
    </w:p>
    <w:p w:rsidR="00BC62B7" w:rsidRDefault="000A7E27" w:rsidP="000A7E27">
      <w:pPr>
        <w:pStyle w:val="listaa"/>
        <w:numPr>
          <w:ilvl w:val="0"/>
          <w:numId w:val="0"/>
        </w:numPr>
        <w:tabs>
          <w:tab w:val="num" w:pos="-1080"/>
        </w:tabs>
        <w:spacing w:before="0" w:after="0"/>
        <w:ind w:left="709" w:hanging="142"/>
      </w:pPr>
      <w:r>
        <w:tab/>
      </w:r>
      <w:r w:rsidR="00BC62B7" w:rsidRPr="00371547">
        <w:t>Comprende l</w:t>
      </w:r>
      <w:r w:rsidR="00BC62B7">
        <w:t>os flujos originados por las operaciones de mercado abierto en colones y dólares con plazos menores a</w:t>
      </w:r>
      <w:r w:rsidR="00BC62B7" w:rsidRPr="00371547">
        <w:t xml:space="preserve"> </w:t>
      </w:r>
      <w:r w:rsidR="00DA7210">
        <w:t>30 días.</w:t>
      </w:r>
    </w:p>
    <w:p w:rsidR="00BC62B7" w:rsidRDefault="00BC62B7" w:rsidP="000A7E27">
      <w:pPr>
        <w:pStyle w:val="listaa"/>
        <w:numPr>
          <w:ilvl w:val="0"/>
          <w:numId w:val="0"/>
        </w:numPr>
        <w:tabs>
          <w:tab w:val="num" w:pos="-1080"/>
        </w:tabs>
        <w:spacing w:before="0" w:after="0"/>
        <w:ind w:left="709" w:hanging="142"/>
      </w:pPr>
    </w:p>
    <w:p w:rsidR="00BC62B7" w:rsidRDefault="00BC62B7" w:rsidP="001C1F03">
      <w:pPr>
        <w:pStyle w:val="Ttulo1"/>
        <w:numPr>
          <w:ilvl w:val="2"/>
          <w:numId w:val="18"/>
        </w:numPr>
        <w:tabs>
          <w:tab w:val="clear" w:pos="880"/>
          <w:tab w:val="num" w:pos="-1080"/>
        </w:tabs>
        <w:spacing w:before="0" w:after="0"/>
        <w:ind w:left="709" w:hanging="142"/>
        <w:jc w:val="both"/>
        <w:rPr>
          <w:rFonts w:ascii="Times New Roman" w:hAnsi="Times New Roman" w:cs="Times New Roman"/>
          <w:color w:val="000080"/>
          <w:sz w:val="24"/>
          <w:szCs w:val="24"/>
          <w:lang w:val="es-CR"/>
        </w:rPr>
      </w:pPr>
      <w:bookmarkStart w:id="80" w:name="_Toc125772515"/>
      <w:bookmarkStart w:id="81" w:name="_Toc255802933"/>
      <w:r>
        <w:rPr>
          <w:rFonts w:ascii="Times New Roman" w:hAnsi="Times New Roman" w:cs="Times New Roman"/>
          <w:color w:val="000080"/>
          <w:sz w:val="24"/>
          <w:szCs w:val="24"/>
          <w:lang w:val="es-CR"/>
        </w:rPr>
        <w:t>Depósitos del Sector Financiero en BCCR</w:t>
      </w:r>
      <w:bookmarkEnd w:id="80"/>
      <w:bookmarkEnd w:id="81"/>
    </w:p>
    <w:p w:rsidR="00BC62B7" w:rsidRDefault="00BC62B7" w:rsidP="000A7E27">
      <w:pPr>
        <w:pStyle w:val="listaa"/>
        <w:numPr>
          <w:ilvl w:val="0"/>
          <w:numId w:val="0"/>
        </w:numPr>
        <w:tabs>
          <w:tab w:val="num" w:pos="-1080"/>
        </w:tabs>
        <w:spacing w:before="0" w:after="0"/>
        <w:ind w:left="709" w:hanging="142"/>
      </w:pPr>
    </w:p>
    <w:p w:rsidR="00BC62B7" w:rsidRDefault="000A7E27" w:rsidP="000A7E27">
      <w:pPr>
        <w:pStyle w:val="listaa"/>
        <w:numPr>
          <w:ilvl w:val="0"/>
          <w:numId w:val="0"/>
        </w:numPr>
        <w:tabs>
          <w:tab w:val="num" w:pos="-1080"/>
        </w:tabs>
        <w:spacing w:before="0" w:after="0"/>
        <w:ind w:left="709" w:hanging="142"/>
      </w:pPr>
      <w:r>
        <w:tab/>
      </w:r>
      <w:r w:rsidR="00BC62B7">
        <w:t>Comprende las entradas y salidas originadas sobre los depósitos en moneda extranjera que el sistema financiero mantiene en las cuentas de reserva en el Banco Central.</w:t>
      </w:r>
    </w:p>
    <w:p w:rsidR="00BC62B7" w:rsidRPr="000D4986" w:rsidRDefault="00BC62B7" w:rsidP="000A7E27">
      <w:pPr>
        <w:pStyle w:val="listaa"/>
        <w:numPr>
          <w:ilvl w:val="0"/>
          <w:numId w:val="0"/>
        </w:numPr>
        <w:tabs>
          <w:tab w:val="num" w:pos="-1080"/>
        </w:tabs>
        <w:spacing w:before="0" w:after="0"/>
        <w:ind w:left="709" w:hanging="142"/>
      </w:pPr>
    </w:p>
    <w:p w:rsidR="00BC62B7" w:rsidRDefault="00BC62B7" w:rsidP="001C1F03">
      <w:pPr>
        <w:pStyle w:val="Ttulo1"/>
        <w:numPr>
          <w:ilvl w:val="2"/>
          <w:numId w:val="18"/>
        </w:numPr>
        <w:tabs>
          <w:tab w:val="clear" w:pos="880"/>
          <w:tab w:val="num" w:pos="-1080"/>
        </w:tabs>
        <w:spacing w:before="0" w:after="0"/>
        <w:ind w:left="709" w:hanging="142"/>
        <w:jc w:val="both"/>
        <w:rPr>
          <w:rFonts w:ascii="Times New Roman" w:hAnsi="Times New Roman" w:cs="Times New Roman"/>
          <w:color w:val="000080"/>
          <w:sz w:val="24"/>
          <w:szCs w:val="24"/>
          <w:lang w:val="es-CR"/>
        </w:rPr>
      </w:pPr>
      <w:bookmarkStart w:id="82" w:name="_Toc125772516"/>
      <w:bookmarkStart w:id="83" w:name="_Toc255802934"/>
      <w:r>
        <w:rPr>
          <w:rFonts w:ascii="Times New Roman" w:hAnsi="Times New Roman" w:cs="Times New Roman"/>
          <w:color w:val="000080"/>
          <w:sz w:val="24"/>
          <w:szCs w:val="24"/>
          <w:lang w:val="es-CR"/>
        </w:rPr>
        <w:t>Depósitos de Otras Entidades</w:t>
      </w:r>
      <w:bookmarkEnd w:id="82"/>
      <w:bookmarkEnd w:id="83"/>
    </w:p>
    <w:p w:rsidR="00BC62B7" w:rsidRDefault="00BC62B7" w:rsidP="000A7E27">
      <w:pPr>
        <w:pStyle w:val="listaa"/>
        <w:numPr>
          <w:ilvl w:val="0"/>
          <w:numId w:val="0"/>
        </w:numPr>
        <w:tabs>
          <w:tab w:val="num" w:pos="-1080"/>
        </w:tabs>
        <w:spacing w:before="0" w:after="0"/>
        <w:ind w:left="709" w:hanging="142"/>
      </w:pPr>
    </w:p>
    <w:p w:rsidR="00BC62B7" w:rsidRDefault="000A7E27" w:rsidP="000A7E27">
      <w:pPr>
        <w:pStyle w:val="listaa"/>
        <w:numPr>
          <w:ilvl w:val="0"/>
          <w:numId w:val="0"/>
        </w:numPr>
        <w:tabs>
          <w:tab w:val="num" w:pos="-1080"/>
        </w:tabs>
        <w:spacing w:before="0" w:after="0"/>
        <w:ind w:left="709" w:hanging="142"/>
      </w:pPr>
      <w:r>
        <w:tab/>
      </w:r>
      <w:r w:rsidR="00BC62B7">
        <w:t xml:space="preserve">Comprende las entradas y salidas originadas sobre los depósitos en moneda nacional que las entidades financieras no bancarias mantienen en las cuentas de reserva en el Banco Central de Costa Rica. Se excluyen los depósitos de los bancos por cuanto éstos forman parte de </w:t>
      </w:r>
      <w:smartTag w:uri="urn:schemas-microsoft-com:office:smarttags" w:element="PersonName">
        <w:smartTagPr>
          <w:attr w:name="ProductID" w:val="la Base Monetaria."/>
        </w:smartTagPr>
        <w:r w:rsidR="00BC62B7">
          <w:t>la Base Monetaria.</w:t>
        </w:r>
      </w:smartTag>
    </w:p>
    <w:p w:rsidR="00BC62B7" w:rsidRPr="000D4986" w:rsidRDefault="00BC62B7" w:rsidP="000A7E27">
      <w:pPr>
        <w:pStyle w:val="listaa"/>
        <w:numPr>
          <w:ilvl w:val="0"/>
          <w:numId w:val="0"/>
        </w:numPr>
        <w:tabs>
          <w:tab w:val="num" w:pos="-1080"/>
        </w:tabs>
        <w:spacing w:before="0" w:after="0"/>
        <w:ind w:left="709" w:hanging="142"/>
      </w:pPr>
    </w:p>
    <w:p w:rsidR="00BC62B7" w:rsidRDefault="00BC62B7" w:rsidP="001C1F03">
      <w:pPr>
        <w:pStyle w:val="Ttulo1"/>
        <w:numPr>
          <w:ilvl w:val="2"/>
          <w:numId w:val="18"/>
        </w:numPr>
        <w:tabs>
          <w:tab w:val="clear" w:pos="880"/>
          <w:tab w:val="num" w:pos="-1080"/>
        </w:tabs>
        <w:spacing w:before="0" w:after="0"/>
        <w:ind w:left="709" w:hanging="142"/>
        <w:jc w:val="both"/>
        <w:rPr>
          <w:rFonts w:ascii="Times New Roman" w:hAnsi="Times New Roman" w:cs="Times New Roman"/>
          <w:color w:val="000080"/>
          <w:sz w:val="24"/>
          <w:szCs w:val="24"/>
          <w:lang w:val="es-CR"/>
        </w:rPr>
      </w:pPr>
      <w:bookmarkStart w:id="84" w:name="_Toc125772517"/>
      <w:bookmarkStart w:id="85" w:name="_Toc255802935"/>
      <w:r>
        <w:rPr>
          <w:rFonts w:ascii="Times New Roman" w:hAnsi="Times New Roman" w:cs="Times New Roman"/>
          <w:color w:val="000080"/>
          <w:sz w:val="24"/>
          <w:szCs w:val="24"/>
          <w:lang w:val="es-CR"/>
        </w:rPr>
        <w:t>Operaciones del Gobierno Central</w:t>
      </w:r>
      <w:bookmarkEnd w:id="84"/>
      <w:bookmarkEnd w:id="85"/>
    </w:p>
    <w:p w:rsidR="00BC62B7" w:rsidRDefault="00BC62B7" w:rsidP="000A7E27">
      <w:pPr>
        <w:pStyle w:val="listaa"/>
        <w:numPr>
          <w:ilvl w:val="0"/>
          <w:numId w:val="0"/>
        </w:numPr>
        <w:tabs>
          <w:tab w:val="num" w:pos="-1080"/>
        </w:tabs>
        <w:spacing w:before="0" w:after="0"/>
        <w:ind w:left="709" w:hanging="142"/>
      </w:pPr>
    </w:p>
    <w:p w:rsidR="00BC62B7" w:rsidRDefault="000A7E27" w:rsidP="000A7E27">
      <w:pPr>
        <w:pStyle w:val="listaa"/>
        <w:numPr>
          <w:ilvl w:val="0"/>
          <w:numId w:val="0"/>
        </w:numPr>
        <w:tabs>
          <w:tab w:val="num" w:pos="-1080"/>
        </w:tabs>
        <w:spacing w:before="0" w:after="0"/>
        <w:ind w:left="709" w:hanging="142"/>
      </w:pPr>
      <w:r>
        <w:tab/>
      </w:r>
      <w:r w:rsidR="00BC62B7">
        <w:t>Comprende las entradas y salidas originadas sobre los depósitos en moneda nacional y extranjera que el Gobierno mantiene en Banco Central de Costa Rica.</w:t>
      </w:r>
    </w:p>
    <w:p w:rsidR="00BC62B7" w:rsidRPr="000D4986" w:rsidRDefault="00BC62B7" w:rsidP="000A7E27">
      <w:pPr>
        <w:pStyle w:val="listaa"/>
        <w:numPr>
          <w:ilvl w:val="0"/>
          <w:numId w:val="0"/>
        </w:numPr>
        <w:tabs>
          <w:tab w:val="num" w:pos="-1080"/>
        </w:tabs>
        <w:spacing w:before="0" w:after="0"/>
        <w:ind w:left="709" w:hanging="142"/>
      </w:pPr>
    </w:p>
    <w:p w:rsidR="00BC62B7" w:rsidRDefault="00BC62B7" w:rsidP="001C1F03">
      <w:pPr>
        <w:pStyle w:val="Ttulo1"/>
        <w:numPr>
          <w:ilvl w:val="2"/>
          <w:numId w:val="18"/>
        </w:numPr>
        <w:tabs>
          <w:tab w:val="clear" w:pos="880"/>
          <w:tab w:val="num" w:pos="-1080"/>
        </w:tabs>
        <w:spacing w:before="0" w:after="0"/>
        <w:ind w:left="709" w:hanging="142"/>
        <w:jc w:val="both"/>
        <w:rPr>
          <w:rFonts w:ascii="Times New Roman" w:hAnsi="Times New Roman" w:cs="Times New Roman"/>
          <w:color w:val="000080"/>
          <w:sz w:val="24"/>
          <w:szCs w:val="24"/>
          <w:lang w:val="es-CR"/>
        </w:rPr>
      </w:pPr>
      <w:bookmarkStart w:id="86" w:name="_Toc125772518"/>
      <w:bookmarkStart w:id="87" w:name="_Toc255802936"/>
      <w:r w:rsidRPr="007A776F">
        <w:rPr>
          <w:rFonts w:ascii="Times New Roman" w:hAnsi="Times New Roman" w:cs="Times New Roman"/>
          <w:color w:val="000080"/>
          <w:sz w:val="24"/>
          <w:szCs w:val="24"/>
          <w:lang w:val="es-CR"/>
        </w:rPr>
        <w:t>Endeudamiento Externo</w:t>
      </w:r>
      <w:bookmarkEnd w:id="86"/>
      <w:bookmarkEnd w:id="87"/>
    </w:p>
    <w:p w:rsidR="00BC62B7" w:rsidRDefault="00BC62B7" w:rsidP="000A7E27">
      <w:pPr>
        <w:pStyle w:val="listaa"/>
        <w:numPr>
          <w:ilvl w:val="0"/>
          <w:numId w:val="0"/>
        </w:numPr>
        <w:tabs>
          <w:tab w:val="num" w:pos="-1080"/>
        </w:tabs>
        <w:spacing w:before="0" w:after="0"/>
        <w:ind w:left="709" w:hanging="142"/>
      </w:pPr>
    </w:p>
    <w:p w:rsidR="00BC62B7" w:rsidRDefault="000A7E27" w:rsidP="000A7E27">
      <w:pPr>
        <w:pStyle w:val="listaa"/>
        <w:numPr>
          <w:ilvl w:val="0"/>
          <w:numId w:val="0"/>
        </w:numPr>
        <w:tabs>
          <w:tab w:val="num" w:pos="-1080"/>
        </w:tabs>
        <w:spacing w:before="0" w:after="0"/>
        <w:ind w:left="709" w:hanging="142"/>
      </w:pPr>
      <w:r>
        <w:tab/>
      </w:r>
      <w:r w:rsidR="00BC62B7">
        <w:t>Comprende los flujos en moneda extranjera originados por las obligaciones de deuda externa que el banco mantiene con entidades y organismos Internacionales.</w:t>
      </w:r>
    </w:p>
    <w:p w:rsidR="00BC62B7" w:rsidRPr="0019670A" w:rsidRDefault="00BC62B7" w:rsidP="001C1F03">
      <w:pPr>
        <w:pStyle w:val="Ttulo1"/>
        <w:numPr>
          <w:ilvl w:val="2"/>
          <w:numId w:val="18"/>
        </w:numPr>
        <w:tabs>
          <w:tab w:val="clear" w:pos="880"/>
          <w:tab w:val="num" w:pos="-1080"/>
        </w:tabs>
        <w:spacing w:before="0" w:after="0"/>
        <w:ind w:left="709" w:hanging="142"/>
        <w:jc w:val="both"/>
        <w:rPr>
          <w:rFonts w:ascii="Times New Roman" w:hAnsi="Times New Roman" w:cs="Times New Roman"/>
          <w:color w:val="000080"/>
          <w:sz w:val="24"/>
          <w:szCs w:val="24"/>
          <w:lang w:val="es-CR"/>
        </w:rPr>
      </w:pPr>
      <w:bookmarkStart w:id="88" w:name="_Toc125772519"/>
      <w:bookmarkStart w:id="89" w:name="_Toc255802937"/>
      <w:r>
        <w:rPr>
          <w:rFonts w:ascii="Times New Roman" w:hAnsi="Times New Roman" w:cs="Times New Roman"/>
          <w:color w:val="000080"/>
          <w:sz w:val="24"/>
          <w:szCs w:val="24"/>
          <w:lang w:val="es-CR"/>
        </w:rPr>
        <w:lastRenderedPageBreak/>
        <w:t xml:space="preserve">Otras Partidas del </w:t>
      </w:r>
      <w:r w:rsidRPr="0019670A">
        <w:rPr>
          <w:rFonts w:ascii="Times New Roman" w:hAnsi="Times New Roman" w:cs="Times New Roman"/>
          <w:color w:val="000080"/>
          <w:sz w:val="24"/>
          <w:szCs w:val="24"/>
          <w:lang w:val="es-CR"/>
        </w:rPr>
        <w:t>Pasivo</w:t>
      </w:r>
      <w:bookmarkEnd w:id="88"/>
      <w:bookmarkEnd w:id="89"/>
    </w:p>
    <w:p w:rsidR="00BC62B7" w:rsidRDefault="00BC62B7" w:rsidP="000A7E27">
      <w:pPr>
        <w:pStyle w:val="listaa"/>
        <w:numPr>
          <w:ilvl w:val="0"/>
          <w:numId w:val="0"/>
        </w:numPr>
        <w:tabs>
          <w:tab w:val="num" w:pos="-1080"/>
        </w:tabs>
        <w:spacing w:before="0" w:after="0"/>
        <w:ind w:left="709" w:hanging="142"/>
      </w:pPr>
    </w:p>
    <w:p w:rsidR="00BC62B7" w:rsidRDefault="000A7E27" w:rsidP="000A7E27">
      <w:pPr>
        <w:pStyle w:val="listaa"/>
        <w:numPr>
          <w:ilvl w:val="0"/>
          <w:numId w:val="0"/>
        </w:numPr>
        <w:tabs>
          <w:tab w:val="num" w:pos="-1080"/>
        </w:tabs>
        <w:spacing w:before="0" w:after="0"/>
        <w:ind w:left="709" w:hanging="142"/>
      </w:pPr>
      <w:r>
        <w:tab/>
      </w:r>
      <w:r w:rsidR="00BC62B7">
        <w:t>Comprende los flujos originados en las operaciones de recaudación de timbres y especies fiscales, renta sobre los intereses pagados en colones y dólares sobre bonos y certificados en dólares a plazo,  depósitos temporales de las entidades públicas para el servicio de la deuda externa y las transferencias electrónicas de créditos directos en dólares.</w:t>
      </w:r>
    </w:p>
    <w:p w:rsidR="005E3192" w:rsidRDefault="005E3192" w:rsidP="000A7E27">
      <w:pPr>
        <w:pStyle w:val="listaa"/>
        <w:numPr>
          <w:ilvl w:val="0"/>
          <w:numId w:val="0"/>
        </w:numPr>
        <w:tabs>
          <w:tab w:val="num" w:pos="-1080"/>
        </w:tabs>
        <w:spacing w:before="0" w:after="0"/>
        <w:ind w:left="709" w:hanging="142"/>
      </w:pPr>
    </w:p>
    <w:p w:rsidR="00BC62B7" w:rsidRDefault="00BC62B7" w:rsidP="00586293">
      <w:pPr>
        <w:pStyle w:val="listaa"/>
        <w:numPr>
          <w:ilvl w:val="0"/>
          <w:numId w:val="0"/>
        </w:numPr>
        <w:tabs>
          <w:tab w:val="num" w:pos="-1080"/>
          <w:tab w:val="left" w:pos="540"/>
        </w:tabs>
        <w:spacing w:before="0" w:after="0"/>
        <w:ind w:left="284"/>
      </w:pPr>
    </w:p>
    <w:p w:rsidR="00BC62B7" w:rsidRDefault="00BC62B7" w:rsidP="001C1F03">
      <w:pPr>
        <w:pStyle w:val="Ttulo1"/>
        <w:numPr>
          <w:ilvl w:val="1"/>
          <w:numId w:val="18"/>
        </w:numPr>
        <w:tabs>
          <w:tab w:val="clear" w:pos="1250"/>
          <w:tab w:val="num" w:pos="-1080"/>
          <w:tab w:val="num" w:pos="0"/>
          <w:tab w:val="left" w:pos="540"/>
        </w:tabs>
        <w:spacing w:before="0" w:after="0"/>
        <w:ind w:left="284" w:firstLine="0"/>
        <w:jc w:val="both"/>
        <w:rPr>
          <w:rFonts w:ascii="Times New Roman" w:hAnsi="Times New Roman" w:cs="Times New Roman"/>
          <w:color w:val="000080"/>
          <w:sz w:val="22"/>
          <w:szCs w:val="22"/>
          <w:lang w:val="es-CR"/>
        </w:rPr>
      </w:pPr>
      <w:bookmarkStart w:id="90" w:name="_Toc125772520"/>
      <w:bookmarkStart w:id="91" w:name="_Toc195507803"/>
      <w:bookmarkStart w:id="92" w:name="_Toc255802938"/>
      <w:r w:rsidRPr="001603A6">
        <w:rPr>
          <w:rFonts w:ascii="Times New Roman" w:hAnsi="Times New Roman" w:cs="Times New Roman"/>
          <w:color w:val="000080"/>
          <w:sz w:val="22"/>
          <w:szCs w:val="22"/>
          <w:lang w:val="es-CR"/>
        </w:rPr>
        <w:t>RESULTADOS DE LAS OPERACIONES EFECTIVAS:</w:t>
      </w:r>
      <w:bookmarkEnd w:id="90"/>
      <w:bookmarkEnd w:id="91"/>
      <w:bookmarkEnd w:id="92"/>
    </w:p>
    <w:p w:rsidR="00BC62B7" w:rsidRPr="001603A6" w:rsidRDefault="00BC62B7" w:rsidP="00586293">
      <w:pPr>
        <w:tabs>
          <w:tab w:val="num" w:pos="-1080"/>
          <w:tab w:val="left" w:pos="540"/>
        </w:tabs>
        <w:ind w:left="284"/>
        <w:jc w:val="both"/>
        <w:rPr>
          <w:lang w:val="es-CR"/>
        </w:rPr>
      </w:pPr>
    </w:p>
    <w:p w:rsidR="00BC62B7" w:rsidRPr="007A776F" w:rsidRDefault="00BC62B7" w:rsidP="001C1F03">
      <w:pPr>
        <w:pStyle w:val="Ttulo1"/>
        <w:numPr>
          <w:ilvl w:val="2"/>
          <w:numId w:val="18"/>
        </w:numPr>
        <w:tabs>
          <w:tab w:val="clear" w:pos="880"/>
          <w:tab w:val="num" w:pos="-1080"/>
          <w:tab w:val="left" w:pos="709"/>
        </w:tabs>
        <w:spacing w:before="0" w:after="0"/>
        <w:ind w:left="709" w:hanging="142"/>
        <w:jc w:val="both"/>
        <w:rPr>
          <w:rFonts w:ascii="Times New Roman" w:hAnsi="Times New Roman" w:cs="Times New Roman"/>
          <w:color w:val="000080"/>
          <w:sz w:val="24"/>
          <w:szCs w:val="24"/>
          <w:lang w:val="es-CR"/>
        </w:rPr>
      </w:pPr>
      <w:bookmarkStart w:id="93" w:name="_Toc125772521"/>
      <w:bookmarkStart w:id="94" w:name="_Toc255802939"/>
      <w:r>
        <w:rPr>
          <w:rFonts w:ascii="Times New Roman" w:hAnsi="Times New Roman" w:cs="Times New Roman"/>
          <w:color w:val="000080"/>
          <w:sz w:val="24"/>
          <w:szCs w:val="24"/>
          <w:lang w:val="es-CR"/>
        </w:rPr>
        <w:t>Intereses y C</w:t>
      </w:r>
      <w:r w:rsidRPr="007A776F">
        <w:rPr>
          <w:rFonts w:ascii="Times New Roman" w:hAnsi="Times New Roman" w:cs="Times New Roman"/>
          <w:color w:val="000080"/>
          <w:sz w:val="24"/>
          <w:szCs w:val="24"/>
          <w:lang w:val="es-CR"/>
        </w:rPr>
        <w:t xml:space="preserve">omisiones </w:t>
      </w:r>
      <w:r>
        <w:rPr>
          <w:rFonts w:ascii="Times New Roman" w:hAnsi="Times New Roman" w:cs="Times New Roman"/>
          <w:color w:val="000080"/>
          <w:sz w:val="24"/>
          <w:szCs w:val="24"/>
          <w:lang w:val="es-CR"/>
        </w:rPr>
        <w:t>Cobrados</w:t>
      </w:r>
      <w:bookmarkEnd w:id="93"/>
      <w:bookmarkEnd w:id="94"/>
    </w:p>
    <w:p w:rsidR="00BC62B7" w:rsidRDefault="00BC62B7" w:rsidP="000A7E27">
      <w:pPr>
        <w:pStyle w:val="listaa"/>
        <w:numPr>
          <w:ilvl w:val="0"/>
          <w:numId w:val="0"/>
        </w:numPr>
        <w:tabs>
          <w:tab w:val="num" w:pos="-1080"/>
          <w:tab w:val="left" w:pos="709"/>
        </w:tabs>
        <w:spacing w:before="0" w:after="0"/>
        <w:ind w:left="709" w:hanging="142"/>
      </w:pPr>
    </w:p>
    <w:p w:rsidR="00BC62B7" w:rsidRDefault="000A7E27" w:rsidP="000A7E27">
      <w:pPr>
        <w:pStyle w:val="listaa"/>
        <w:numPr>
          <w:ilvl w:val="0"/>
          <w:numId w:val="0"/>
        </w:numPr>
        <w:tabs>
          <w:tab w:val="num" w:pos="-1080"/>
          <w:tab w:val="left" w:pos="709"/>
        </w:tabs>
        <w:spacing w:before="0" w:after="0"/>
        <w:ind w:left="709" w:hanging="142"/>
      </w:pPr>
      <w:r>
        <w:tab/>
      </w:r>
      <w:r w:rsidR="00BC62B7" w:rsidRPr="001603A6">
        <w:t xml:space="preserve">Comprende los intereses y comisiones </w:t>
      </w:r>
      <w:r w:rsidR="00BC62B7">
        <w:t xml:space="preserve">recibidas en moneda extranjera </w:t>
      </w:r>
      <w:r w:rsidR="00BC62B7" w:rsidRPr="001603A6">
        <w:t>sobre inversiones en el exterior</w:t>
      </w:r>
      <w:r w:rsidR="00BC62B7">
        <w:t xml:space="preserve"> (disponibilidades de divisas) y en moneda nacional sobre valores nacionales</w:t>
      </w:r>
      <w:r w:rsidR="00BC62B7" w:rsidRPr="001603A6">
        <w:t xml:space="preserve">, premio por rendimiento </w:t>
      </w:r>
      <w:r w:rsidR="00BC62B7">
        <w:t>obtenido en las operaciones de mercado abierto</w:t>
      </w:r>
      <w:r w:rsidR="00BC62B7" w:rsidRPr="001603A6">
        <w:t>, i</w:t>
      </w:r>
      <w:r w:rsidR="00BC62B7">
        <w:t>ngresos por supervisión a las entidades financieras y por los servicios prestados por el SINPE, liquidación de timbres y  especies fiscales, ingresos por operaciones de compra y venta de divisas y ganancias de capital obtenidas sobre las inversiones en el exterior.</w:t>
      </w:r>
    </w:p>
    <w:p w:rsidR="00BC62B7" w:rsidRPr="000F629F" w:rsidRDefault="00BC62B7" w:rsidP="000A7E27">
      <w:pPr>
        <w:pStyle w:val="listaa"/>
        <w:numPr>
          <w:ilvl w:val="0"/>
          <w:numId w:val="0"/>
        </w:numPr>
        <w:tabs>
          <w:tab w:val="num" w:pos="-1080"/>
          <w:tab w:val="left" w:pos="709"/>
        </w:tabs>
        <w:spacing w:before="0" w:after="0"/>
        <w:ind w:left="709" w:hanging="142"/>
      </w:pPr>
    </w:p>
    <w:p w:rsidR="00BC62B7" w:rsidRDefault="00BC62B7" w:rsidP="001C1F03">
      <w:pPr>
        <w:pStyle w:val="Ttulo1"/>
        <w:numPr>
          <w:ilvl w:val="2"/>
          <w:numId w:val="18"/>
        </w:numPr>
        <w:tabs>
          <w:tab w:val="clear" w:pos="880"/>
          <w:tab w:val="num" w:pos="-1080"/>
          <w:tab w:val="left" w:pos="709"/>
        </w:tabs>
        <w:spacing w:before="0" w:after="0"/>
        <w:ind w:left="709" w:hanging="142"/>
        <w:jc w:val="both"/>
        <w:rPr>
          <w:rFonts w:ascii="Times New Roman" w:hAnsi="Times New Roman" w:cs="Times New Roman"/>
          <w:color w:val="000080"/>
          <w:sz w:val="24"/>
          <w:szCs w:val="24"/>
          <w:lang w:val="es-CR"/>
        </w:rPr>
      </w:pPr>
      <w:bookmarkStart w:id="95" w:name="_Toc125772522"/>
      <w:bookmarkStart w:id="96" w:name="_Toc255802940"/>
      <w:r>
        <w:rPr>
          <w:rFonts w:ascii="Times New Roman" w:hAnsi="Times New Roman" w:cs="Times New Roman"/>
          <w:color w:val="000080"/>
          <w:sz w:val="24"/>
          <w:szCs w:val="24"/>
          <w:lang w:val="es-CR"/>
        </w:rPr>
        <w:t>Intereses y Comisiones P</w:t>
      </w:r>
      <w:r w:rsidRPr="007A776F">
        <w:rPr>
          <w:rFonts w:ascii="Times New Roman" w:hAnsi="Times New Roman" w:cs="Times New Roman"/>
          <w:color w:val="000080"/>
          <w:sz w:val="24"/>
          <w:szCs w:val="24"/>
          <w:lang w:val="es-CR"/>
        </w:rPr>
        <w:t>agados</w:t>
      </w:r>
      <w:bookmarkEnd w:id="95"/>
      <w:bookmarkEnd w:id="96"/>
    </w:p>
    <w:p w:rsidR="00BC62B7" w:rsidRDefault="00BC62B7" w:rsidP="000A7E27">
      <w:pPr>
        <w:pStyle w:val="listaa"/>
        <w:numPr>
          <w:ilvl w:val="0"/>
          <w:numId w:val="0"/>
        </w:numPr>
        <w:tabs>
          <w:tab w:val="num" w:pos="-1080"/>
          <w:tab w:val="left" w:pos="709"/>
        </w:tabs>
        <w:spacing w:before="0" w:after="0"/>
        <w:ind w:left="709" w:hanging="142"/>
      </w:pPr>
    </w:p>
    <w:p w:rsidR="00BC62B7" w:rsidRDefault="000A7E27" w:rsidP="000A7E27">
      <w:pPr>
        <w:pStyle w:val="listaa"/>
        <w:numPr>
          <w:ilvl w:val="0"/>
          <w:numId w:val="0"/>
        </w:numPr>
        <w:tabs>
          <w:tab w:val="num" w:pos="-1080"/>
          <w:tab w:val="left" w:pos="709"/>
        </w:tabs>
        <w:spacing w:before="0" w:after="0"/>
        <w:ind w:left="709" w:hanging="142"/>
      </w:pPr>
      <w:r>
        <w:tab/>
      </w:r>
      <w:r w:rsidR="00BC62B7">
        <w:t xml:space="preserve">Comprende los intereses pagados en moneda nacional y moneda extranjera  sobre las operaciones de mercado abierto y deuda externa, gastos originados por operaciones de compra y venta de divisas y pérdidas de capital sobre las  inversiones en el exterior. </w:t>
      </w:r>
    </w:p>
    <w:p w:rsidR="00BC62B7" w:rsidRPr="000C0561" w:rsidRDefault="00BC62B7" w:rsidP="000A7E27">
      <w:pPr>
        <w:pStyle w:val="listaa"/>
        <w:numPr>
          <w:ilvl w:val="0"/>
          <w:numId w:val="0"/>
        </w:numPr>
        <w:tabs>
          <w:tab w:val="num" w:pos="-1080"/>
          <w:tab w:val="left" w:pos="709"/>
        </w:tabs>
        <w:spacing w:before="0" w:after="0"/>
        <w:ind w:left="709" w:hanging="142"/>
      </w:pPr>
    </w:p>
    <w:p w:rsidR="00BC62B7" w:rsidRPr="00E97136" w:rsidRDefault="00BC62B7" w:rsidP="001C1F03">
      <w:pPr>
        <w:pStyle w:val="Ttulo1"/>
        <w:numPr>
          <w:ilvl w:val="2"/>
          <w:numId w:val="18"/>
        </w:numPr>
        <w:tabs>
          <w:tab w:val="clear" w:pos="880"/>
          <w:tab w:val="num" w:pos="-1080"/>
          <w:tab w:val="left" w:pos="709"/>
        </w:tabs>
        <w:spacing w:before="0" w:after="0"/>
        <w:ind w:left="709" w:hanging="142"/>
        <w:jc w:val="both"/>
        <w:rPr>
          <w:rFonts w:ascii="Times New Roman" w:hAnsi="Times New Roman" w:cs="Times New Roman"/>
          <w:color w:val="000080"/>
          <w:sz w:val="24"/>
          <w:szCs w:val="24"/>
          <w:lang w:val="es-CR"/>
        </w:rPr>
      </w:pPr>
      <w:bookmarkStart w:id="97" w:name="_Toc125772523"/>
      <w:bookmarkStart w:id="98" w:name="_Toc255802941"/>
      <w:r>
        <w:rPr>
          <w:rFonts w:ascii="Times New Roman" w:hAnsi="Times New Roman" w:cs="Times New Roman"/>
          <w:color w:val="000080"/>
          <w:sz w:val="24"/>
          <w:szCs w:val="24"/>
          <w:lang w:val="es-CR"/>
        </w:rPr>
        <w:t>Gastos Administrativos</w:t>
      </w:r>
      <w:bookmarkEnd w:id="60"/>
      <w:bookmarkEnd w:id="97"/>
      <w:bookmarkEnd w:id="98"/>
    </w:p>
    <w:p w:rsidR="00BC62B7" w:rsidRDefault="00BC62B7" w:rsidP="000A7E27">
      <w:pPr>
        <w:pStyle w:val="listaa"/>
        <w:numPr>
          <w:ilvl w:val="0"/>
          <w:numId w:val="0"/>
        </w:numPr>
        <w:tabs>
          <w:tab w:val="num" w:pos="-1080"/>
          <w:tab w:val="left" w:pos="709"/>
        </w:tabs>
        <w:spacing w:before="0" w:after="0"/>
        <w:ind w:left="709" w:hanging="142"/>
      </w:pPr>
    </w:p>
    <w:p w:rsidR="00BC62B7" w:rsidRDefault="000A7E27" w:rsidP="000A7E27">
      <w:pPr>
        <w:pStyle w:val="listaa"/>
        <w:numPr>
          <w:ilvl w:val="0"/>
          <w:numId w:val="0"/>
        </w:numPr>
        <w:tabs>
          <w:tab w:val="num" w:pos="-1080"/>
          <w:tab w:val="left" w:pos="709"/>
        </w:tabs>
        <w:spacing w:before="0" w:after="0"/>
        <w:ind w:left="709" w:hanging="142"/>
      </w:pPr>
      <w:r>
        <w:tab/>
      </w:r>
      <w:r w:rsidR="00BC62B7">
        <w:t>Comprende los gastos e ingresos originados por la gestión administrativa, tales como los gastos en moneda nacional derivados de los pagos a servidores del banco, transferencias a entidades privadas y públicas y créditos directos realizados por medio del SINPE. Salidas en moneda nacional y moneda extranjera originadas en la compra de activos (inversiones), servicios, materiales y suministros. Ingresos recibidos por reintegros en moneda nacional y extranjera.</w:t>
      </w:r>
    </w:p>
    <w:p w:rsidR="00BC62B7" w:rsidRDefault="00BC62B7" w:rsidP="00586293">
      <w:pPr>
        <w:tabs>
          <w:tab w:val="num" w:pos="-1080"/>
        </w:tabs>
        <w:ind w:left="284"/>
        <w:jc w:val="both"/>
        <w:rPr>
          <w:lang w:val="es-CR"/>
        </w:rPr>
      </w:pPr>
    </w:p>
    <w:p w:rsidR="00BC62B7" w:rsidRPr="0019670A" w:rsidRDefault="00BC62B7" w:rsidP="00C82E3B">
      <w:pPr>
        <w:tabs>
          <w:tab w:val="num" w:pos="-1080"/>
        </w:tabs>
        <w:jc w:val="both"/>
        <w:rPr>
          <w:lang w:val="es-CR"/>
        </w:rPr>
      </w:pPr>
    </w:p>
    <w:p w:rsidR="002B09A6" w:rsidRDefault="002B09A6">
      <w:pPr>
        <w:rPr>
          <w:b/>
          <w:bCs/>
          <w:color w:val="000080"/>
          <w:kern w:val="32"/>
          <w:sz w:val="28"/>
          <w:szCs w:val="28"/>
          <w:lang w:val="es-CR"/>
        </w:rPr>
      </w:pPr>
      <w:r>
        <w:rPr>
          <w:color w:val="000080"/>
          <w:sz w:val="28"/>
          <w:szCs w:val="28"/>
          <w:lang w:val="es-CR"/>
        </w:rPr>
        <w:br w:type="page"/>
      </w:r>
    </w:p>
    <w:p w:rsidR="00BC62B7" w:rsidRDefault="00BC62B7" w:rsidP="00B90D59">
      <w:pPr>
        <w:pStyle w:val="Ttulo1"/>
        <w:jc w:val="both"/>
        <w:rPr>
          <w:rFonts w:ascii="Times New Roman" w:hAnsi="Times New Roman" w:cs="Times New Roman"/>
          <w:color w:val="000080"/>
          <w:sz w:val="28"/>
          <w:szCs w:val="28"/>
          <w:lang w:val="es-CR"/>
        </w:rPr>
      </w:pPr>
      <w:bookmarkStart w:id="99" w:name="_Toc255802942"/>
      <w:r w:rsidRPr="00B90D59">
        <w:rPr>
          <w:rFonts w:ascii="Times New Roman" w:hAnsi="Times New Roman" w:cs="Times New Roman"/>
          <w:color w:val="000080"/>
          <w:sz w:val="28"/>
          <w:szCs w:val="28"/>
          <w:lang w:val="es-CR"/>
        </w:rPr>
        <w:lastRenderedPageBreak/>
        <w:t>N</w:t>
      </w:r>
      <w:r>
        <w:rPr>
          <w:rFonts w:ascii="Times New Roman" w:hAnsi="Times New Roman" w:cs="Times New Roman"/>
          <w:color w:val="000080"/>
          <w:sz w:val="28"/>
          <w:szCs w:val="28"/>
          <w:lang w:val="es-CR"/>
        </w:rPr>
        <w:t xml:space="preserve">OTAS CONCERNIENTES A LOS PASIVOS CONTINGENTES AL </w:t>
      </w:r>
      <w:r w:rsidR="003C101D">
        <w:rPr>
          <w:rFonts w:ascii="Times New Roman" w:hAnsi="Times New Roman" w:cs="Times New Roman"/>
          <w:color w:val="000080"/>
          <w:sz w:val="28"/>
          <w:szCs w:val="28"/>
          <w:lang w:val="es-CR"/>
        </w:rPr>
        <w:t>28</w:t>
      </w:r>
      <w:r w:rsidR="00E30883">
        <w:rPr>
          <w:rFonts w:ascii="Times New Roman" w:hAnsi="Times New Roman" w:cs="Times New Roman"/>
          <w:color w:val="000080"/>
          <w:sz w:val="28"/>
          <w:szCs w:val="28"/>
          <w:lang w:val="es-CR"/>
        </w:rPr>
        <w:t xml:space="preserve"> DE </w:t>
      </w:r>
      <w:r w:rsidR="003C101D">
        <w:rPr>
          <w:rFonts w:ascii="Times New Roman" w:hAnsi="Times New Roman" w:cs="Times New Roman"/>
          <w:color w:val="000080"/>
          <w:sz w:val="28"/>
          <w:szCs w:val="28"/>
          <w:lang w:val="es-CR"/>
        </w:rPr>
        <w:t>FEBRERO</w:t>
      </w:r>
      <w:r w:rsidR="009E3A9B">
        <w:rPr>
          <w:rFonts w:ascii="Times New Roman" w:hAnsi="Times New Roman" w:cs="Times New Roman"/>
          <w:color w:val="000080"/>
          <w:sz w:val="28"/>
          <w:szCs w:val="28"/>
          <w:lang w:val="es-CR"/>
        </w:rPr>
        <w:t xml:space="preserve"> </w:t>
      </w:r>
      <w:r w:rsidR="005E4E57">
        <w:rPr>
          <w:rFonts w:ascii="Times New Roman" w:hAnsi="Times New Roman" w:cs="Times New Roman"/>
          <w:color w:val="000080"/>
          <w:sz w:val="28"/>
          <w:szCs w:val="28"/>
          <w:lang w:val="es-CR"/>
        </w:rPr>
        <w:t>DEL 200</w:t>
      </w:r>
      <w:r w:rsidR="009E3A9B">
        <w:rPr>
          <w:rFonts w:ascii="Times New Roman" w:hAnsi="Times New Roman" w:cs="Times New Roman"/>
          <w:color w:val="000080"/>
          <w:sz w:val="28"/>
          <w:szCs w:val="28"/>
          <w:lang w:val="es-CR"/>
        </w:rPr>
        <w:t>9</w:t>
      </w:r>
      <w:bookmarkEnd w:id="99"/>
    </w:p>
    <w:p w:rsidR="00BC62B7" w:rsidRDefault="00BC62B7" w:rsidP="00B90D59">
      <w:pPr>
        <w:jc w:val="both"/>
        <w:rPr>
          <w:rFonts w:ascii="Verdana" w:hAnsi="Verdana"/>
          <w:lang w:val="es-CR"/>
        </w:rPr>
      </w:pPr>
    </w:p>
    <w:p w:rsidR="00BC62B7" w:rsidRDefault="00BC62B7" w:rsidP="00B90D59">
      <w:pPr>
        <w:jc w:val="both"/>
        <w:rPr>
          <w:lang w:val="es-CR"/>
        </w:rPr>
      </w:pPr>
      <w:r>
        <w:rPr>
          <w:lang w:val="es-CR"/>
        </w:rPr>
        <w:t xml:space="preserve"> </w:t>
      </w:r>
    </w:p>
    <w:p w:rsidR="00BC62B7" w:rsidRDefault="00BC62B7" w:rsidP="001C1F03">
      <w:pPr>
        <w:numPr>
          <w:ilvl w:val="0"/>
          <w:numId w:val="20"/>
        </w:numPr>
        <w:jc w:val="both"/>
        <w:rPr>
          <w:lang w:val="es-CR"/>
        </w:rPr>
      </w:pPr>
      <w:r>
        <w:rPr>
          <w:lang w:val="es-CR"/>
        </w:rPr>
        <w:t xml:space="preserve">En el Juzgado Agrario de Alajuela, mediante expediente </w:t>
      </w:r>
      <w:r w:rsidRPr="002811C4">
        <w:rPr>
          <w:lang w:val="es-CR"/>
        </w:rPr>
        <w:t>96-900047-36</w:t>
      </w:r>
      <w:r w:rsidR="00E2692E" w:rsidRPr="002811C4">
        <w:rPr>
          <w:lang w:val="es-CR"/>
        </w:rPr>
        <w:t>2</w:t>
      </w:r>
      <w:r w:rsidRPr="002811C4">
        <w:rPr>
          <w:lang w:val="es-CR"/>
        </w:rPr>
        <w:t>-AG, se</w:t>
      </w:r>
      <w:r>
        <w:rPr>
          <w:lang w:val="es-CR"/>
        </w:rPr>
        <w:t xml:space="preserve"> encuentra en proceso de notificación la sentencia de primera instancia, en la que se absolvió al Banco de toda responsabilidad, por supuesto incumplimiento contractual de créditos otorgados por el extinto Banco Anglo Costarricense, sobre el cual ya hay presentados recursos de apelación. La cuantía de la demanda interpuesta asciende a la suma de US$5,0 millones.</w:t>
      </w:r>
    </w:p>
    <w:p w:rsidR="00BC62B7" w:rsidRDefault="00BC62B7" w:rsidP="00B90D59">
      <w:pPr>
        <w:jc w:val="both"/>
        <w:rPr>
          <w:lang w:val="es-CR"/>
        </w:rPr>
      </w:pPr>
    </w:p>
    <w:p w:rsidR="00BC62B7" w:rsidRDefault="00BC62B7" w:rsidP="001C1F03">
      <w:pPr>
        <w:numPr>
          <w:ilvl w:val="0"/>
          <w:numId w:val="20"/>
        </w:numPr>
        <w:jc w:val="both"/>
        <w:rPr>
          <w:lang w:val="es-CR"/>
        </w:rPr>
      </w:pPr>
      <w:r>
        <w:rPr>
          <w:lang w:val="es-CR"/>
        </w:rPr>
        <w:t xml:space="preserve">En el Juzgado Contencioso Administrativo en Goicoechea, mediante el expediente </w:t>
      </w:r>
      <w:r w:rsidRPr="002811C4">
        <w:rPr>
          <w:lang w:val="es-CR"/>
        </w:rPr>
        <w:t>98-417-163-CA, se</w:t>
      </w:r>
      <w:r>
        <w:rPr>
          <w:lang w:val="es-CR"/>
        </w:rPr>
        <w:t xml:space="preserve"> tramitaba un juicio por ¢200,0 millones, mediante el cual </w:t>
      </w:r>
      <w:smartTag w:uri="urn:schemas-microsoft-com:office:smarttags" w:element="PersonName">
        <w:smartTagPr>
          <w:attr w:name="ProductID" w:val="la Caja Costarricense"/>
        </w:smartTagPr>
        <w:r>
          <w:rPr>
            <w:lang w:val="es-CR"/>
          </w:rPr>
          <w:t>la Caja Costarricense</w:t>
        </w:r>
      </w:smartTag>
      <w:r>
        <w:rPr>
          <w:lang w:val="es-CR"/>
        </w:rPr>
        <w:t xml:space="preserve"> del Seguro Social (CCSS) solicita que el Banco le reconozca y acredite unos supuestos depósitos realizados entre setiembre y mayo de 1994 por la sucursal de </w:t>
      </w:r>
      <w:smartTag w:uri="urn:schemas-microsoft-com:office:smarttags" w:element="PersonName">
        <w:smartTagPr>
          <w:attr w:name="ProductID" w:val="la CCSS"/>
        </w:smartTagPr>
        <w:r>
          <w:rPr>
            <w:lang w:val="es-CR"/>
          </w:rPr>
          <w:t>la CCSS</w:t>
        </w:r>
      </w:smartTag>
      <w:r>
        <w:rPr>
          <w:lang w:val="es-CR"/>
        </w:rPr>
        <w:t xml:space="preserve"> en </w:t>
      </w:r>
      <w:smartTag w:uri="urn:schemas-microsoft-com:office:smarttags" w:element="PersonName">
        <w:smartTagPr>
          <w:attr w:name="ProductID" w:val="la Provincia"/>
        </w:smartTagPr>
        <w:r>
          <w:rPr>
            <w:lang w:val="es-CR"/>
          </w:rPr>
          <w:t>la Provincia</w:t>
        </w:r>
      </w:smartTag>
      <w:r>
        <w:rPr>
          <w:lang w:val="es-CR"/>
        </w:rPr>
        <w:t xml:space="preserve"> de Limón, en la unidad móvil del extinto Banco Anglo Costarricense. Al 31 de diciembre de 2006, el juicio se encuentra finalizado y la demanda se declara con lugar, salvo que se encuentra a la espera de que se ejecute la sentencia para definir el monto a reintegrar</w:t>
      </w:r>
      <w:r w:rsidR="00155AA1">
        <w:rPr>
          <w:lang w:val="es-CR"/>
        </w:rPr>
        <w:t>.</w:t>
      </w:r>
    </w:p>
    <w:p w:rsidR="00BC62B7" w:rsidRDefault="00BC62B7" w:rsidP="00B90D59">
      <w:pPr>
        <w:jc w:val="both"/>
        <w:rPr>
          <w:lang w:val="es-CR"/>
        </w:rPr>
      </w:pPr>
    </w:p>
    <w:p w:rsidR="00BC62B7" w:rsidRPr="002811C4" w:rsidRDefault="00155AA1" w:rsidP="001C1F03">
      <w:pPr>
        <w:numPr>
          <w:ilvl w:val="0"/>
          <w:numId w:val="20"/>
        </w:numPr>
        <w:jc w:val="both"/>
        <w:rPr>
          <w:lang w:val="es-CR"/>
        </w:rPr>
      </w:pPr>
      <w:r>
        <w:rPr>
          <w:lang w:val="es-CR"/>
        </w:rPr>
        <w:t>E</w:t>
      </w:r>
      <w:r w:rsidR="00BC62B7">
        <w:rPr>
          <w:lang w:val="es-CR"/>
        </w:rPr>
        <w:t xml:space="preserve">xisten cinco demandas contra el Banco por incumplimiento contractual de créditos </w:t>
      </w:r>
      <w:r w:rsidR="00AF3C52">
        <w:rPr>
          <w:lang w:val="es-CR"/>
        </w:rPr>
        <w:t xml:space="preserve"> </w:t>
      </w:r>
      <w:r w:rsidR="00BC62B7">
        <w:rPr>
          <w:lang w:val="es-CR"/>
        </w:rPr>
        <w:t>otorgados p</w:t>
      </w:r>
      <w:r w:rsidR="00465B87">
        <w:rPr>
          <w:lang w:val="es-CR"/>
        </w:rPr>
        <w:t xml:space="preserve">or el </w:t>
      </w:r>
      <w:r w:rsidR="00465B87" w:rsidRPr="002811C4">
        <w:rPr>
          <w:lang w:val="es-CR"/>
        </w:rPr>
        <w:t xml:space="preserve">Banco Anglo Costarricense. </w:t>
      </w:r>
      <w:r w:rsidR="00BC62B7" w:rsidRPr="002811C4">
        <w:rPr>
          <w:lang w:val="es-CR"/>
        </w:rPr>
        <w:t>Estas demandas interpuestas mediante los expedientes número 05-679-163-CA</w:t>
      </w:r>
      <w:r w:rsidR="009A7370" w:rsidRPr="002811C4">
        <w:rPr>
          <w:lang w:val="es-CR"/>
        </w:rPr>
        <w:t xml:space="preserve"> por $10.168.997,35</w:t>
      </w:r>
      <w:r w:rsidR="00BC62B7" w:rsidRPr="002811C4">
        <w:rPr>
          <w:lang w:val="es-CR"/>
        </w:rPr>
        <w:t>, 95-00080-179-CA</w:t>
      </w:r>
      <w:r w:rsidR="009A7370" w:rsidRPr="002811C4">
        <w:rPr>
          <w:lang w:val="es-CR"/>
        </w:rPr>
        <w:t xml:space="preserve"> por $1.000.000,00</w:t>
      </w:r>
      <w:r w:rsidR="00BC62B7" w:rsidRPr="002811C4">
        <w:rPr>
          <w:lang w:val="es-CR"/>
        </w:rPr>
        <w:t>, 97-001425-164-AG-2</w:t>
      </w:r>
      <w:r w:rsidR="009A7370" w:rsidRPr="002811C4">
        <w:rPr>
          <w:lang w:val="es-CR"/>
        </w:rPr>
        <w:t xml:space="preserve"> por ¢100.000.000,00</w:t>
      </w:r>
      <w:r w:rsidR="00BC62B7" w:rsidRPr="002811C4">
        <w:rPr>
          <w:lang w:val="es-CR"/>
        </w:rPr>
        <w:t xml:space="preserve">, </w:t>
      </w:r>
      <w:r w:rsidR="009A7370" w:rsidRPr="002811C4">
        <w:rPr>
          <w:lang w:val="es-CR"/>
        </w:rPr>
        <w:t xml:space="preserve">y dos con cuantía inestimable: </w:t>
      </w:r>
      <w:r w:rsidR="00BC62B7" w:rsidRPr="002811C4">
        <w:rPr>
          <w:lang w:val="es-CR"/>
        </w:rPr>
        <w:t>97-000172-163-CA</w:t>
      </w:r>
      <w:r w:rsidR="009A7370" w:rsidRPr="002811C4">
        <w:rPr>
          <w:lang w:val="es-CR"/>
        </w:rPr>
        <w:t xml:space="preserve">, 95-100550-218-AG que </w:t>
      </w:r>
      <w:r w:rsidR="00BC62B7" w:rsidRPr="002811C4">
        <w:rPr>
          <w:lang w:val="es-CR"/>
        </w:rPr>
        <w:t>a la fecha se encuentran en proceso de resolución.</w:t>
      </w:r>
    </w:p>
    <w:p w:rsidR="00BC62B7" w:rsidRDefault="00BC62B7" w:rsidP="00B90D59">
      <w:pPr>
        <w:jc w:val="both"/>
        <w:rPr>
          <w:lang w:val="es-CR"/>
        </w:rPr>
      </w:pPr>
    </w:p>
    <w:p w:rsidR="00BC62B7" w:rsidRDefault="007B01F3" w:rsidP="001C1F03">
      <w:pPr>
        <w:numPr>
          <w:ilvl w:val="0"/>
          <w:numId w:val="20"/>
        </w:numPr>
        <w:jc w:val="both"/>
        <w:rPr>
          <w:lang w:val="es-CR"/>
        </w:rPr>
      </w:pPr>
      <w:r>
        <w:rPr>
          <w:lang w:val="es-CR"/>
        </w:rPr>
        <w:t>En el Juzgado Contencioso A</w:t>
      </w:r>
      <w:r w:rsidR="00BC62B7">
        <w:rPr>
          <w:lang w:val="es-CR"/>
        </w:rPr>
        <w:t xml:space="preserve">dministrativo, mediante el </w:t>
      </w:r>
      <w:r w:rsidR="00BC62B7" w:rsidRPr="002811C4">
        <w:rPr>
          <w:lang w:val="es-CR"/>
        </w:rPr>
        <w:t>expediente 04-553-163-CA,</w:t>
      </w:r>
      <w:r w:rsidR="00BC62B7">
        <w:rPr>
          <w:lang w:val="es-CR"/>
        </w:rPr>
        <w:t xml:space="preserve"> se presenta una demanda por US$109.957,64 por el pago de reajustes de honorarios profesionales en los rubros de asesoría para la adjudicación, estudio de mercado e inspección de la compra directa por excepción número 20022-175 “Sistema integrado de seguridad electrónica para el Museo de Oro del Banco. </w:t>
      </w:r>
      <w:r w:rsidR="001D08FF">
        <w:rPr>
          <w:lang w:val="es-CR"/>
        </w:rPr>
        <w:t>Declarada sin lugar en primera instancia, ver si actor presenta recurso de apelación.</w:t>
      </w:r>
    </w:p>
    <w:p w:rsidR="00BC62B7" w:rsidRDefault="00BC62B7" w:rsidP="00B90D59">
      <w:pPr>
        <w:jc w:val="both"/>
        <w:rPr>
          <w:lang w:val="es-CR"/>
        </w:rPr>
      </w:pPr>
    </w:p>
    <w:p w:rsidR="00BC62B7" w:rsidRDefault="0042620E" w:rsidP="001C1F03">
      <w:pPr>
        <w:numPr>
          <w:ilvl w:val="0"/>
          <w:numId w:val="20"/>
        </w:numPr>
        <w:jc w:val="both"/>
        <w:rPr>
          <w:lang w:val="es-CR"/>
        </w:rPr>
      </w:pPr>
      <w:r>
        <w:rPr>
          <w:lang w:val="es-CR"/>
        </w:rPr>
        <w:t>En el Juzgado C</w:t>
      </w:r>
      <w:r w:rsidR="007B01F3">
        <w:rPr>
          <w:lang w:val="es-CR"/>
        </w:rPr>
        <w:t>ontencioso A</w:t>
      </w:r>
      <w:r w:rsidR="00BC62B7">
        <w:rPr>
          <w:lang w:val="es-CR"/>
        </w:rPr>
        <w:t>dministrativo, mediante el expediente 04-00012-161-CA, existe una demanda por US$125.000,0 por el resarcimiento de daños y perjuicios causados en relación con la contratación correspondiente a la compra directa por excepción 20022-175. Este juicio se encuentra en proceso de resolución.</w:t>
      </w:r>
    </w:p>
    <w:p w:rsidR="00BC62B7" w:rsidRDefault="00BC62B7" w:rsidP="005C0861">
      <w:pPr>
        <w:jc w:val="both"/>
        <w:rPr>
          <w:lang w:val="es-CR"/>
        </w:rPr>
      </w:pPr>
    </w:p>
    <w:p w:rsidR="00BC62B7" w:rsidRDefault="007B01F3" w:rsidP="001C1F03">
      <w:pPr>
        <w:numPr>
          <w:ilvl w:val="0"/>
          <w:numId w:val="20"/>
        </w:numPr>
        <w:jc w:val="both"/>
        <w:rPr>
          <w:lang w:val="es-CR"/>
        </w:rPr>
      </w:pPr>
      <w:r>
        <w:rPr>
          <w:lang w:val="es-CR"/>
        </w:rPr>
        <w:t>En el Juzgado Contencioso A</w:t>
      </w:r>
      <w:r w:rsidR="00BC62B7">
        <w:rPr>
          <w:lang w:val="es-CR"/>
        </w:rPr>
        <w:t xml:space="preserve">dministrativo, mediante el </w:t>
      </w:r>
      <w:r w:rsidR="00BC62B7" w:rsidRPr="002811C4">
        <w:rPr>
          <w:lang w:val="es-CR"/>
        </w:rPr>
        <w:t>expediente 04-300-163-CA</w:t>
      </w:r>
      <w:r w:rsidR="00BC62B7">
        <w:rPr>
          <w:lang w:val="es-CR"/>
        </w:rPr>
        <w:t xml:space="preserve"> existe una demanda por US$40.000,0 para que el banco reintegre honorarios derivados por la contratación del Sistema de Aire Acondicionado del Edificio de Museos. Este juicio se encuentra en proceso de resolución.</w:t>
      </w:r>
    </w:p>
    <w:p w:rsidR="00BC62B7" w:rsidRDefault="00BC62B7" w:rsidP="00B90D59">
      <w:pPr>
        <w:jc w:val="both"/>
        <w:rPr>
          <w:lang w:val="es-CR"/>
        </w:rPr>
      </w:pPr>
    </w:p>
    <w:p w:rsidR="00BC62B7" w:rsidRPr="002811C4" w:rsidRDefault="007B01F3" w:rsidP="001C1F03">
      <w:pPr>
        <w:numPr>
          <w:ilvl w:val="0"/>
          <w:numId w:val="20"/>
        </w:numPr>
        <w:jc w:val="both"/>
        <w:rPr>
          <w:lang w:val="es-CR"/>
        </w:rPr>
      </w:pPr>
      <w:r>
        <w:rPr>
          <w:lang w:val="es-CR"/>
        </w:rPr>
        <w:lastRenderedPageBreak/>
        <w:t>En el Juzgado Contencioso A</w:t>
      </w:r>
      <w:r w:rsidR="00BC62B7">
        <w:rPr>
          <w:lang w:val="es-CR"/>
        </w:rPr>
        <w:t xml:space="preserve">dministrativo, mediante el </w:t>
      </w:r>
      <w:r w:rsidR="00BC62B7" w:rsidRPr="002811C4">
        <w:rPr>
          <w:lang w:val="es-CR"/>
        </w:rPr>
        <w:t xml:space="preserve">expediente 06-18933-170-CA existe una causa por US$62.250,0 por el cobro de certificados en dólares que el Banco Central declaró prescritos. A la fecha </w:t>
      </w:r>
      <w:r w:rsidR="00A849A5" w:rsidRPr="002811C4">
        <w:rPr>
          <w:lang w:val="es-CR"/>
        </w:rPr>
        <w:t xml:space="preserve">se declara sin lugar en I instancia. Ver si la actora presenta </w:t>
      </w:r>
      <w:r w:rsidR="002811C4" w:rsidRPr="002811C4">
        <w:rPr>
          <w:lang w:val="es-CR"/>
        </w:rPr>
        <w:t>apelación</w:t>
      </w:r>
      <w:r w:rsidR="00A849A5" w:rsidRPr="002811C4">
        <w:rPr>
          <w:lang w:val="es-CR"/>
        </w:rPr>
        <w:t>.</w:t>
      </w:r>
    </w:p>
    <w:p w:rsidR="00BC62B7" w:rsidRPr="002811C4" w:rsidRDefault="00BC62B7" w:rsidP="00B90D59">
      <w:pPr>
        <w:jc w:val="both"/>
        <w:rPr>
          <w:lang w:val="es-CR"/>
        </w:rPr>
      </w:pPr>
    </w:p>
    <w:p w:rsidR="00BC62B7" w:rsidRPr="002811C4" w:rsidRDefault="007B01F3" w:rsidP="001C1F03">
      <w:pPr>
        <w:numPr>
          <w:ilvl w:val="0"/>
          <w:numId w:val="20"/>
        </w:numPr>
        <w:jc w:val="both"/>
        <w:rPr>
          <w:lang w:val="es-CR"/>
        </w:rPr>
      </w:pPr>
      <w:r w:rsidRPr="002811C4">
        <w:rPr>
          <w:lang w:val="es-CR"/>
        </w:rPr>
        <w:t>En el Juzgado Contencioso A</w:t>
      </w:r>
      <w:r w:rsidR="00BC62B7" w:rsidRPr="002811C4">
        <w:rPr>
          <w:lang w:val="es-CR"/>
        </w:rPr>
        <w:t xml:space="preserve">dministrativo, mediante el expediente 04-000883-163-CA existe una demanda por ¢74.459.619,25, por cobro de daños y perjuicios con fundamento en la sentencia Nº 2002-10740, dictada por la Sala Constitucional en el recurso de amparo tramitado dentro del expediente 02-5855-007-CO. Este juicio se encuentra en fase de primera instancia para dictado de sentencia. </w:t>
      </w:r>
    </w:p>
    <w:p w:rsidR="007B01F3" w:rsidRPr="002811C4" w:rsidRDefault="007B01F3" w:rsidP="007B01F3">
      <w:pPr>
        <w:pStyle w:val="Prrafodelista"/>
        <w:rPr>
          <w:lang w:val="es-CR"/>
        </w:rPr>
      </w:pPr>
    </w:p>
    <w:p w:rsidR="007B01F3" w:rsidRPr="002811C4" w:rsidRDefault="007B01F3" w:rsidP="001C1F03">
      <w:pPr>
        <w:numPr>
          <w:ilvl w:val="0"/>
          <w:numId w:val="20"/>
        </w:numPr>
        <w:jc w:val="both"/>
        <w:rPr>
          <w:lang w:val="es-CR"/>
        </w:rPr>
      </w:pPr>
      <w:r w:rsidRPr="002811C4">
        <w:rPr>
          <w:lang w:val="es-CR"/>
        </w:rPr>
        <w:t xml:space="preserve">En el Juzgado Segundo Civil de Mayor Cuantía de San José, mediante el expediente 99-0018651-181-CI, se interpuso tercería excluyente de dominio </w:t>
      </w:r>
      <w:r w:rsidR="00ED3927" w:rsidRPr="002811C4">
        <w:rPr>
          <w:lang w:val="es-CR"/>
        </w:rPr>
        <w:t xml:space="preserve">por ¢75.795.200,00, </w:t>
      </w:r>
      <w:r w:rsidRPr="002811C4">
        <w:rPr>
          <w:lang w:val="es-CR"/>
        </w:rPr>
        <w:t>por haberse practicado el embargo de CAT con orden de suspensión de entrega de parte del Ministerio de Comercio Exterior y por estimar que se contravinieron resoluciones de la Sala Constitucional que han avalado la no entrega en casos similares.</w:t>
      </w:r>
    </w:p>
    <w:p w:rsidR="007B01F3" w:rsidRDefault="007B01F3" w:rsidP="007B01F3">
      <w:pPr>
        <w:pStyle w:val="Prrafodelista"/>
        <w:rPr>
          <w:lang w:val="es-CR"/>
        </w:rPr>
      </w:pPr>
    </w:p>
    <w:p w:rsidR="007B01F3" w:rsidRPr="002811C4" w:rsidRDefault="007B01F3" w:rsidP="001C1F03">
      <w:pPr>
        <w:numPr>
          <w:ilvl w:val="0"/>
          <w:numId w:val="20"/>
        </w:numPr>
        <w:jc w:val="both"/>
        <w:rPr>
          <w:lang w:val="es-CR"/>
        </w:rPr>
      </w:pPr>
      <w:r w:rsidRPr="002811C4">
        <w:rPr>
          <w:lang w:val="es-CR"/>
        </w:rPr>
        <w:t xml:space="preserve">En el Juzgado </w:t>
      </w:r>
      <w:r w:rsidR="003117C9" w:rsidRPr="002811C4">
        <w:rPr>
          <w:lang w:val="es-CR"/>
        </w:rPr>
        <w:t>Contencioso</w:t>
      </w:r>
      <w:r w:rsidRPr="002811C4">
        <w:rPr>
          <w:lang w:val="es-CR"/>
        </w:rPr>
        <w:t xml:space="preserve"> II Circuito Judicial de San José, mediante el expediente 05-922-163-CA</w:t>
      </w:r>
      <w:r w:rsidR="00ED3927" w:rsidRPr="002811C4">
        <w:rPr>
          <w:lang w:val="es-CR"/>
        </w:rPr>
        <w:t xml:space="preserve"> existe una demanda por $294.903,00</w:t>
      </w:r>
      <w:r w:rsidRPr="002811C4">
        <w:rPr>
          <w:lang w:val="es-CR"/>
        </w:rPr>
        <w:t xml:space="preserve">, </w:t>
      </w:r>
      <w:r w:rsidR="00ED3927" w:rsidRPr="002811C4">
        <w:rPr>
          <w:lang w:val="es-CR"/>
        </w:rPr>
        <w:t>por nulidad de resolución de Gerencia del BCCR que le denegó CATS. Este juicio se encuentra en fase de primera instancia, para evacuación de pruebas.</w:t>
      </w:r>
    </w:p>
    <w:p w:rsidR="00A40E9B" w:rsidRPr="002811C4" w:rsidRDefault="00A40E9B" w:rsidP="00A40E9B">
      <w:pPr>
        <w:pStyle w:val="Prrafodelista"/>
        <w:rPr>
          <w:lang w:val="es-CR"/>
        </w:rPr>
      </w:pPr>
    </w:p>
    <w:p w:rsidR="00BC62B7" w:rsidRDefault="00A40E9B" w:rsidP="001C1F03">
      <w:pPr>
        <w:numPr>
          <w:ilvl w:val="0"/>
          <w:numId w:val="20"/>
        </w:numPr>
        <w:jc w:val="both"/>
        <w:rPr>
          <w:lang w:val="es-CR"/>
        </w:rPr>
      </w:pPr>
      <w:r w:rsidRPr="002811C4">
        <w:rPr>
          <w:lang w:val="es-CR"/>
        </w:rPr>
        <w:t>En el Juzgado Contencioso Anexo A II Circuito Judicial de San José, mediante el expediente 08-2090-1027-CA existe</w:t>
      </w:r>
      <w:r w:rsidRPr="00A40E9B">
        <w:rPr>
          <w:lang w:val="es-CR"/>
        </w:rPr>
        <w:t xml:space="preserve"> una demanda por $5.000.000,00, por responsabilidad en quiebra del Banco </w:t>
      </w:r>
      <w:r w:rsidR="00822171">
        <w:rPr>
          <w:lang w:val="es-CR"/>
        </w:rPr>
        <w:t>ELCA</w:t>
      </w:r>
      <w:r w:rsidRPr="00A40E9B">
        <w:rPr>
          <w:lang w:val="es-CR"/>
        </w:rPr>
        <w:t>.  Este juicio se encuentra en fase de primera instancia, para evacuación de pruebas.</w:t>
      </w:r>
    </w:p>
    <w:p w:rsidR="002944C1" w:rsidRDefault="002944C1" w:rsidP="002944C1">
      <w:pPr>
        <w:pStyle w:val="Prrafodelista"/>
        <w:rPr>
          <w:lang w:val="es-CR"/>
        </w:rPr>
      </w:pPr>
    </w:p>
    <w:p w:rsidR="002944C1" w:rsidRPr="00A40E9B" w:rsidRDefault="002944C1" w:rsidP="002944C1">
      <w:pPr>
        <w:numPr>
          <w:ilvl w:val="0"/>
          <w:numId w:val="20"/>
        </w:numPr>
        <w:jc w:val="both"/>
        <w:rPr>
          <w:lang w:val="es-CR"/>
        </w:rPr>
      </w:pPr>
      <w:r>
        <w:rPr>
          <w:lang w:val="es-CR"/>
        </w:rPr>
        <w:t xml:space="preserve">Mediante oficio DGT-1133-07 del 31 de julio del 2007 y en atención a una consulta del Banco la Dirección General de tributación Directa aclara que dado que el instrumento captación financiera denominado Depósito Electrónico a Plazo (DEP) se le adicionó la característica de </w:t>
      </w:r>
      <w:r w:rsidRPr="00856CCD">
        <w:rPr>
          <w:b/>
          <w:lang w:val="es-CR"/>
        </w:rPr>
        <w:t>transmisible</w:t>
      </w:r>
      <w:r>
        <w:rPr>
          <w:lang w:val="es-CR"/>
        </w:rPr>
        <w:t xml:space="preserve"> se le debe aplicar la tarifa del 8% de renta; la cual rige a partir del acuerdo tomado por Junta Directiva del banco (11-07-2007).  Sin embargo, también indica “Anterior a esa fecha, como se trataba de valores no transmisibles, el porcentaje de retención correspondiente es del 15%.  Se estima en ¢722,0 millones las sumas no retenidas por renta (diferencia del 8% al 15%) a los inversionistas para operaciones que vencieron antes del 11-7-2007.</w:t>
      </w:r>
    </w:p>
    <w:p w:rsidR="002944C1" w:rsidRPr="00A40E9B" w:rsidRDefault="002944C1" w:rsidP="002944C1">
      <w:pPr>
        <w:ind w:left="360"/>
        <w:jc w:val="both"/>
        <w:rPr>
          <w:lang w:val="es-CR"/>
        </w:rPr>
      </w:pPr>
    </w:p>
    <w:p w:rsidR="00BC62B7" w:rsidRDefault="00BC62B7" w:rsidP="00B90D59">
      <w:pPr>
        <w:jc w:val="both"/>
        <w:rPr>
          <w:lang w:val="es-CR"/>
        </w:rPr>
      </w:pPr>
    </w:p>
    <w:p w:rsidR="00BC62B7" w:rsidRDefault="00BC62B7" w:rsidP="00B90D59">
      <w:pPr>
        <w:jc w:val="both"/>
        <w:rPr>
          <w:lang w:val="es-CR"/>
        </w:rPr>
      </w:pPr>
    </w:p>
    <w:p w:rsidR="00BC62B7" w:rsidRDefault="00BC62B7" w:rsidP="00C82E3B">
      <w:pPr>
        <w:jc w:val="both"/>
        <w:rPr>
          <w:lang w:val="es-CR"/>
        </w:rPr>
      </w:pPr>
    </w:p>
    <w:sectPr w:rsidR="00BC62B7" w:rsidSect="00E30883">
      <w:pgSz w:w="12240" w:h="15840" w:code="1"/>
      <w:pgMar w:top="1440" w:right="1797" w:bottom="1440" w:left="179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0AB" w:rsidRDefault="002B60AB">
      <w:r>
        <w:separator/>
      </w:r>
    </w:p>
  </w:endnote>
  <w:endnote w:type="continuationSeparator" w:id="0">
    <w:p w:rsidR="002B60AB" w:rsidRDefault="002B60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0AB" w:rsidRDefault="00082551" w:rsidP="00A30E31">
    <w:pPr>
      <w:pStyle w:val="Piedepgina"/>
      <w:framePr w:wrap="around" w:vAnchor="text" w:hAnchor="margin" w:xAlign="right" w:y="1"/>
      <w:rPr>
        <w:rStyle w:val="Nmerodepgina"/>
      </w:rPr>
    </w:pPr>
    <w:r>
      <w:rPr>
        <w:rStyle w:val="Nmerodepgina"/>
      </w:rPr>
      <w:fldChar w:fldCharType="begin"/>
    </w:r>
    <w:r w:rsidR="002B60AB">
      <w:rPr>
        <w:rStyle w:val="Nmerodepgina"/>
      </w:rPr>
      <w:instrText xml:space="preserve">PAGE  </w:instrText>
    </w:r>
    <w:r>
      <w:rPr>
        <w:rStyle w:val="Nmerodepgina"/>
      </w:rPr>
      <w:fldChar w:fldCharType="end"/>
    </w:r>
  </w:p>
  <w:p w:rsidR="002B60AB" w:rsidRDefault="002B60AB" w:rsidP="003F2478">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0AB" w:rsidRDefault="002B60AB" w:rsidP="00A30E31">
    <w:pPr>
      <w:pStyle w:val="Piedepgina"/>
      <w:framePr w:wrap="around" w:vAnchor="text" w:hAnchor="margin" w:xAlign="right" w:y="1"/>
      <w:rPr>
        <w:rStyle w:val="Nmerodepgina"/>
      </w:rPr>
    </w:pPr>
    <w:proofErr w:type="spellStart"/>
    <w:r>
      <w:rPr>
        <w:rStyle w:val="Nmerodepgina"/>
      </w:rPr>
      <w:t>Página</w:t>
    </w:r>
    <w:proofErr w:type="spellEnd"/>
    <w:r>
      <w:rPr>
        <w:rStyle w:val="Nmerodepgina"/>
      </w:rPr>
      <w:t xml:space="preserve"> </w:t>
    </w:r>
    <w:r w:rsidR="00082551">
      <w:rPr>
        <w:rStyle w:val="Nmerodepgina"/>
      </w:rPr>
      <w:fldChar w:fldCharType="begin"/>
    </w:r>
    <w:r>
      <w:rPr>
        <w:rStyle w:val="Nmerodepgina"/>
      </w:rPr>
      <w:instrText xml:space="preserve">PAGE  </w:instrText>
    </w:r>
    <w:r w:rsidR="00082551">
      <w:rPr>
        <w:rStyle w:val="Nmerodepgina"/>
      </w:rPr>
      <w:fldChar w:fldCharType="separate"/>
    </w:r>
    <w:r w:rsidR="002843EA">
      <w:rPr>
        <w:rStyle w:val="Nmerodepgina"/>
        <w:noProof/>
      </w:rPr>
      <w:t>1</w:t>
    </w:r>
    <w:r w:rsidR="00082551">
      <w:rPr>
        <w:rStyle w:val="Nmerodepgina"/>
      </w:rPr>
      <w:fldChar w:fldCharType="end"/>
    </w:r>
  </w:p>
  <w:p w:rsidR="002B60AB" w:rsidRPr="003F2478" w:rsidRDefault="002B60AB" w:rsidP="003F2478">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0AB" w:rsidRDefault="002B60AB">
      <w:r>
        <w:separator/>
      </w:r>
    </w:p>
  </w:footnote>
  <w:footnote w:type="continuationSeparator" w:id="0">
    <w:p w:rsidR="002B60AB" w:rsidRDefault="002B60AB">
      <w:r>
        <w:continuationSeparator/>
      </w:r>
    </w:p>
  </w:footnote>
  <w:footnote w:id="1">
    <w:p w:rsidR="002B60AB" w:rsidRPr="002F74E3" w:rsidRDefault="002B60AB" w:rsidP="0027778C">
      <w:pPr>
        <w:pStyle w:val="Textonotapie"/>
        <w:rPr>
          <w:lang w:val="es-ES"/>
        </w:rPr>
      </w:pPr>
      <w:r>
        <w:rPr>
          <w:rStyle w:val="Refdenotaalpie"/>
        </w:rPr>
        <w:footnoteRef/>
      </w:r>
      <w:r w:rsidRPr="002F74E3">
        <w:rPr>
          <w:lang w:val="es-ES"/>
        </w:rPr>
        <w:t xml:space="preserve"> </w:t>
      </w:r>
      <w:r>
        <w:rPr>
          <w:lang w:val="es-ES"/>
        </w:rPr>
        <w:t>Los primeros 6 años se deprecian al 15% y el último año (7) al 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0AB" w:rsidRPr="00BA42BA" w:rsidRDefault="002B60AB" w:rsidP="0018672E">
    <w:pPr>
      <w:pStyle w:val="Encabezado"/>
      <w:ind w:firstLine="720"/>
      <w:rPr>
        <w:b/>
        <w:color w:val="000080"/>
        <w:lang w:val="es-ES"/>
      </w:rPr>
    </w:pPr>
    <w:r>
      <w:rPr>
        <w:noProof/>
        <w:lang w:val="es-ES" w:eastAsia="es-ES"/>
      </w:rPr>
      <w:drawing>
        <wp:anchor distT="0" distB="0" distL="114300" distR="114300" simplePos="0" relativeHeight="251660288" behindDoc="0" locked="0" layoutInCell="1" allowOverlap="1">
          <wp:simplePos x="0" y="0"/>
          <wp:positionH relativeFrom="column">
            <wp:posOffset>0</wp:posOffset>
          </wp:positionH>
          <wp:positionV relativeFrom="paragraph">
            <wp:posOffset>7620</wp:posOffset>
          </wp:positionV>
          <wp:extent cx="457200" cy="466725"/>
          <wp:effectExtent l="1905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57200" cy="466725"/>
                  </a:xfrm>
                  <a:prstGeom prst="rect">
                    <a:avLst/>
                  </a:prstGeom>
                  <a:noFill/>
                </pic:spPr>
              </pic:pic>
            </a:graphicData>
          </a:graphic>
        </wp:anchor>
      </w:drawing>
    </w:r>
    <w:r w:rsidRPr="00BA42BA">
      <w:rPr>
        <w:b/>
        <w:color w:val="000080"/>
        <w:lang w:val="es-ES"/>
      </w:rPr>
      <w:t>BANCO CENTRAL DE COSTA RICA</w:t>
    </w:r>
    <w:r w:rsidRPr="00394E75">
      <w:rPr>
        <w:b/>
        <w:noProof/>
        <w:color w:val="000080"/>
        <w:lang w:val="es-ES" w:eastAsia="es-ES"/>
      </w:rPr>
      <w:drawing>
        <wp:anchor distT="0" distB="0" distL="114300" distR="114300" simplePos="0" relativeHeight="251662336" behindDoc="0" locked="0" layoutInCell="1" allowOverlap="1">
          <wp:simplePos x="0" y="0"/>
          <wp:positionH relativeFrom="column">
            <wp:posOffset>5127994</wp:posOffset>
          </wp:positionH>
          <wp:positionV relativeFrom="paragraph">
            <wp:posOffset>-88073</wp:posOffset>
          </wp:positionV>
          <wp:extent cx="356102" cy="531628"/>
          <wp:effectExtent l="19050" t="0" r="7620" b="0"/>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354330" cy="532130"/>
                  </a:xfrm>
                  <a:prstGeom prst="rect">
                    <a:avLst/>
                  </a:prstGeom>
                  <a:noFill/>
                  <a:ln w="9525">
                    <a:noFill/>
                    <a:miter lim="800000"/>
                    <a:headEnd/>
                    <a:tailEnd/>
                  </a:ln>
                </pic:spPr>
              </pic:pic>
            </a:graphicData>
          </a:graphic>
        </wp:anchor>
      </w:drawing>
    </w:r>
  </w:p>
  <w:p w:rsidR="002B60AB" w:rsidRPr="00BA42BA" w:rsidRDefault="002B60AB">
    <w:pPr>
      <w:pStyle w:val="Encabezado"/>
      <w:rPr>
        <w:color w:val="000080"/>
        <w:sz w:val="20"/>
        <w:szCs w:val="20"/>
        <w:lang w:val="es-ES"/>
      </w:rPr>
    </w:pPr>
    <w:r>
      <w:rPr>
        <w:color w:val="000080"/>
        <w:sz w:val="20"/>
        <w:szCs w:val="20"/>
        <w:lang w:val="es-ES"/>
      </w:rPr>
      <w:t xml:space="preserve">               </w:t>
    </w:r>
    <w:r w:rsidRPr="00BA42BA">
      <w:rPr>
        <w:color w:val="000080"/>
        <w:sz w:val="20"/>
        <w:szCs w:val="20"/>
        <w:lang w:val="es-ES"/>
      </w:rPr>
      <w:t xml:space="preserve">DIVISION </w:t>
    </w:r>
    <w:r>
      <w:rPr>
        <w:color w:val="000080"/>
        <w:sz w:val="20"/>
        <w:szCs w:val="20"/>
        <w:lang w:val="es-ES"/>
      </w:rPr>
      <w:t>GESTIÓN Y DESARROLLO</w:t>
    </w:r>
  </w:p>
  <w:p w:rsidR="002B60AB" w:rsidRDefault="002B60AB">
    <w:pPr>
      <w:pStyle w:val="Encabezado"/>
      <w:rPr>
        <w:color w:val="000080"/>
        <w:sz w:val="20"/>
        <w:szCs w:val="20"/>
        <w:lang w:val="es-ES"/>
      </w:rPr>
    </w:pPr>
    <w:r>
      <w:rPr>
        <w:color w:val="000080"/>
        <w:sz w:val="20"/>
        <w:szCs w:val="20"/>
        <w:lang w:val="es-ES"/>
      </w:rPr>
      <w:t xml:space="preserve">               </w:t>
    </w:r>
    <w:r w:rsidRPr="00BA42BA">
      <w:rPr>
        <w:color w:val="000080"/>
        <w:sz w:val="20"/>
        <w:szCs w:val="20"/>
        <w:lang w:val="es-ES"/>
      </w:rPr>
      <w:t>Departamento de Contabilidad</w:t>
    </w:r>
  </w:p>
  <w:p w:rsidR="002B60AB" w:rsidRDefault="002B60AB">
    <w:pPr>
      <w:pStyle w:val="Encabezado"/>
      <w:rPr>
        <w:color w:val="000080"/>
        <w:sz w:val="20"/>
        <w:szCs w:val="20"/>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0F5E"/>
    <w:multiLevelType w:val="multilevel"/>
    <w:tmpl w:val="EA50B9B0"/>
    <w:lvl w:ilvl="0">
      <w:start w:val="1"/>
      <w:numFmt w:val="none"/>
      <w:pStyle w:val="listaa"/>
      <w:lvlText w:val="c."/>
      <w:lvlJc w:val="left"/>
      <w:pPr>
        <w:tabs>
          <w:tab w:val="num" w:pos="360"/>
        </w:tabs>
        <w:ind w:left="360" w:hanging="360"/>
      </w:pPr>
      <w:rPr>
        <w:rFonts w:ascii="Times New Roman" w:hAnsi="Times New Roman" w:cs="Times New Roman" w:hint="default"/>
        <w:b w:val="0"/>
        <w:i w:val="0"/>
        <w:color w:val="000000"/>
        <w:sz w:val="22"/>
        <w:szCs w:val="22"/>
      </w:rPr>
    </w:lvl>
    <w:lvl w:ilvl="1">
      <w:start w:val="2"/>
      <w:numFmt w:val="lowerRoman"/>
      <w:lvlText w:val="%2."/>
      <w:lvlJc w:val="left"/>
      <w:pPr>
        <w:tabs>
          <w:tab w:val="num" w:pos="1478"/>
        </w:tabs>
        <w:ind w:left="1478" w:hanging="720"/>
      </w:pPr>
      <w:rPr>
        <w:rFonts w:cs="Times New Roman" w:hint="default"/>
      </w:rPr>
    </w:lvl>
    <w:lvl w:ilvl="2">
      <w:start w:val="1"/>
      <w:numFmt w:val="lowerRoman"/>
      <w:lvlText w:val="%3."/>
      <w:lvlJc w:val="right"/>
      <w:pPr>
        <w:tabs>
          <w:tab w:val="num" w:pos="1838"/>
        </w:tabs>
        <w:ind w:left="1838" w:hanging="180"/>
      </w:pPr>
      <w:rPr>
        <w:rFonts w:cs="Times New Roman" w:hint="default"/>
      </w:rPr>
    </w:lvl>
    <w:lvl w:ilvl="3">
      <w:start w:val="1"/>
      <w:numFmt w:val="decimal"/>
      <w:lvlText w:val="%4."/>
      <w:lvlJc w:val="left"/>
      <w:pPr>
        <w:tabs>
          <w:tab w:val="num" w:pos="2558"/>
        </w:tabs>
        <w:ind w:left="2558" w:hanging="360"/>
      </w:pPr>
      <w:rPr>
        <w:rFonts w:cs="Times New Roman" w:hint="default"/>
      </w:rPr>
    </w:lvl>
    <w:lvl w:ilvl="4">
      <w:start w:val="1"/>
      <w:numFmt w:val="lowerLetter"/>
      <w:lvlText w:val="%5."/>
      <w:lvlJc w:val="left"/>
      <w:pPr>
        <w:tabs>
          <w:tab w:val="num" w:pos="3278"/>
        </w:tabs>
        <w:ind w:left="3278" w:hanging="360"/>
      </w:pPr>
      <w:rPr>
        <w:rFonts w:cs="Times New Roman" w:hint="default"/>
      </w:rPr>
    </w:lvl>
    <w:lvl w:ilvl="5">
      <w:start w:val="1"/>
      <w:numFmt w:val="lowerRoman"/>
      <w:lvlText w:val="%6."/>
      <w:lvlJc w:val="right"/>
      <w:pPr>
        <w:tabs>
          <w:tab w:val="num" w:pos="3998"/>
        </w:tabs>
        <w:ind w:left="3998" w:hanging="180"/>
      </w:pPr>
      <w:rPr>
        <w:rFonts w:cs="Times New Roman" w:hint="default"/>
      </w:rPr>
    </w:lvl>
    <w:lvl w:ilvl="6">
      <w:start w:val="1"/>
      <w:numFmt w:val="decimal"/>
      <w:lvlText w:val="%7."/>
      <w:lvlJc w:val="left"/>
      <w:pPr>
        <w:tabs>
          <w:tab w:val="num" w:pos="4718"/>
        </w:tabs>
        <w:ind w:left="4718" w:hanging="360"/>
      </w:pPr>
      <w:rPr>
        <w:rFonts w:cs="Times New Roman" w:hint="default"/>
      </w:rPr>
    </w:lvl>
    <w:lvl w:ilvl="7">
      <w:start w:val="1"/>
      <w:numFmt w:val="lowerLetter"/>
      <w:lvlText w:val="%8."/>
      <w:lvlJc w:val="left"/>
      <w:pPr>
        <w:tabs>
          <w:tab w:val="num" w:pos="5438"/>
        </w:tabs>
        <w:ind w:left="5438" w:hanging="360"/>
      </w:pPr>
      <w:rPr>
        <w:rFonts w:cs="Times New Roman" w:hint="default"/>
      </w:rPr>
    </w:lvl>
    <w:lvl w:ilvl="8">
      <w:start w:val="1"/>
      <w:numFmt w:val="lowerRoman"/>
      <w:lvlText w:val="%9."/>
      <w:lvlJc w:val="right"/>
      <w:pPr>
        <w:tabs>
          <w:tab w:val="num" w:pos="6158"/>
        </w:tabs>
        <w:ind w:left="6158" w:hanging="180"/>
      </w:pPr>
      <w:rPr>
        <w:rFonts w:cs="Times New Roman" w:hint="default"/>
      </w:rPr>
    </w:lvl>
  </w:abstractNum>
  <w:abstractNum w:abstractNumId="1">
    <w:nsid w:val="05FE22CF"/>
    <w:multiLevelType w:val="hybridMultilevel"/>
    <w:tmpl w:val="43406E08"/>
    <w:lvl w:ilvl="0" w:tplc="DC1259B2">
      <w:start w:val="1"/>
      <w:numFmt w:val="lowerLetter"/>
      <w:lvlText w:val="%1."/>
      <w:lvlJc w:val="left"/>
      <w:pPr>
        <w:ind w:left="720" w:hanging="360"/>
      </w:pPr>
      <w:rPr>
        <w:rFonts w:ascii="Times New Roman" w:hAnsi="Times New Roman" w:cs="Times New Roman"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0230D"/>
    <w:multiLevelType w:val="hybridMultilevel"/>
    <w:tmpl w:val="8A06AAE4"/>
    <w:lvl w:ilvl="0" w:tplc="3D96298E">
      <w:start w:val="1"/>
      <w:numFmt w:val="lowerRoman"/>
      <w:lvlText w:val="%1."/>
      <w:lvlJc w:val="left"/>
      <w:pPr>
        <w:ind w:left="540" w:hanging="720"/>
      </w:pPr>
      <w:rPr>
        <w:rFonts w:ascii="Times New Roman" w:eastAsia="Times New Roman" w:hAnsi="Times New Roman" w:cs="Times New Roman" w:hint="default"/>
        <w:color w:val="0000FF"/>
        <w:sz w:val="24"/>
        <w:u w:val="single"/>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nsid w:val="080C5FA8"/>
    <w:multiLevelType w:val="hybridMultilevel"/>
    <w:tmpl w:val="16B21FB8"/>
    <w:lvl w:ilvl="0" w:tplc="0C0A0019">
      <w:start w:val="1"/>
      <w:numFmt w:val="lowerLetter"/>
      <w:lvlText w:val="%1."/>
      <w:lvlJc w:val="left"/>
      <w:pPr>
        <w:tabs>
          <w:tab w:val="num" w:pos="1080"/>
        </w:tabs>
        <w:ind w:left="1080" w:hanging="360"/>
      </w:pPr>
      <w:rPr>
        <w:rFonts w:cs="Times New Roman"/>
      </w:rPr>
    </w:lvl>
    <w:lvl w:ilvl="1" w:tplc="140A0019" w:tentative="1">
      <w:start w:val="1"/>
      <w:numFmt w:val="lowerLetter"/>
      <w:lvlText w:val="%2."/>
      <w:lvlJc w:val="left"/>
      <w:pPr>
        <w:tabs>
          <w:tab w:val="num" w:pos="1440"/>
        </w:tabs>
        <w:ind w:left="1440" w:hanging="360"/>
      </w:pPr>
      <w:rPr>
        <w:rFonts w:cs="Times New Roman"/>
      </w:rPr>
    </w:lvl>
    <w:lvl w:ilvl="2" w:tplc="140A001B" w:tentative="1">
      <w:start w:val="1"/>
      <w:numFmt w:val="lowerRoman"/>
      <w:lvlText w:val="%3."/>
      <w:lvlJc w:val="right"/>
      <w:pPr>
        <w:tabs>
          <w:tab w:val="num" w:pos="2160"/>
        </w:tabs>
        <w:ind w:left="2160" w:hanging="180"/>
      </w:pPr>
      <w:rPr>
        <w:rFonts w:cs="Times New Roman"/>
      </w:rPr>
    </w:lvl>
    <w:lvl w:ilvl="3" w:tplc="140A000F" w:tentative="1">
      <w:start w:val="1"/>
      <w:numFmt w:val="decimal"/>
      <w:lvlText w:val="%4."/>
      <w:lvlJc w:val="left"/>
      <w:pPr>
        <w:tabs>
          <w:tab w:val="num" w:pos="2880"/>
        </w:tabs>
        <w:ind w:left="2880" w:hanging="360"/>
      </w:pPr>
      <w:rPr>
        <w:rFonts w:cs="Times New Roman"/>
      </w:rPr>
    </w:lvl>
    <w:lvl w:ilvl="4" w:tplc="140A0019" w:tentative="1">
      <w:start w:val="1"/>
      <w:numFmt w:val="lowerLetter"/>
      <w:lvlText w:val="%5."/>
      <w:lvlJc w:val="left"/>
      <w:pPr>
        <w:tabs>
          <w:tab w:val="num" w:pos="3600"/>
        </w:tabs>
        <w:ind w:left="3600" w:hanging="360"/>
      </w:pPr>
      <w:rPr>
        <w:rFonts w:cs="Times New Roman"/>
      </w:rPr>
    </w:lvl>
    <w:lvl w:ilvl="5" w:tplc="140A001B" w:tentative="1">
      <w:start w:val="1"/>
      <w:numFmt w:val="lowerRoman"/>
      <w:lvlText w:val="%6."/>
      <w:lvlJc w:val="right"/>
      <w:pPr>
        <w:tabs>
          <w:tab w:val="num" w:pos="4320"/>
        </w:tabs>
        <w:ind w:left="4320" w:hanging="180"/>
      </w:pPr>
      <w:rPr>
        <w:rFonts w:cs="Times New Roman"/>
      </w:rPr>
    </w:lvl>
    <w:lvl w:ilvl="6" w:tplc="140A000F" w:tentative="1">
      <w:start w:val="1"/>
      <w:numFmt w:val="decimal"/>
      <w:lvlText w:val="%7."/>
      <w:lvlJc w:val="left"/>
      <w:pPr>
        <w:tabs>
          <w:tab w:val="num" w:pos="5040"/>
        </w:tabs>
        <w:ind w:left="5040" w:hanging="360"/>
      </w:pPr>
      <w:rPr>
        <w:rFonts w:cs="Times New Roman"/>
      </w:rPr>
    </w:lvl>
    <w:lvl w:ilvl="7" w:tplc="140A0019" w:tentative="1">
      <w:start w:val="1"/>
      <w:numFmt w:val="lowerLetter"/>
      <w:lvlText w:val="%8."/>
      <w:lvlJc w:val="left"/>
      <w:pPr>
        <w:tabs>
          <w:tab w:val="num" w:pos="5760"/>
        </w:tabs>
        <w:ind w:left="5760" w:hanging="360"/>
      </w:pPr>
      <w:rPr>
        <w:rFonts w:cs="Times New Roman"/>
      </w:rPr>
    </w:lvl>
    <w:lvl w:ilvl="8" w:tplc="140A001B" w:tentative="1">
      <w:start w:val="1"/>
      <w:numFmt w:val="lowerRoman"/>
      <w:lvlText w:val="%9."/>
      <w:lvlJc w:val="right"/>
      <w:pPr>
        <w:tabs>
          <w:tab w:val="num" w:pos="6480"/>
        </w:tabs>
        <w:ind w:left="6480" w:hanging="180"/>
      </w:pPr>
      <w:rPr>
        <w:rFonts w:cs="Times New Roman"/>
      </w:rPr>
    </w:lvl>
  </w:abstractNum>
  <w:abstractNum w:abstractNumId="4">
    <w:nsid w:val="08A549C8"/>
    <w:multiLevelType w:val="hybridMultilevel"/>
    <w:tmpl w:val="FA18F184"/>
    <w:lvl w:ilvl="0" w:tplc="04090019">
      <w:start w:val="1"/>
      <w:numFmt w:val="lowerLetter"/>
      <w:lvlText w:val="%1."/>
      <w:lvlJc w:val="left"/>
      <w:pPr>
        <w:tabs>
          <w:tab w:val="num" w:pos="1080"/>
        </w:tabs>
        <w:ind w:left="1080" w:hanging="360"/>
      </w:pPr>
    </w:lvl>
    <w:lvl w:ilvl="1" w:tplc="140A0019" w:tentative="1">
      <w:start w:val="1"/>
      <w:numFmt w:val="lowerLetter"/>
      <w:lvlText w:val="%2."/>
      <w:lvlJc w:val="left"/>
      <w:pPr>
        <w:tabs>
          <w:tab w:val="num" w:pos="1440"/>
        </w:tabs>
        <w:ind w:left="1440" w:hanging="360"/>
      </w:pPr>
      <w:rPr>
        <w:rFonts w:cs="Times New Roman"/>
      </w:rPr>
    </w:lvl>
    <w:lvl w:ilvl="2" w:tplc="140A001B" w:tentative="1">
      <w:start w:val="1"/>
      <w:numFmt w:val="lowerRoman"/>
      <w:lvlText w:val="%3."/>
      <w:lvlJc w:val="right"/>
      <w:pPr>
        <w:tabs>
          <w:tab w:val="num" w:pos="2160"/>
        </w:tabs>
        <w:ind w:left="2160" w:hanging="180"/>
      </w:pPr>
      <w:rPr>
        <w:rFonts w:cs="Times New Roman"/>
      </w:rPr>
    </w:lvl>
    <w:lvl w:ilvl="3" w:tplc="140A000F" w:tentative="1">
      <w:start w:val="1"/>
      <w:numFmt w:val="decimal"/>
      <w:lvlText w:val="%4."/>
      <w:lvlJc w:val="left"/>
      <w:pPr>
        <w:tabs>
          <w:tab w:val="num" w:pos="2880"/>
        </w:tabs>
        <w:ind w:left="2880" w:hanging="360"/>
      </w:pPr>
      <w:rPr>
        <w:rFonts w:cs="Times New Roman"/>
      </w:rPr>
    </w:lvl>
    <w:lvl w:ilvl="4" w:tplc="140A0019" w:tentative="1">
      <w:start w:val="1"/>
      <w:numFmt w:val="lowerLetter"/>
      <w:lvlText w:val="%5."/>
      <w:lvlJc w:val="left"/>
      <w:pPr>
        <w:tabs>
          <w:tab w:val="num" w:pos="3600"/>
        </w:tabs>
        <w:ind w:left="3600" w:hanging="360"/>
      </w:pPr>
      <w:rPr>
        <w:rFonts w:cs="Times New Roman"/>
      </w:rPr>
    </w:lvl>
    <w:lvl w:ilvl="5" w:tplc="140A001B" w:tentative="1">
      <w:start w:val="1"/>
      <w:numFmt w:val="lowerRoman"/>
      <w:lvlText w:val="%6."/>
      <w:lvlJc w:val="right"/>
      <w:pPr>
        <w:tabs>
          <w:tab w:val="num" w:pos="4320"/>
        </w:tabs>
        <w:ind w:left="4320" w:hanging="180"/>
      </w:pPr>
      <w:rPr>
        <w:rFonts w:cs="Times New Roman"/>
      </w:rPr>
    </w:lvl>
    <w:lvl w:ilvl="6" w:tplc="140A000F" w:tentative="1">
      <w:start w:val="1"/>
      <w:numFmt w:val="decimal"/>
      <w:lvlText w:val="%7."/>
      <w:lvlJc w:val="left"/>
      <w:pPr>
        <w:tabs>
          <w:tab w:val="num" w:pos="5040"/>
        </w:tabs>
        <w:ind w:left="5040" w:hanging="360"/>
      </w:pPr>
      <w:rPr>
        <w:rFonts w:cs="Times New Roman"/>
      </w:rPr>
    </w:lvl>
    <w:lvl w:ilvl="7" w:tplc="140A0019" w:tentative="1">
      <w:start w:val="1"/>
      <w:numFmt w:val="lowerLetter"/>
      <w:lvlText w:val="%8."/>
      <w:lvlJc w:val="left"/>
      <w:pPr>
        <w:tabs>
          <w:tab w:val="num" w:pos="5760"/>
        </w:tabs>
        <w:ind w:left="5760" w:hanging="360"/>
      </w:pPr>
      <w:rPr>
        <w:rFonts w:cs="Times New Roman"/>
      </w:rPr>
    </w:lvl>
    <w:lvl w:ilvl="8" w:tplc="140A001B" w:tentative="1">
      <w:start w:val="1"/>
      <w:numFmt w:val="lowerRoman"/>
      <w:lvlText w:val="%9."/>
      <w:lvlJc w:val="right"/>
      <w:pPr>
        <w:tabs>
          <w:tab w:val="num" w:pos="6480"/>
        </w:tabs>
        <w:ind w:left="6480" w:hanging="180"/>
      </w:pPr>
      <w:rPr>
        <w:rFonts w:cs="Times New Roman"/>
      </w:rPr>
    </w:lvl>
  </w:abstractNum>
  <w:abstractNum w:abstractNumId="5">
    <w:nsid w:val="0ED22FBF"/>
    <w:multiLevelType w:val="multilevel"/>
    <w:tmpl w:val="B1546FF8"/>
    <w:lvl w:ilvl="0">
      <w:start w:val="1"/>
      <w:numFmt w:val="lowerLetter"/>
      <w:lvlText w:val="%1."/>
      <w:lvlJc w:val="left"/>
      <w:pPr>
        <w:tabs>
          <w:tab w:val="num" w:pos="360"/>
        </w:tabs>
        <w:ind w:left="360" w:hanging="360"/>
      </w:pPr>
      <w:rPr>
        <w:rFonts w:ascii="Times New Roman" w:hAnsi="Times New Roman" w:cs="Times New Roman" w:hint="default"/>
        <w:b w:val="0"/>
        <w:i w:val="0"/>
        <w:color w:val="000000"/>
        <w:sz w:val="22"/>
        <w:szCs w:val="22"/>
      </w:rPr>
    </w:lvl>
    <w:lvl w:ilvl="1">
      <w:start w:val="2"/>
      <w:numFmt w:val="lowerRoman"/>
      <w:lvlText w:val="%2."/>
      <w:lvlJc w:val="left"/>
      <w:pPr>
        <w:tabs>
          <w:tab w:val="num" w:pos="1478"/>
        </w:tabs>
        <w:ind w:left="1478" w:hanging="720"/>
      </w:pPr>
      <w:rPr>
        <w:rFonts w:cs="Times New Roman" w:hint="default"/>
      </w:rPr>
    </w:lvl>
    <w:lvl w:ilvl="2">
      <w:start w:val="1"/>
      <w:numFmt w:val="lowerRoman"/>
      <w:lvlText w:val="%3."/>
      <w:lvlJc w:val="right"/>
      <w:pPr>
        <w:tabs>
          <w:tab w:val="num" w:pos="1838"/>
        </w:tabs>
        <w:ind w:left="1838" w:hanging="180"/>
      </w:pPr>
      <w:rPr>
        <w:rFonts w:cs="Times New Roman" w:hint="default"/>
      </w:rPr>
    </w:lvl>
    <w:lvl w:ilvl="3">
      <w:start w:val="1"/>
      <w:numFmt w:val="decimal"/>
      <w:lvlText w:val="%4."/>
      <w:lvlJc w:val="left"/>
      <w:pPr>
        <w:tabs>
          <w:tab w:val="num" w:pos="2558"/>
        </w:tabs>
        <w:ind w:left="2558" w:hanging="360"/>
      </w:pPr>
      <w:rPr>
        <w:rFonts w:cs="Times New Roman" w:hint="default"/>
      </w:rPr>
    </w:lvl>
    <w:lvl w:ilvl="4">
      <w:start w:val="1"/>
      <w:numFmt w:val="lowerLetter"/>
      <w:lvlText w:val="%5."/>
      <w:lvlJc w:val="left"/>
      <w:pPr>
        <w:tabs>
          <w:tab w:val="num" w:pos="3278"/>
        </w:tabs>
        <w:ind w:left="3278" w:hanging="360"/>
      </w:pPr>
      <w:rPr>
        <w:rFonts w:cs="Times New Roman" w:hint="default"/>
      </w:rPr>
    </w:lvl>
    <w:lvl w:ilvl="5">
      <w:start w:val="1"/>
      <w:numFmt w:val="lowerRoman"/>
      <w:lvlText w:val="%6."/>
      <w:lvlJc w:val="right"/>
      <w:pPr>
        <w:tabs>
          <w:tab w:val="num" w:pos="3998"/>
        </w:tabs>
        <w:ind w:left="3998" w:hanging="180"/>
      </w:pPr>
      <w:rPr>
        <w:rFonts w:cs="Times New Roman" w:hint="default"/>
      </w:rPr>
    </w:lvl>
    <w:lvl w:ilvl="6">
      <w:start w:val="1"/>
      <w:numFmt w:val="decimal"/>
      <w:lvlText w:val="%7."/>
      <w:lvlJc w:val="left"/>
      <w:pPr>
        <w:tabs>
          <w:tab w:val="num" w:pos="4718"/>
        </w:tabs>
        <w:ind w:left="4718" w:hanging="360"/>
      </w:pPr>
      <w:rPr>
        <w:rFonts w:cs="Times New Roman" w:hint="default"/>
      </w:rPr>
    </w:lvl>
    <w:lvl w:ilvl="7">
      <w:start w:val="1"/>
      <w:numFmt w:val="lowerLetter"/>
      <w:lvlText w:val="%8."/>
      <w:lvlJc w:val="left"/>
      <w:pPr>
        <w:tabs>
          <w:tab w:val="num" w:pos="5438"/>
        </w:tabs>
        <w:ind w:left="5438" w:hanging="360"/>
      </w:pPr>
      <w:rPr>
        <w:rFonts w:cs="Times New Roman" w:hint="default"/>
      </w:rPr>
    </w:lvl>
    <w:lvl w:ilvl="8">
      <w:start w:val="1"/>
      <w:numFmt w:val="lowerRoman"/>
      <w:lvlText w:val="%9."/>
      <w:lvlJc w:val="right"/>
      <w:pPr>
        <w:tabs>
          <w:tab w:val="num" w:pos="6158"/>
        </w:tabs>
        <w:ind w:left="6158" w:hanging="180"/>
      </w:pPr>
      <w:rPr>
        <w:rFonts w:cs="Times New Roman" w:hint="default"/>
      </w:rPr>
    </w:lvl>
  </w:abstractNum>
  <w:abstractNum w:abstractNumId="6">
    <w:nsid w:val="0FAB4741"/>
    <w:multiLevelType w:val="multilevel"/>
    <w:tmpl w:val="83DC1C1C"/>
    <w:lvl w:ilvl="0">
      <w:start w:val="1"/>
      <w:numFmt w:val="lowerLetter"/>
      <w:lvlText w:val="%1."/>
      <w:lvlJc w:val="left"/>
      <w:pPr>
        <w:tabs>
          <w:tab w:val="num" w:pos="360"/>
        </w:tabs>
        <w:ind w:left="360" w:hanging="360"/>
      </w:pPr>
      <w:rPr>
        <w:rFonts w:ascii="Times New Roman" w:hAnsi="Times New Roman" w:cs="Times New Roman" w:hint="default"/>
        <w:b w:val="0"/>
        <w:i w:val="0"/>
        <w:color w:val="000000"/>
        <w:sz w:val="22"/>
        <w:szCs w:val="22"/>
      </w:rPr>
    </w:lvl>
    <w:lvl w:ilvl="1">
      <w:start w:val="2"/>
      <w:numFmt w:val="lowerRoman"/>
      <w:lvlText w:val="%2."/>
      <w:lvlJc w:val="left"/>
      <w:pPr>
        <w:tabs>
          <w:tab w:val="num" w:pos="1478"/>
        </w:tabs>
        <w:ind w:left="1478" w:hanging="720"/>
      </w:pPr>
      <w:rPr>
        <w:rFonts w:cs="Times New Roman" w:hint="default"/>
      </w:rPr>
    </w:lvl>
    <w:lvl w:ilvl="2">
      <w:start w:val="1"/>
      <w:numFmt w:val="lowerRoman"/>
      <w:lvlText w:val="%3."/>
      <w:lvlJc w:val="right"/>
      <w:pPr>
        <w:tabs>
          <w:tab w:val="num" w:pos="1838"/>
        </w:tabs>
        <w:ind w:left="1838" w:hanging="180"/>
      </w:pPr>
      <w:rPr>
        <w:rFonts w:cs="Times New Roman" w:hint="default"/>
      </w:rPr>
    </w:lvl>
    <w:lvl w:ilvl="3">
      <w:start w:val="1"/>
      <w:numFmt w:val="decimal"/>
      <w:lvlText w:val="%4."/>
      <w:lvlJc w:val="left"/>
      <w:pPr>
        <w:tabs>
          <w:tab w:val="num" w:pos="2558"/>
        </w:tabs>
        <w:ind w:left="2558" w:hanging="360"/>
      </w:pPr>
      <w:rPr>
        <w:rFonts w:cs="Times New Roman" w:hint="default"/>
      </w:rPr>
    </w:lvl>
    <w:lvl w:ilvl="4">
      <w:start w:val="1"/>
      <w:numFmt w:val="lowerLetter"/>
      <w:lvlText w:val="%5."/>
      <w:lvlJc w:val="left"/>
      <w:pPr>
        <w:tabs>
          <w:tab w:val="num" w:pos="3278"/>
        </w:tabs>
        <w:ind w:left="3278" w:hanging="360"/>
      </w:pPr>
      <w:rPr>
        <w:rFonts w:cs="Times New Roman" w:hint="default"/>
      </w:rPr>
    </w:lvl>
    <w:lvl w:ilvl="5">
      <w:start w:val="1"/>
      <w:numFmt w:val="lowerRoman"/>
      <w:lvlText w:val="%6."/>
      <w:lvlJc w:val="right"/>
      <w:pPr>
        <w:tabs>
          <w:tab w:val="num" w:pos="3998"/>
        </w:tabs>
        <w:ind w:left="3998" w:hanging="180"/>
      </w:pPr>
      <w:rPr>
        <w:rFonts w:cs="Times New Roman" w:hint="default"/>
      </w:rPr>
    </w:lvl>
    <w:lvl w:ilvl="6">
      <w:start w:val="1"/>
      <w:numFmt w:val="decimal"/>
      <w:lvlText w:val="%7."/>
      <w:lvlJc w:val="left"/>
      <w:pPr>
        <w:tabs>
          <w:tab w:val="num" w:pos="4718"/>
        </w:tabs>
        <w:ind w:left="4718" w:hanging="360"/>
      </w:pPr>
      <w:rPr>
        <w:rFonts w:cs="Times New Roman" w:hint="default"/>
      </w:rPr>
    </w:lvl>
    <w:lvl w:ilvl="7">
      <w:start w:val="1"/>
      <w:numFmt w:val="lowerLetter"/>
      <w:lvlText w:val="%8."/>
      <w:lvlJc w:val="left"/>
      <w:pPr>
        <w:tabs>
          <w:tab w:val="num" w:pos="5438"/>
        </w:tabs>
        <w:ind w:left="5438" w:hanging="360"/>
      </w:pPr>
      <w:rPr>
        <w:rFonts w:cs="Times New Roman" w:hint="default"/>
      </w:rPr>
    </w:lvl>
    <w:lvl w:ilvl="8">
      <w:start w:val="1"/>
      <w:numFmt w:val="lowerRoman"/>
      <w:lvlText w:val="%9."/>
      <w:lvlJc w:val="right"/>
      <w:pPr>
        <w:tabs>
          <w:tab w:val="num" w:pos="6158"/>
        </w:tabs>
        <w:ind w:left="6158" w:hanging="180"/>
      </w:pPr>
      <w:rPr>
        <w:rFonts w:cs="Times New Roman" w:hint="default"/>
      </w:rPr>
    </w:lvl>
  </w:abstractNum>
  <w:abstractNum w:abstractNumId="7">
    <w:nsid w:val="160C6D57"/>
    <w:multiLevelType w:val="multilevel"/>
    <w:tmpl w:val="7BDE8596"/>
    <w:lvl w:ilvl="0">
      <w:start w:val="1"/>
      <w:numFmt w:val="lowerLetter"/>
      <w:lvlText w:val="%1."/>
      <w:lvlJc w:val="left"/>
      <w:pPr>
        <w:tabs>
          <w:tab w:val="num" w:pos="360"/>
        </w:tabs>
        <w:ind w:left="360" w:hanging="360"/>
      </w:pPr>
      <w:rPr>
        <w:rFonts w:ascii="Times New Roman" w:hAnsi="Times New Roman" w:cs="Times New Roman" w:hint="default"/>
        <w:b w:val="0"/>
        <w:i w:val="0"/>
        <w:color w:val="000000"/>
        <w:sz w:val="22"/>
        <w:szCs w:val="22"/>
      </w:rPr>
    </w:lvl>
    <w:lvl w:ilvl="1">
      <w:start w:val="2"/>
      <w:numFmt w:val="lowerRoman"/>
      <w:lvlText w:val="%2."/>
      <w:lvlJc w:val="left"/>
      <w:pPr>
        <w:tabs>
          <w:tab w:val="num" w:pos="1478"/>
        </w:tabs>
        <w:ind w:left="1478" w:hanging="720"/>
      </w:pPr>
      <w:rPr>
        <w:rFonts w:cs="Times New Roman" w:hint="default"/>
      </w:rPr>
    </w:lvl>
    <w:lvl w:ilvl="2">
      <w:start w:val="1"/>
      <w:numFmt w:val="lowerRoman"/>
      <w:lvlText w:val="%3."/>
      <w:lvlJc w:val="right"/>
      <w:pPr>
        <w:tabs>
          <w:tab w:val="num" w:pos="1838"/>
        </w:tabs>
        <w:ind w:left="1838" w:hanging="180"/>
      </w:pPr>
      <w:rPr>
        <w:rFonts w:cs="Times New Roman" w:hint="default"/>
      </w:rPr>
    </w:lvl>
    <w:lvl w:ilvl="3">
      <w:start w:val="1"/>
      <w:numFmt w:val="decimal"/>
      <w:lvlText w:val="%4."/>
      <w:lvlJc w:val="left"/>
      <w:pPr>
        <w:tabs>
          <w:tab w:val="num" w:pos="2558"/>
        </w:tabs>
        <w:ind w:left="2558" w:hanging="360"/>
      </w:pPr>
      <w:rPr>
        <w:rFonts w:cs="Times New Roman" w:hint="default"/>
      </w:rPr>
    </w:lvl>
    <w:lvl w:ilvl="4">
      <w:start w:val="1"/>
      <w:numFmt w:val="lowerLetter"/>
      <w:lvlText w:val="%5."/>
      <w:lvlJc w:val="left"/>
      <w:pPr>
        <w:tabs>
          <w:tab w:val="num" w:pos="3278"/>
        </w:tabs>
        <w:ind w:left="3278" w:hanging="360"/>
      </w:pPr>
      <w:rPr>
        <w:rFonts w:cs="Times New Roman" w:hint="default"/>
      </w:rPr>
    </w:lvl>
    <w:lvl w:ilvl="5">
      <w:start w:val="1"/>
      <w:numFmt w:val="lowerRoman"/>
      <w:lvlText w:val="%6."/>
      <w:lvlJc w:val="right"/>
      <w:pPr>
        <w:tabs>
          <w:tab w:val="num" w:pos="3998"/>
        </w:tabs>
        <w:ind w:left="3998" w:hanging="180"/>
      </w:pPr>
      <w:rPr>
        <w:rFonts w:cs="Times New Roman" w:hint="default"/>
      </w:rPr>
    </w:lvl>
    <w:lvl w:ilvl="6">
      <w:start w:val="1"/>
      <w:numFmt w:val="decimal"/>
      <w:lvlText w:val="%7."/>
      <w:lvlJc w:val="left"/>
      <w:pPr>
        <w:tabs>
          <w:tab w:val="num" w:pos="4718"/>
        </w:tabs>
        <w:ind w:left="4718" w:hanging="360"/>
      </w:pPr>
      <w:rPr>
        <w:rFonts w:cs="Times New Roman" w:hint="default"/>
      </w:rPr>
    </w:lvl>
    <w:lvl w:ilvl="7">
      <w:start w:val="1"/>
      <w:numFmt w:val="lowerLetter"/>
      <w:lvlText w:val="%8."/>
      <w:lvlJc w:val="left"/>
      <w:pPr>
        <w:tabs>
          <w:tab w:val="num" w:pos="5438"/>
        </w:tabs>
        <w:ind w:left="5438" w:hanging="360"/>
      </w:pPr>
      <w:rPr>
        <w:rFonts w:cs="Times New Roman" w:hint="default"/>
      </w:rPr>
    </w:lvl>
    <w:lvl w:ilvl="8">
      <w:start w:val="1"/>
      <w:numFmt w:val="lowerRoman"/>
      <w:lvlText w:val="%9."/>
      <w:lvlJc w:val="right"/>
      <w:pPr>
        <w:tabs>
          <w:tab w:val="num" w:pos="6158"/>
        </w:tabs>
        <w:ind w:left="6158" w:hanging="180"/>
      </w:pPr>
      <w:rPr>
        <w:rFonts w:cs="Times New Roman" w:hint="default"/>
      </w:rPr>
    </w:lvl>
  </w:abstractNum>
  <w:abstractNum w:abstractNumId="8">
    <w:nsid w:val="1665485E"/>
    <w:multiLevelType w:val="hybridMultilevel"/>
    <w:tmpl w:val="FC7A8FFA"/>
    <w:lvl w:ilvl="0" w:tplc="D3CAA608">
      <w:start w:val="1"/>
      <w:numFmt w:val="lowerRoman"/>
      <w:lvlText w:val="%1."/>
      <w:lvlJc w:val="left"/>
      <w:pPr>
        <w:ind w:left="540" w:hanging="720"/>
      </w:pPr>
      <w:rPr>
        <w:rFonts w:ascii="Times New Roman" w:eastAsia="Times New Roman" w:hAnsi="Times New Roman" w:cs="Times New Roman" w:hint="default"/>
        <w:color w:val="0000FF"/>
        <w:sz w:val="24"/>
        <w:u w:val="single"/>
      </w:rPr>
    </w:lvl>
    <w:lvl w:ilvl="1" w:tplc="0C0A0019" w:tentative="1">
      <w:start w:val="1"/>
      <w:numFmt w:val="lowerLetter"/>
      <w:lvlText w:val="%2."/>
      <w:lvlJc w:val="left"/>
      <w:pPr>
        <w:ind w:left="900" w:hanging="360"/>
      </w:pPr>
    </w:lvl>
    <w:lvl w:ilvl="2" w:tplc="0C0A001B" w:tentative="1">
      <w:start w:val="1"/>
      <w:numFmt w:val="lowerRoman"/>
      <w:lvlText w:val="%3."/>
      <w:lvlJc w:val="right"/>
      <w:pPr>
        <w:ind w:left="1620" w:hanging="180"/>
      </w:pPr>
    </w:lvl>
    <w:lvl w:ilvl="3" w:tplc="0C0A000F" w:tentative="1">
      <w:start w:val="1"/>
      <w:numFmt w:val="decimal"/>
      <w:lvlText w:val="%4."/>
      <w:lvlJc w:val="left"/>
      <w:pPr>
        <w:ind w:left="2340" w:hanging="360"/>
      </w:pPr>
    </w:lvl>
    <w:lvl w:ilvl="4" w:tplc="0C0A0019" w:tentative="1">
      <w:start w:val="1"/>
      <w:numFmt w:val="lowerLetter"/>
      <w:lvlText w:val="%5."/>
      <w:lvlJc w:val="left"/>
      <w:pPr>
        <w:ind w:left="3060" w:hanging="360"/>
      </w:pPr>
    </w:lvl>
    <w:lvl w:ilvl="5" w:tplc="0C0A001B" w:tentative="1">
      <w:start w:val="1"/>
      <w:numFmt w:val="lowerRoman"/>
      <w:lvlText w:val="%6."/>
      <w:lvlJc w:val="right"/>
      <w:pPr>
        <w:ind w:left="3780" w:hanging="180"/>
      </w:pPr>
    </w:lvl>
    <w:lvl w:ilvl="6" w:tplc="0C0A000F" w:tentative="1">
      <w:start w:val="1"/>
      <w:numFmt w:val="decimal"/>
      <w:lvlText w:val="%7."/>
      <w:lvlJc w:val="left"/>
      <w:pPr>
        <w:ind w:left="4500" w:hanging="360"/>
      </w:pPr>
    </w:lvl>
    <w:lvl w:ilvl="7" w:tplc="0C0A0019" w:tentative="1">
      <w:start w:val="1"/>
      <w:numFmt w:val="lowerLetter"/>
      <w:lvlText w:val="%8."/>
      <w:lvlJc w:val="left"/>
      <w:pPr>
        <w:ind w:left="5220" w:hanging="360"/>
      </w:pPr>
    </w:lvl>
    <w:lvl w:ilvl="8" w:tplc="0C0A001B" w:tentative="1">
      <w:start w:val="1"/>
      <w:numFmt w:val="lowerRoman"/>
      <w:lvlText w:val="%9."/>
      <w:lvlJc w:val="right"/>
      <w:pPr>
        <w:ind w:left="5940" w:hanging="180"/>
      </w:pPr>
    </w:lvl>
  </w:abstractNum>
  <w:abstractNum w:abstractNumId="9">
    <w:nsid w:val="16DA6BE4"/>
    <w:multiLevelType w:val="hybridMultilevel"/>
    <w:tmpl w:val="C0BECA02"/>
    <w:lvl w:ilvl="0" w:tplc="0409000F">
      <w:start w:val="1"/>
      <w:numFmt w:val="decimal"/>
      <w:lvlText w:val="%1."/>
      <w:lvlJc w:val="left"/>
      <w:pPr>
        <w:tabs>
          <w:tab w:val="num" w:pos="360"/>
        </w:tabs>
        <w:ind w:left="360" w:hanging="360"/>
      </w:pPr>
      <w:rPr>
        <w:rFonts w:cs="Times New Roman"/>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nsid w:val="17AF59A0"/>
    <w:multiLevelType w:val="hybridMultilevel"/>
    <w:tmpl w:val="3DCC3196"/>
    <w:lvl w:ilvl="0" w:tplc="04090019">
      <w:start w:val="1"/>
      <w:numFmt w:val="lowerLetter"/>
      <w:lvlText w:val="%1."/>
      <w:lvlJc w:val="left"/>
      <w:pPr>
        <w:tabs>
          <w:tab w:val="num" w:pos="900"/>
        </w:tabs>
        <w:ind w:left="900" w:hanging="360"/>
      </w:pPr>
      <w:rPr>
        <w:rFonts w:cs="Times New Roman"/>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1">
    <w:nsid w:val="182621C7"/>
    <w:multiLevelType w:val="multilevel"/>
    <w:tmpl w:val="1486DF72"/>
    <w:lvl w:ilvl="0">
      <w:start w:val="1"/>
      <w:numFmt w:val="lowerLetter"/>
      <w:lvlText w:val="%1."/>
      <w:lvlJc w:val="left"/>
      <w:pPr>
        <w:tabs>
          <w:tab w:val="num" w:pos="360"/>
        </w:tabs>
        <w:ind w:left="360" w:hanging="360"/>
      </w:pPr>
      <w:rPr>
        <w:rFonts w:ascii="Times New Roman" w:hAnsi="Times New Roman" w:cs="Times New Roman" w:hint="default"/>
        <w:b w:val="0"/>
        <w:i w:val="0"/>
        <w:color w:val="000000"/>
        <w:sz w:val="22"/>
        <w:szCs w:val="22"/>
      </w:rPr>
    </w:lvl>
    <w:lvl w:ilvl="1">
      <w:start w:val="2"/>
      <w:numFmt w:val="lowerRoman"/>
      <w:lvlText w:val="%2."/>
      <w:lvlJc w:val="left"/>
      <w:pPr>
        <w:tabs>
          <w:tab w:val="num" w:pos="1478"/>
        </w:tabs>
        <w:ind w:left="1478" w:hanging="720"/>
      </w:pPr>
      <w:rPr>
        <w:rFonts w:cs="Times New Roman" w:hint="default"/>
      </w:rPr>
    </w:lvl>
    <w:lvl w:ilvl="2">
      <w:start w:val="1"/>
      <w:numFmt w:val="lowerRoman"/>
      <w:lvlText w:val="%3."/>
      <w:lvlJc w:val="right"/>
      <w:pPr>
        <w:tabs>
          <w:tab w:val="num" w:pos="1838"/>
        </w:tabs>
        <w:ind w:left="1838" w:hanging="180"/>
      </w:pPr>
      <w:rPr>
        <w:rFonts w:cs="Times New Roman" w:hint="default"/>
      </w:rPr>
    </w:lvl>
    <w:lvl w:ilvl="3">
      <w:start w:val="1"/>
      <w:numFmt w:val="decimal"/>
      <w:lvlText w:val="%4."/>
      <w:lvlJc w:val="left"/>
      <w:pPr>
        <w:tabs>
          <w:tab w:val="num" w:pos="2558"/>
        </w:tabs>
        <w:ind w:left="2558" w:hanging="360"/>
      </w:pPr>
      <w:rPr>
        <w:rFonts w:cs="Times New Roman" w:hint="default"/>
      </w:rPr>
    </w:lvl>
    <w:lvl w:ilvl="4">
      <w:start w:val="1"/>
      <w:numFmt w:val="lowerLetter"/>
      <w:lvlText w:val="%5."/>
      <w:lvlJc w:val="left"/>
      <w:pPr>
        <w:tabs>
          <w:tab w:val="num" w:pos="3278"/>
        </w:tabs>
        <w:ind w:left="3278" w:hanging="360"/>
      </w:pPr>
      <w:rPr>
        <w:rFonts w:cs="Times New Roman" w:hint="default"/>
      </w:rPr>
    </w:lvl>
    <w:lvl w:ilvl="5">
      <w:start w:val="1"/>
      <w:numFmt w:val="lowerRoman"/>
      <w:lvlText w:val="%6."/>
      <w:lvlJc w:val="right"/>
      <w:pPr>
        <w:tabs>
          <w:tab w:val="num" w:pos="3998"/>
        </w:tabs>
        <w:ind w:left="3998" w:hanging="180"/>
      </w:pPr>
      <w:rPr>
        <w:rFonts w:cs="Times New Roman" w:hint="default"/>
      </w:rPr>
    </w:lvl>
    <w:lvl w:ilvl="6">
      <w:start w:val="1"/>
      <w:numFmt w:val="decimal"/>
      <w:lvlText w:val="%7."/>
      <w:lvlJc w:val="left"/>
      <w:pPr>
        <w:tabs>
          <w:tab w:val="num" w:pos="4718"/>
        </w:tabs>
        <w:ind w:left="4718" w:hanging="360"/>
      </w:pPr>
      <w:rPr>
        <w:rFonts w:cs="Times New Roman" w:hint="default"/>
      </w:rPr>
    </w:lvl>
    <w:lvl w:ilvl="7">
      <w:start w:val="1"/>
      <w:numFmt w:val="lowerLetter"/>
      <w:lvlText w:val="%8."/>
      <w:lvlJc w:val="left"/>
      <w:pPr>
        <w:tabs>
          <w:tab w:val="num" w:pos="5438"/>
        </w:tabs>
        <w:ind w:left="5438" w:hanging="360"/>
      </w:pPr>
      <w:rPr>
        <w:rFonts w:cs="Times New Roman" w:hint="default"/>
      </w:rPr>
    </w:lvl>
    <w:lvl w:ilvl="8">
      <w:start w:val="1"/>
      <w:numFmt w:val="lowerRoman"/>
      <w:lvlText w:val="%9."/>
      <w:lvlJc w:val="right"/>
      <w:pPr>
        <w:tabs>
          <w:tab w:val="num" w:pos="6158"/>
        </w:tabs>
        <w:ind w:left="6158" w:hanging="180"/>
      </w:pPr>
      <w:rPr>
        <w:rFonts w:cs="Times New Roman" w:hint="default"/>
      </w:rPr>
    </w:lvl>
  </w:abstractNum>
  <w:abstractNum w:abstractNumId="12">
    <w:nsid w:val="18885F67"/>
    <w:multiLevelType w:val="hybridMultilevel"/>
    <w:tmpl w:val="F7CE20E0"/>
    <w:lvl w:ilvl="0" w:tplc="6032D0AC">
      <w:start w:val="1"/>
      <w:numFmt w:val="lowerRoman"/>
      <w:lvlText w:val="%1."/>
      <w:lvlJc w:val="left"/>
      <w:pPr>
        <w:ind w:left="540" w:hanging="720"/>
      </w:pPr>
      <w:rPr>
        <w:rFonts w:ascii="Times New Roman" w:eastAsia="Times New Roman" w:hAnsi="Times New Roman" w:cs="Times New Roman" w:hint="default"/>
        <w:color w:val="0000FF"/>
        <w:sz w:val="24"/>
        <w:u w:val="single"/>
      </w:rPr>
    </w:lvl>
    <w:lvl w:ilvl="1" w:tplc="0C0A0019" w:tentative="1">
      <w:start w:val="1"/>
      <w:numFmt w:val="lowerLetter"/>
      <w:lvlText w:val="%2."/>
      <w:lvlJc w:val="left"/>
      <w:pPr>
        <w:ind w:left="900" w:hanging="360"/>
      </w:pPr>
    </w:lvl>
    <w:lvl w:ilvl="2" w:tplc="0C0A001B" w:tentative="1">
      <w:start w:val="1"/>
      <w:numFmt w:val="lowerRoman"/>
      <w:lvlText w:val="%3."/>
      <w:lvlJc w:val="right"/>
      <w:pPr>
        <w:ind w:left="1620" w:hanging="180"/>
      </w:pPr>
    </w:lvl>
    <w:lvl w:ilvl="3" w:tplc="0C0A000F" w:tentative="1">
      <w:start w:val="1"/>
      <w:numFmt w:val="decimal"/>
      <w:lvlText w:val="%4."/>
      <w:lvlJc w:val="left"/>
      <w:pPr>
        <w:ind w:left="2340" w:hanging="360"/>
      </w:pPr>
    </w:lvl>
    <w:lvl w:ilvl="4" w:tplc="0C0A0019" w:tentative="1">
      <w:start w:val="1"/>
      <w:numFmt w:val="lowerLetter"/>
      <w:lvlText w:val="%5."/>
      <w:lvlJc w:val="left"/>
      <w:pPr>
        <w:ind w:left="3060" w:hanging="360"/>
      </w:pPr>
    </w:lvl>
    <w:lvl w:ilvl="5" w:tplc="0C0A001B" w:tentative="1">
      <w:start w:val="1"/>
      <w:numFmt w:val="lowerRoman"/>
      <w:lvlText w:val="%6."/>
      <w:lvlJc w:val="right"/>
      <w:pPr>
        <w:ind w:left="3780" w:hanging="180"/>
      </w:pPr>
    </w:lvl>
    <w:lvl w:ilvl="6" w:tplc="0C0A000F" w:tentative="1">
      <w:start w:val="1"/>
      <w:numFmt w:val="decimal"/>
      <w:lvlText w:val="%7."/>
      <w:lvlJc w:val="left"/>
      <w:pPr>
        <w:ind w:left="4500" w:hanging="360"/>
      </w:pPr>
    </w:lvl>
    <w:lvl w:ilvl="7" w:tplc="0C0A0019" w:tentative="1">
      <w:start w:val="1"/>
      <w:numFmt w:val="lowerLetter"/>
      <w:lvlText w:val="%8."/>
      <w:lvlJc w:val="left"/>
      <w:pPr>
        <w:ind w:left="5220" w:hanging="360"/>
      </w:pPr>
    </w:lvl>
    <w:lvl w:ilvl="8" w:tplc="0C0A001B" w:tentative="1">
      <w:start w:val="1"/>
      <w:numFmt w:val="lowerRoman"/>
      <w:lvlText w:val="%9."/>
      <w:lvlJc w:val="right"/>
      <w:pPr>
        <w:ind w:left="5940" w:hanging="180"/>
      </w:pPr>
    </w:lvl>
  </w:abstractNum>
  <w:abstractNum w:abstractNumId="13">
    <w:nsid w:val="19FD3118"/>
    <w:multiLevelType w:val="hybridMultilevel"/>
    <w:tmpl w:val="D9B8F3EC"/>
    <w:lvl w:ilvl="0" w:tplc="0409000F">
      <w:start w:val="1"/>
      <w:numFmt w:val="decimal"/>
      <w:lvlText w:val="%1."/>
      <w:lvlJc w:val="left"/>
      <w:pPr>
        <w:tabs>
          <w:tab w:val="num" w:pos="720"/>
        </w:tabs>
        <w:ind w:left="720" w:hanging="360"/>
      </w:pPr>
      <w:rPr>
        <w:rFonts w:cs="Times New Roman"/>
      </w:rPr>
    </w:lvl>
    <w:lvl w:ilvl="1" w:tplc="063EDFE4">
      <w:start w:val="1"/>
      <w:numFmt w:val="upperRoman"/>
      <w:lvlText w:val="%2."/>
      <w:lvlJc w:val="right"/>
      <w:pPr>
        <w:tabs>
          <w:tab w:val="num" w:pos="1250"/>
        </w:tabs>
        <w:ind w:left="1250" w:hanging="170"/>
      </w:pPr>
      <w:rPr>
        <w:rFonts w:cs="Times New Roman" w:hint="default"/>
      </w:rPr>
    </w:lvl>
    <w:lvl w:ilvl="2" w:tplc="824E5944">
      <w:start w:val="1"/>
      <w:numFmt w:val="lowerRoman"/>
      <w:lvlText w:val="%3."/>
      <w:lvlJc w:val="right"/>
      <w:pPr>
        <w:tabs>
          <w:tab w:val="num" w:pos="880"/>
        </w:tabs>
        <w:ind w:left="880" w:hanging="17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1AD227B3"/>
    <w:multiLevelType w:val="hybridMultilevel"/>
    <w:tmpl w:val="5D7E1CF4"/>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1AEF781D"/>
    <w:multiLevelType w:val="hybridMultilevel"/>
    <w:tmpl w:val="6CEE6CF8"/>
    <w:lvl w:ilvl="0" w:tplc="C636A98C">
      <w:start w:val="1"/>
      <w:numFmt w:val="lowerLetter"/>
      <w:lvlText w:val="%1."/>
      <w:lvlJc w:val="left"/>
      <w:pPr>
        <w:tabs>
          <w:tab w:val="num" w:pos="360"/>
        </w:tabs>
        <w:ind w:left="360" w:hanging="360"/>
      </w:pPr>
      <w:rPr>
        <w:rFonts w:cs="Times New Roman" w:hint="default"/>
        <w:b w:val="0"/>
        <w:i w:val="0"/>
        <w:color w:val="auto"/>
        <w:sz w:val="22"/>
        <w:szCs w:val="22"/>
      </w:rPr>
    </w:lvl>
    <w:lvl w:ilvl="1" w:tplc="4CB89902">
      <w:start w:val="2"/>
      <w:numFmt w:val="lowerRoman"/>
      <w:lvlText w:val="%2."/>
      <w:lvlJc w:val="left"/>
      <w:pPr>
        <w:tabs>
          <w:tab w:val="num" w:pos="1478"/>
        </w:tabs>
        <w:ind w:left="1478" w:hanging="720"/>
      </w:pPr>
      <w:rPr>
        <w:rFonts w:cs="Times New Roman" w:hint="default"/>
      </w:rPr>
    </w:lvl>
    <w:lvl w:ilvl="2" w:tplc="0409001B" w:tentative="1">
      <w:start w:val="1"/>
      <w:numFmt w:val="lowerRoman"/>
      <w:lvlText w:val="%3."/>
      <w:lvlJc w:val="right"/>
      <w:pPr>
        <w:tabs>
          <w:tab w:val="num" w:pos="1838"/>
        </w:tabs>
        <w:ind w:left="1838" w:hanging="180"/>
      </w:pPr>
      <w:rPr>
        <w:rFonts w:cs="Times New Roman"/>
      </w:rPr>
    </w:lvl>
    <w:lvl w:ilvl="3" w:tplc="0409000F" w:tentative="1">
      <w:start w:val="1"/>
      <w:numFmt w:val="decimal"/>
      <w:lvlText w:val="%4."/>
      <w:lvlJc w:val="left"/>
      <w:pPr>
        <w:tabs>
          <w:tab w:val="num" w:pos="2558"/>
        </w:tabs>
        <w:ind w:left="2558" w:hanging="360"/>
      </w:pPr>
      <w:rPr>
        <w:rFonts w:cs="Times New Roman"/>
      </w:rPr>
    </w:lvl>
    <w:lvl w:ilvl="4" w:tplc="04090019" w:tentative="1">
      <w:start w:val="1"/>
      <w:numFmt w:val="lowerLetter"/>
      <w:lvlText w:val="%5."/>
      <w:lvlJc w:val="left"/>
      <w:pPr>
        <w:tabs>
          <w:tab w:val="num" w:pos="3278"/>
        </w:tabs>
        <w:ind w:left="3278" w:hanging="360"/>
      </w:pPr>
      <w:rPr>
        <w:rFonts w:cs="Times New Roman"/>
      </w:rPr>
    </w:lvl>
    <w:lvl w:ilvl="5" w:tplc="0409001B" w:tentative="1">
      <w:start w:val="1"/>
      <w:numFmt w:val="lowerRoman"/>
      <w:lvlText w:val="%6."/>
      <w:lvlJc w:val="right"/>
      <w:pPr>
        <w:tabs>
          <w:tab w:val="num" w:pos="3998"/>
        </w:tabs>
        <w:ind w:left="3998" w:hanging="180"/>
      </w:pPr>
      <w:rPr>
        <w:rFonts w:cs="Times New Roman"/>
      </w:rPr>
    </w:lvl>
    <w:lvl w:ilvl="6" w:tplc="0409000F" w:tentative="1">
      <w:start w:val="1"/>
      <w:numFmt w:val="decimal"/>
      <w:lvlText w:val="%7."/>
      <w:lvlJc w:val="left"/>
      <w:pPr>
        <w:tabs>
          <w:tab w:val="num" w:pos="4718"/>
        </w:tabs>
        <w:ind w:left="4718" w:hanging="360"/>
      </w:pPr>
      <w:rPr>
        <w:rFonts w:cs="Times New Roman"/>
      </w:rPr>
    </w:lvl>
    <w:lvl w:ilvl="7" w:tplc="04090019">
      <w:start w:val="1"/>
      <w:numFmt w:val="lowerLetter"/>
      <w:lvlText w:val="%8."/>
      <w:lvlJc w:val="left"/>
      <w:pPr>
        <w:tabs>
          <w:tab w:val="num" w:pos="5438"/>
        </w:tabs>
        <w:ind w:left="5438" w:hanging="360"/>
      </w:pPr>
      <w:rPr>
        <w:rFonts w:cs="Times New Roman"/>
      </w:rPr>
    </w:lvl>
    <w:lvl w:ilvl="8" w:tplc="0409001B" w:tentative="1">
      <w:start w:val="1"/>
      <w:numFmt w:val="lowerRoman"/>
      <w:lvlText w:val="%9."/>
      <w:lvlJc w:val="right"/>
      <w:pPr>
        <w:tabs>
          <w:tab w:val="num" w:pos="6158"/>
        </w:tabs>
        <w:ind w:left="6158" w:hanging="180"/>
      </w:pPr>
      <w:rPr>
        <w:rFonts w:cs="Times New Roman"/>
      </w:rPr>
    </w:lvl>
  </w:abstractNum>
  <w:abstractNum w:abstractNumId="16">
    <w:nsid w:val="1B2927F1"/>
    <w:multiLevelType w:val="hybridMultilevel"/>
    <w:tmpl w:val="FA261F62"/>
    <w:lvl w:ilvl="0" w:tplc="0C0A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1C7E3A28"/>
    <w:multiLevelType w:val="hybridMultilevel"/>
    <w:tmpl w:val="9AC038BE"/>
    <w:lvl w:ilvl="0" w:tplc="0C0A0019">
      <w:start w:val="1"/>
      <w:numFmt w:val="lowerLetter"/>
      <w:lvlText w:val="%1."/>
      <w:lvlJc w:val="left"/>
      <w:pPr>
        <w:tabs>
          <w:tab w:val="num" w:pos="1080"/>
        </w:tabs>
        <w:ind w:left="1080" w:hanging="360"/>
      </w:pPr>
      <w:rPr>
        <w:rFonts w:cs="Times New Roman"/>
      </w:rPr>
    </w:lvl>
    <w:lvl w:ilvl="1" w:tplc="140A0019" w:tentative="1">
      <w:start w:val="1"/>
      <w:numFmt w:val="lowerLetter"/>
      <w:lvlText w:val="%2."/>
      <w:lvlJc w:val="left"/>
      <w:pPr>
        <w:tabs>
          <w:tab w:val="num" w:pos="1440"/>
        </w:tabs>
        <w:ind w:left="1440" w:hanging="360"/>
      </w:pPr>
      <w:rPr>
        <w:rFonts w:cs="Times New Roman"/>
      </w:rPr>
    </w:lvl>
    <w:lvl w:ilvl="2" w:tplc="140A001B" w:tentative="1">
      <w:start w:val="1"/>
      <w:numFmt w:val="lowerRoman"/>
      <w:lvlText w:val="%3."/>
      <w:lvlJc w:val="right"/>
      <w:pPr>
        <w:tabs>
          <w:tab w:val="num" w:pos="2160"/>
        </w:tabs>
        <w:ind w:left="2160" w:hanging="180"/>
      </w:pPr>
      <w:rPr>
        <w:rFonts w:cs="Times New Roman"/>
      </w:rPr>
    </w:lvl>
    <w:lvl w:ilvl="3" w:tplc="140A000F" w:tentative="1">
      <w:start w:val="1"/>
      <w:numFmt w:val="decimal"/>
      <w:lvlText w:val="%4."/>
      <w:lvlJc w:val="left"/>
      <w:pPr>
        <w:tabs>
          <w:tab w:val="num" w:pos="2880"/>
        </w:tabs>
        <w:ind w:left="2880" w:hanging="360"/>
      </w:pPr>
      <w:rPr>
        <w:rFonts w:cs="Times New Roman"/>
      </w:rPr>
    </w:lvl>
    <w:lvl w:ilvl="4" w:tplc="140A0019" w:tentative="1">
      <w:start w:val="1"/>
      <w:numFmt w:val="lowerLetter"/>
      <w:lvlText w:val="%5."/>
      <w:lvlJc w:val="left"/>
      <w:pPr>
        <w:tabs>
          <w:tab w:val="num" w:pos="3600"/>
        </w:tabs>
        <w:ind w:left="3600" w:hanging="360"/>
      </w:pPr>
      <w:rPr>
        <w:rFonts w:cs="Times New Roman"/>
      </w:rPr>
    </w:lvl>
    <w:lvl w:ilvl="5" w:tplc="140A001B" w:tentative="1">
      <w:start w:val="1"/>
      <w:numFmt w:val="lowerRoman"/>
      <w:lvlText w:val="%6."/>
      <w:lvlJc w:val="right"/>
      <w:pPr>
        <w:tabs>
          <w:tab w:val="num" w:pos="4320"/>
        </w:tabs>
        <w:ind w:left="4320" w:hanging="180"/>
      </w:pPr>
      <w:rPr>
        <w:rFonts w:cs="Times New Roman"/>
      </w:rPr>
    </w:lvl>
    <w:lvl w:ilvl="6" w:tplc="140A000F" w:tentative="1">
      <w:start w:val="1"/>
      <w:numFmt w:val="decimal"/>
      <w:lvlText w:val="%7."/>
      <w:lvlJc w:val="left"/>
      <w:pPr>
        <w:tabs>
          <w:tab w:val="num" w:pos="5040"/>
        </w:tabs>
        <w:ind w:left="5040" w:hanging="360"/>
      </w:pPr>
      <w:rPr>
        <w:rFonts w:cs="Times New Roman"/>
      </w:rPr>
    </w:lvl>
    <w:lvl w:ilvl="7" w:tplc="140A0019" w:tentative="1">
      <w:start w:val="1"/>
      <w:numFmt w:val="lowerLetter"/>
      <w:lvlText w:val="%8."/>
      <w:lvlJc w:val="left"/>
      <w:pPr>
        <w:tabs>
          <w:tab w:val="num" w:pos="5760"/>
        </w:tabs>
        <w:ind w:left="5760" w:hanging="360"/>
      </w:pPr>
      <w:rPr>
        <w:rFonts w:cs="Times New Roman"/>
      </w:rPr>
    </w:lvl>
    <w:lvl w:ilvl="8" w:tplc="140A001B" w:tentative="1">
      <w:start w:val="1"/>
      <w:numFmt w:val="lowerRoman"/>
      <w:lvlText w:val="%9."/>
      <w:lvlJc w:val="right"/>
      <w:pPr>
        <w:tabs>
          <w:tab w:val="num" w:pos="6480"/>
        </w:tabs>
        <w:ind w:left="6480" w:hanging="180"/>
      </w:pPr>
      <w:rPr>
        <w:rFonts w:cs="Times New Roman"/>
      </w:rPr>
    </w:lvl>
  </w:abstractNum>
  <w:abstractNum w:abstractNumId="18">
    <w:nsid w:val="218A6522"/>
    <w:multiLevelType w:val="multilevel"/>
    <w:tmpl w:val="E1D2BFC4"/>
    <w:lvl w:ilvl="0">
      <w:start w:val="1"/>
      <w:numFmt w:val="lowerLetter"/>
      <w:lvlText w:val="%1."/>
      <w:lvlJc w:val="left"/>
      <w:pPr>
        <w:tabs>
          <w:tab w:val="num" w:pos="360"/>
        </w:tabs>
        <w:ind w:left="360" w:hanging="360"/>
      </w:pPr>
      <w:rPr>
        <w:rFonts w:ascii="Times New Roman" w:hAnsi="Times New Roman" w:cs="Times New Roman" w:hint="default"/>
        <w:b w:val="0"/>
        <w:i w:val="0"/>
        <w:color w:val="000000"/>
        <w:sz w:val="22"/>
        <w:szCs w:val="22"/>
      </w:rPr>
    </w:lvl>
    <w:lvl w:ilvl="1">
      <w:start w:val="2"/>
      <w:numFmt w:val="lowerRoman"/>
      <w:lvlText w:val="%2."/>
      <w:lvlJc w:val="left"/>
      <w:pPr>
        <w:tabs>
          <w:tab w:val="num" w:pos="1478"/>
        </w:tabs>
        <w:ind w:left="1478" w:hanging="720"/>
      </w:pPr>
      <w:rPr>
        <w:rFonts w:cs="Times New Roman" w:hint="default"/>
      </w:rPr>
    </w:lvl>
    <w:lvl w:ilvl="2">
      <w:start w:val="1"/>
      <w:numFmt w:val="lowerRoman"/>
      <w:lvlText w:val="%3."/>
      <w:lvlJc w:val="right"/>
      <w:pPr>
        <w:tabs>
          <w:tab w:val="num" w:pos="1838"/>
        </w:tabs>
        <w:ind w:left="1838" w:hanging="180"/>
      </w:pPr>
      <w:rPr>
        <w:rFonts w:cs="Times New Roman" w:hint="default"/>
      </w:rPr>
    </w:lvl>
    <w:lvl w:ilvl="3">
      <w:start w:val="1"/>
      <w:numFmt w:val="decimal"/>
      <w:lvlText w:val="%4."/>
      <w:lvlJc w:val="left"/>
      <w:pPr>
        <w:tabs>
          <w:tab w:val="num" w:pos="2558"/>
        </w:tabs>
        <w:ind w:left="2558" w:hanging="360"/>
      </w:pPr>
      <w:rPr>
        <w:rFonts w:cs="Times New Roman" w:hint="default"/>
      </w:rPr>
    </w:lvl>
    <w:lvl w:ilvl="4">
      <w:start w:val="1"/>
      <w:numFmt w:val="lowerLetter"/>
      <w:lvlText w:val="%5."/>
      <w:lvlJc w:val="left"/>
      <w:pPr>
        <w:tabs>
          <w:tab w:val="num" w:pos="3278"/>
        </w:tabs>
        <w:ind w:left="3278" w:hanging="360"/>
      </w:pPr>
      <w:rPr>
        <w:rFonts w:cs="Times New Roman" w:hint="default"/>
      </w:rPr>
    </w:lvl>
    <w:lvl w:ilvl="5">
      <w:start w:val="1"/>
      <w:numFmt w:val="lowerRoman"/>
      <w:lvlText w:val="%6."/>
      <w:lvlJc w:val="right"/>
      <w:pPr>
        <w:tabs>
          <w:tab w:val="num" w:pos="3998"/>
        </w:tabs>
        <w:ind w:left="3998" w:hanging="180"/>
      </w:pPr>
      <w:rPr>
        <w:rFonts w:cs="Times New Roman" w:hint="default"/>
      </w:rPr>
    </w:lvl>
    <w:lvl w:ilvl="6">
      <w:start w:val="1"/>
      <w:numFmt w:val="decimal"/>
      <w:lvlText w:val="%7."/>
      <w:lvlJc w:val="left"/>
      <w:pPr>
        <w:tabs>
          <w:tab w:val="num" w:pos="4718"/>
        </w:tabs>
        <w:ind w:left="4718" w:hanging="360"/>
      </w:pPr>
      <w:rPr>
        <w:rFonts w:cs="Times New Roman" w:hint="default"/>
      </w:rPr>
    </w:lvl>
    <w:lvl w:ilvl="7">
      <w:start w:val="1"/>
      <w:numFmt w:val="lowerLetter"/>
      <w:lvlText w:val="%8."/>
      <w:lvlJc w:val="left"/>
      <w:pPr>
        <w:tabs>
          <w:tab w:val="num" w:pos="5438"/>
        </w:tabs>
        <w:ind w:left="5438" w:hanging="360"/>
      </w:pPr>
      <w:rPr>
        <w:rFonts w:cs="Times New Roman" w:hint="default"/>
      </w:rPr>
    </w:lvl>
    <w:lvl w:ilvl="8">
      <w:start w:val="1"/>
      <w:numFmt w:val="lowerRoman"/>
      <w:lvlText w:val="%9."/>
      <w:lvlJc w:val="right"/>
      <w:pPr>
        <w:tabs>
          <w:tab w:val="num" w:pos="6158"/>
        </w:tabs>
        <w:ind w:left="6158" w:hanging="180"/>
      </w:pPr>
      <w:rPr>
        <w:rFonts w:cs="Times New Roman" w:hint="default"/>
      </w:rPr>
    </w:lvl>
  </w:abstractNum>
  <w:abstractNum w:abstractNumId="19">
    <w:nsid w:val="229A2932"/>
    <w:multiLevelType w:val="multilevel"/>
    <w:tmpl w:val="E54C42F6"/>
    <w:lvl w:ilvl="0">
      <w:start w:val="1"/>
      <w:numFmt w:val="lowerLetter"/>
      <w:lvlText w:val="%1."/>
      <w:lvlJc w:val="left"/>
      <w:pPr>
        <w:tabs>
          <w:tab w:val="num" w:pos="360"/>
        </w:tabs>
        <w:ind w:left="360" w:hanging="360"/>
      </w:pPr>
      <w:rPr>
        <w:rFonts w:ascii="Times New Roman" w:hAnsi="Times New Roman" w:cs="Times New Roman" w:hint="default"/>
        <w:b w:val="0"/>
        <w:i w:val="0"/>
        <w:color w:val="000000"/>
        <w:sz w:val="22"/>
        <w:szCs w:val="22"/>
      </w:rPr>
    </w:lvl>
    <w:lvl w:ilvl="1">
      <w:start w:val="2"/>
      <w:numFmt w:val="lowerRoman"/>
      <w:lvlText w:val="%2."/>
      <w:lvlJc w:val="left"/>
      <w:pPr>
        <w:tabs>
          <w:tab w:val="num" w:pos="1478"/>
        </w:tabs>
        <w:ind w:left="1478" w:hanging="720"/>
      </w:pPr>
      <w:rPr>
        <w:rFonts w:cs="Times New Roman" w:hint="default"/>
      </w:rPr>
    </w:lvl>
    <w:lvl w:ilvl="2">
      <w:start w:val="1"/>
      <w:numFmt w:val="lowerRoman"/>
      <w:lvlText w:val="%3."/>
      <w:lvlJc w:val="right"/>
      <w:pPr>
        <w:tabs>
          <w:tab w:val="num" w:pos="1838"/>
        </w:tabs>
        <w:ind w:left="1838" w:hanging="180"/>
      </w:pPr>
      <w:rPr>
        <w:rFonts w:cs="Times New Roman" w:hint="default"/>
      </w:rPr>
    </w:lvl>
    <w:lvl w:ilvl="3">
      <w:start w:val="1"/>
      <w:numFmt w:val="decimal"/>
      <w:lvlText w:val="%4."/>
      <w:lvlJc w:val="left"/>
      <w:pPr>
        <w:tabs>
          <w:tab w:val="num" w:pos="2558"/>
        </w:tabs>
        <w:ind w:left="2558" w:hanging="360"/>
      </w:pPr>
      <w:rPr>
        <w:rFonts w:cs="Times New Roman" w:hint="default"/>
      </w:rPr>
    </w:lvl>
    <w:lvl w:ilvl="4">
      <w:start w:val="1"/>
      <w:numFmt w:val="lowerLetter"/>
      <w:lvlText w:val="%5."/>
      <w:lvlJc w:val="left"/>
      <w:pPr>
        <w:tabs>
          <w:tab w:val="num" w:pos="3278"/>
        </w:tabs>
        <w:ind w:left="3278" w:hanging="360"/>
      </w:pPr>
      <w:rPr>
        <w:rFonts w:cs="Times New Roman" w:hint="default"/>
      </w:rPr>
    </w:lvl>
    <w:lvl w:ilvl="5">
      <w:start w:val="1"/>
      <w:numFmt w:val="lowerRoman"/>
      <w:lvlText w:val="%6."/>
      <w:lvlJc w:val="right"/>
      <w:pPr>
        <w:tabs>
          <w:tab w:val="num" w:pos="3998"/>
        </w:tabs>
        <w:ind w:left="3998" w:hanging="180"/>
      </w:pPr>
      <w:rPr>
        <w:rFonts w:cs="Times New Roman" w:hint="default"/>
      </w:rPr>
    </w:lvl>
    <w:lvl w:ilvl="6">
      <w:start w:val="1"/>
      <w:numFmt w:val="decimal"/>
      <w:lvlText w:val="%7."/>
      <w:lvlJc w:val="left"/>
      <w:pPr>
        <w:tabs>
          <w:tab w:val="num" w:pos="4718"/>
        </w:tabs>
        <w:ind w:left="4718" w:hanging="360"/>
      </w:pPr>
      <w:rPr>
        <w:rFonts w:cs="Times New Roman" w:hint="default"/>
      </w:rPr>
    </w:lvl>
    <w:lvl w:ilvl="7">
      <w:start w:val="1"/>
      <w:numFmt w:val="lowerLetter"/>
      <w:lvlText w:val="%8."/>
      <w:lvlJc w:val="left"/>
      <w:pPr>
        <w:tabs>
          <w:tab w:val="num" w:pos="5438"/>
        </w:tabs>
        <w:ind w:left="5438" w:hanging="360"/>
      </w:pPr>
      <w:rPr>
        <w:rFonts w:cs="Times New Roman" w:hint="default"/>
      </w:rPr>
    </w:lvl>
    <w:lvl w:ilvl="8">
      <w:start w:val="1"/>
      <w:numFmt w:val="lowerRoman"/>
      <w:lvlText w:val="%9."/>
      <w:lvlJc w:val="right"/>
      <w:pPr>
        <w:tabs>
          <w:tab w:val="num" w:pos="6158"/>
        </w:tabs>
        <w:ind w:left="6158" w:hanging="180"/>
      </w:pPr>
      <w:rPr>
        <w:rFonts w:cs="Times New Roman" w:hint="default"/>
      </w:rPr>
    </w:lvl>
  </w:abstractNum>
  <w:abstractNum w:abstractNumId="20">
    <w:nsid w:val="22B66913"/>
    <w:multiLevelType w:val="multilevel"/>
    <w:tmpl w:val="1486DF72"/>
    <w:lvl w:ilvl="0">
      <w:start w:val="1"/>
      <w:numFmt w:val="lowerLetter"/>
      <w:lvlText w:val="%1."/>
      <w:lvlJc w:val="left"/>
      <w:pPr>
        <w:tabs>
          <w:tab w:val="num" w:pos="360"/>
        </w:tabs>
        <w:ind w:left="360" w:hanging="360"/>
      </w:pPr>
      <w:rPr>
        <w:rFonts w:ascii="Times New Roman" w:hAnsi="Times New Roman" w:cs="Times New Roman" w:hint="default"/>
        <w:b w:val="0"/>
        <w:i w:val="0"/>
        <w:color w:val="000000"/>
        <w:sz w:val="22"/>
        <w:szCs w:val="22"/>
      </w:rPr>
    </w:lvl>
    <w:lvl w:ilvl="1">
      <w:start w:val="2"/>
      <w:numFmt w:val="lowerRoman"/>
      <w:lvlText w:val="%2."/>
      <w:lvlJc w:val="left"/>
      <w:pPr>
        <w:tabs>
          <w:tab w:val="num" w:pos="1478"/>
        </w:tabs>
        <w:ind w:left="1478" w:hanging="720"/>
      </w:pPr>
      <w:rPr>
        <w:rFonts w:cs="Times New Roman" w:hint="default"/>
      </w:rPr>
    </w:lvl>
    <w:lvl w:ilvl="2">
      <w:start w:val="1"/>
      <w:numFmt w:val="lowerRoman"/>
      <w:lvlText w:val="%3."/>
      <w:lvlJc w:val="right"/>
      <w:pPr>
        <w:tabs>
          <w:tab w:val="num" w:pos="1838"/>
        </w:tabs>
        <w:ind w:left="1838" w:hanging="180"/>
      </w:pPr>
      <w:rPr>
        <w:rFonts w:cs="Times New Roman" w:hint="default"/>
      </w:rPr>
    </w:lvl>
    <w:lvl w:ilvl="3">
      <w:start w:val="1"/>
      <w:numFmt w:val="decimal"/>
      <w:lvlText w:val="%4."/>
      <w:lvlJc w:val="left"/>
      <w:pPr>
        <w:tabs>
          <w:tab w:val="num" w:pos="2558"/>
        </w:tabs>
        <w:ind w:left="2558" w:hanging="360"/>
      </w:pPr>
      <w:rPr>
        <w:rFonts w:cs="Times New Roman" w:hint="default"/>
      </w:rPr>
    </w:lvl>
    <w:lvl w:ilvl="4">
      <w:start w:val="1"/>
      <w:numFmt w:val="lowerLetter"/>
      <w:lvlText w:val="%5."/>
      <w:lvlJc w:val="left"/>
      <w:pPr>
        <w:tabs>
          <w:tab w:val="num" w:pos="3278"/>
        </w:tabs>
        <w:ind w:left="3278" w:hanging="360"/>
      </w:pPr>
      <w:rPr>
        <w:rFonts w:cs="Times New Roman" w:hint="default"/>
      </w:rPr>
    </w:lvl>
    <w:lvl w:ilvl="5">
      <w:start w:val="1"/>
      <w:numFmt w:val="lowerRoman"/>
      <w:lvlText w:val="%6."/>
      <w:lvlJc w:val="right"/>
      <w:pPr>
        <w:tabs>
          <w:tab w:val="num" w:pos="3998"/>
        </w:tabs>
        <w:ind w:left="3998" w:hanging="180"/>
      </w:pPr>
      <w:rPr>
        <w:rFonts w:cs="Times New Roman" w:hint="default"/>
      </w:rPr>
    </w:lvl>
    <w:lvl w:ilvl="6">
      <w:start w:val="1"/>
      <w:numFmt w:val="decimal"/>
      <w:lvlText w:val="%7."/>
      <w:lvlJc w:val="left"/>
      <w:pPr>
        <w:tabs>
          <w:tab w:val="num" w:pos="4718"/>
        </w:tabs>
        <w:ind w:left="4718" w:hanging="360"/>
      </w:pPr>
      <w:rPr>
        <w:rFonts w:cs="Times New Roman" w:hint="default"/>
      </w:rPr>
    </w:lvl>
    <w:lvl w:ilvl="7">
      <w:start w:val="1"/>
      <w:numFmt w:val="lowerLetter"/>
      <w:lvlText w:val="%8."/>
      <w:lvlJc w:val="left"/>
      <w:pPr>
        <w:tabs>
          <w:tab w:val="num" w:pos="5438"/>
        </w:tabs>
        <w:ind w:left="5438" w:hanging="360"/>
      </w:pPr>
      <w:rPr>
        <w:rFonts w:cs="Times New Roman" w:hint="default"/>
      </w:rPr>
    </w:lvl>
    <w:lvl w:ilvl="8">
      <w:start w:val="1"/>
      <w:numFmt w:val="lowerRoman"/>
      <w:lvlText w:val="%9."/>
      <w:lvlJc w:val="right"/>
      <w:pPr>
        <w:tabs>
          <w:tab w:val="num" w:pos="6158"/>
        </w:tabs>
        <w:ind w:left="6158" w:hanging="180"/>
      </w:pPr>
      <w:rPr>
        <w:rFonts w:cs="Times New Roman" w:hint="default"/>
      </w:rPr>
    </w:lvl>
  </w:abstractNum>
  <w:abstractNum w:abstractNumId="21">
    <w:nsid w:val="22E32735"/>
    <w:multiLevelType w:val="hybridMultilevel"/>
    <w:tmpl w:val="D1F64654"/>
    <w:lvl w:ilvl="0" w:tplc="0409001B">
      <w:start w:val="1"/>
      <w:numFmt w:val="lowerRoman"/>
      <w:lvlText w:val="%1."/>
      <w:lvlJc w:val="right"/>
      <w:pPr>
        <w:tabs>
          <w:tab w:val="num" w:pos="1042"/>
        </w:tabs>
        <w:ind w:left="1042" w:hanging="360"/>
      </w:pPr>
      <w:rPr>
        <w:rFonts w:cs="Times New Roman"/>
      </w:rPr>
    </w:lvl>
    <w:lvl w:ilvl="1" w:tplc="04090019" w:tentative="1">
      <w:start w:val="1"/>
      <w:numFmt w:val="lowerLetter"/>
      <w:lvlText w:val="%2."/>
      <w:lvlJc w:val="left"/>
      <w:pPr>
        <w:tabs>
          <w:tab w:val="num" w:pos="1762"/>
        </w:tabs>
        <w:ind w:left="1762" w:hanging="360"/>
      </w:pPr>
      <w:rPr>
        <w:rFonts w:cs="Times New Roman"/>
      </w:rPr>
    </w:lvl>
    <w:lvl w:ilvl="2" w:tplc="0409001B" w:tentative="1">
      <w:start w:val="1"/>
      <w:numFmt w:val="lowerRoman"/>
      <w:lvlText w:val="%3."/>
      <w:lvlJc w:val="right"/>
      <w:pPr>
        <w:tabs>
          <w:tab w:val="num" w:pos="2482"/>
        </w:tabs>
        <w:ind w:left="2482" w:hanging="180"/>
      </w:pPr>
      <w:rPr>
        <w:rFonts w:cs="Times New Roman"/>
      </w:rPr>
    </w:lvl>
    <w:lvl w:ilvl="3" w:tplc="0409000F" w:tentative="1">
      <w:start w:val="1"/>
      <w:numFmt w:val="decimal"/>
      <w:lvlText w:val="%4."/>
      <w:lvlJc w:val="left"/>
      <w:pPr>
        <w:tabs>
          <w:tab w:val="num" w:pos="3202"/>
        </w:tabs>
        <w:ind w:left="3202" w:hanging="360"/>
      </w:pPr>
      <w:rPr>
        <w:rFonts w:cs="Times New Roman"/>
      </w:rPr>
    </w:lvl>
    <w:lvl w:ilvl="4" w:tplc="04090019" w:tentative="1">
      <w:start w:val="1"/>
      <w:numFmt w:val="lowerLetter"/>
      <w:lvlText w:val="%5."/>
      <w:lvlJc w:val="left"/>
      <w:pPr>
        <w:tabs>
          <w:tab w:val="num" w:pos="3922"/>
        </w:tabs>
        <w:ind w:left="3922" w:hanging="360"/>
      </w:pPr>
      <w:rPr>
        <w:rFonts w:cs="Times New Roman"/>
      </w:rPr>
    </w:lvl>
    <w:lvl w:ilvl="5" w:tplc="0409001B" w:tentative="1">
      <w:start w:val="1"/>
      <w:numFmt w:val="lowerRoman"/>
      <w:lvlText w:val="%6."/>
      <w:lvlJc w:val="right"/>
      <w:pPr>
        <w:tabs>
          <w:tab w:val="num" w:pos="4642"/>
        </w:tabs>
        <w:ind w:left="4642" w:hanging="180"/>
      </w:pPr>
      <w:rPr>
        <w:rFonts w:cs="Times New Roman"/>
      </w:rPr>
    </w:lvl>
    <w:lvl w:ilvl="6" w:tplc="0409000F" w:tentative="1">
      <w:start w:val="1"/>
      <w:numFmt w:val="decimal"/>
      <w:lvlText w:val="%7."/>
      <w:lvlJc w:val="left"/>
      <w:pPr>
        <w:tabs>
          <w:tab w:val="num" w:pos="5362"/>
        </w:tabs>
        <w:ind w:left="5362" w:hanging="360"/>
      </w:pPr>
      <w:rPr>
        <w:rFonts w:cs="Times New Roman"/>
      </w:rPr>
    </w:lvl>
    <w:lvl w:ilvl="7" w:tplc="04090019" w:tentative="1">
      <w:start w:val="1"/>
      <w:numFmt w:val="lowerLetter"/>
      <w:lvlText w:val="%8."/>
      <w:lvlJc w:val="left"/>
      <w:pPr>
        <w:tabs>
          <w:tab w:val="num" w:pos="6082"/>
        </w:tabs>
        <w:ind w:left="6082" w:hanging="360"/>
      </w:pPr>
      <w:rPr>
        <w:rFonts w:cs="Times New Roman"/>
      </w:rPr>
    </w:lvl>
    <w:lvl w:ilvl="8" w:tplc="0409001B" w:tentative="1">
      <w:start w:val="1"/>
      <w:numFmt w:val="lowerRoman"/>
      <w:lvlText w:val="%9."/>
      <w:lvlJc w:val="right"/>
      <w:pPr>
        <w:tabs>
          <w:tab w:val="num" w:pos="6802"/>
        </w:tabs>
        <w:ind w:left="6802" w:hanging="180"/>
      </w:pPr>
      <w:rPr>
        <w:rFonts w:cs="Times New Roman"/>
      </w:rPr>
    </w:lvl>
  </w:abstractNum>
  <w:abstractNum w:abstractNumId="22">
    <w:nsid w:val="27287078"/>
    <w:multiLevelType w:val="multilevel"/>
    <w:tmpl w:val="ECE0FEA4"/>
    <w:lvl w:ilvl="0">
      <w:start w:val="3"/>
      <w:numFmt w:val="lowerLetter"/>
      <w:lvlText w:val="%1."/>
      <w:lvlJc w:val="left"/>
      <w:pPr>
        <w:tabs>
          <w:tab w:val="num" w:pos="360"/>
        </w:tabs>
        <w:ind w:left="360" w:hanging="360"/>
      </w:pPr>
      <w:rPr>
        <w:rFonts w:ascii="Times New Roman" w:hAnsi="Times New Roman" w:cs="Times New Roman" w:hint="default"/>
        <w:b w:val="0"/>
        <w:i w:val="0"/>
        <w:color w:val="000000"/>
        <w:sz w:val="22"/>
        <w:szCs w:val="22"/>
      </w:rPr>
    </w:lvl>
    <w:lvl w:ilvl="1">
      <w:start w:val="2"/>
      <w:numFmt w:val="lowerRoman"/>
      <w:lvlText w:val="%2."/>
      <w:lvlJc w:val="left"/>
      <w:pPr>
        <w:tabs>
          <w:tab w:val="num" w:pos="1478"/>
        </w:tabs>
        <w:ind w:left="1478" w:hanging="720"/>
      </w:pPr>
      <w:rPr>
        <w:rFonts w:cs="Times New Roman" w:hint="default"/>
      </w:rPr>
    </w:lvl>
    <w:lvl w:ilvl="2">
      <w:start w:val="1"/>
      <w:numFmt w:val="lowerRoman"/>
      <w:lvlText w:val="%3."/>
      <w:lvlJc w:val="right"/>
      <w:pPr>
        <w:tabs>
          <w:tab w:val="num" w:pos="1838"/>
        </w:tabs>
        <w:ind w:left="1838" w:hanging="180"/>
      </w:pPr>
      <w:rPr>
        <w:rFonts w:cs="Times New Roman" w:hint="default"/>
      </w:rPr>
    </w:lvl>
    <w:lvl w:ilvl="3">
      <w:start w:val="1"/>
      <w:numFmt w:val="decimal"/>
      <w:lvlText w:val="%4."/>
      <w:lvlJc w:val="left"/>
      <w:pPr>
        <w:tabs>
          <w:tab w:val="num" w:pos="2558"/>
        </w:tabs>
        <w:ind w:left="2558" w:hanging="360"/>
      </w:pPr>
      <w:rPr>
        <w:rFonts w:cs="Times New Roman" w:hint="default"/>
      </w:rPr>
    </w:lvl>
    <w:lvl w:ilvl="4">
      <w:start w:val="1"/>
      <w:numFmt w:val="lowerLetter"/>
      <w:lvlText w:val="%5."/>
      <w:lvlJc w:val="left"/>
      <w:pPr>
        <w:tabs>
          <w:tab w:val="num" w:pos="3278"/>
        </w:tabs>
        <w:ind w:left="3278" w:hanging="360"/>
      </w:pPr>
      <w:rPr>
        <w:rFonts w:cs="Times New Roman" w:hint="default"/>
      </w:rPr>
    </w:lvl>
    <w:lvl w:ilvl="5">
      <w:start w:val="1"/>
      <w:numFmt w:val="lowerRoman"/>
      <w:lvlText w:val="%6."/>
      <w:lvlJc w:val="right"/>
      <w:pPr>
        <w:tabs>
          <w:tab w:val="num" w:pos="3998"/>
        </w:tabs>
        <w:ind w:left="3998" w:hanging="180"/>
      </w:pPr>
      <w:rPr>
        <w:rFonts w:cs="Times New Roman" w:hint="default"/>
      </w:rPr>
    </w:lvl>
    <w:lvl w:ilvl="6">
      <w:start w:val="1"/>
      <w:numFmt w:val="decimal"/>
      <w:lvlText w:val="%7."/>
      <w:lvlJc w:val="left"/>
      <w:pPr>
        <w:tabs>
          <w:tab w:val="num" w:pos="4718"/>
        </w:tabs>
        <w:ind w:left="4718" w:hanging="360"/>
      </w:pPr>
      <w:rPr>
        <w:rFonts w:cs="Times New Roman" w:hint="default"/>
      </w:rPr>
    </w:lvl>
    <w:lvl w:ilvl="7">
      <w:start w:val="1"/>
      <w:numFmt w:val="lowerLetter"/>
      <w:lvlText w:val="%8."/>
      <w:lvlJc w:val="left"/>
      <w:pPr>
        <w:tabs>
          <w:tab w:val="num" w:pos="5438"/>
        </w:tabs>
        <w:ind w:left="5438" w:hanging="360"/>
      </w:pPr>
      <w:rPr>
        <w:rFonts w:cs="Times New Roman" w:hint="default"/>
      </w:rPr>
    </w:lvl>
    <w:lvl w:ilvl="8">
      <w:start w:val="1"/>
      <w:numFmt w:val="lowerRoman"/>
      <w:lvlText w:val="%9."/>
      <w:lvlJc w:val="right"/>
      <w:pPr>
        <w:tabs>
          <w:tab w:val="num" w:pos="6158"/>
        </w:tabs>
        <w:ind w:left="6158" w:hanging="180"/>
      </w:pPr>
      <w:rPr>
        <w:rFonts w:cs="Times New Roman" w:hint="default"/>
      </w:rPr>
    </w:lvl>
  </w:abstractNum>
  <w:abstractNum w:abstractNumId="23">
    <w:nsid w:val="2A897CA0"/>
    <w:multiLevelType w:val="hybridMultilevel"/>
    <w:tmpl w:val="BDD073C4"/>
    <w:lvl w:ilvl="0" w:tplc="DC1259B2">
      <w:start w:val="1"/>
      <w:numFmt w:val="lowerLetter"/>
      <w:lvlText w:val="%1."/>
      <w:lvlJc w:val="left"/>
      <w:pPr>
        <w:tabs>
          <w:tab w:val="num" w:pos="360"/>
        </w:tabs>
        <w:ind w:left="360" w:hanging="360"/>
      </w:pPr>
      <w:rPr>
        <w:rFonts w:ascii="Times New Roman" w:hAnsi="Times New Roman" w:cs="Times New Roman" w:hint="default"/>
        <w:b w:val="0"/>
        <w:i w:val="0"/>
        <w:color w:val="000000"/>
        <w:sz w:val="22"/>
        <w:szCs w:val="22"/>
      </w:rPr>
    </w:lvl>
    <w:lvl w:ilvl="1" w:tplc="4CB89902">
      <w:start w:val="2"/>
      <w:numFmt w:val="lowerRoman"/>
      <w:lvlText w:val="%2."/>
      <w:lvlJc w:val="left"/>
      <w:pPr>
        <w:tabs>
          <w:tab w:val="num" w:pos="1478"/>
        </w:tabs>
        <w:ind w:left="1478" w:hanging="720"/>
      </w:pPr>
      <w:rPr>
        <w:rFonts w:cs="Times New Roman" w:hint="default"/>
      </w:rPr>
    </w:lvl>
    <w:lvl w:ilvl="2" w:tplc="0409001B" w:tentative="1">
      <w:start w:val="1"/>
      <w:numFmt w:val="lowerRoman"/>
      <w:lvlText w:val="%3."/>
      <w:lvlJc w:val="right"/>
      <w:pPr>
        <w:tabs>
          <w:tab w:val="num" w:pos="1838"/>
        </w:tabs>
        <w:ind w:left="1838" w:hanging="180"/>
      </w:pPr>
      <w:rPr>
        <w:rFonts w:cs="Times New Roman"/>
      </w:rPr>
    </w:lvl>
    <w:lvl w:ilvl="3" w:tplc="0409000F" w:tentative="1">
      <w:start w:val="1"/>
      <w:numFmt w:val="decimal"/>
      <w:lvlText w:val="%4."/>
      <w:lvlJc w:val="left"/>
      <w:pPr>
        <w:tabs>
          <w:tab w:val="num" w:pos="2558"/>
        </w:tabs>
        <w:ind w:left="2558" w:hanging="360"/>
      </w:pPr>
      <w:rPr>
        <w:rFonts w:cs="Times New Roman"/>
      </w:rPr>
    </w:lvl>
    <w:lvl w:ilvl="4" w:tplc="04090019" w:tentative="1">
      <w:start w:val="1"/>
      <w:numFmt w:val="lowerLetter"/>
      <w:lvlText w:val="%5."/>
      <w:lvlJc w:val="left"/>
      <w:pPr>
        <w:tabs>
          <w:tab w:val="num" w:pos="3278"/>
        </w:tabs>
        <w:ind w:left="3278" w:hanging="360"/>
      </w:pPr>
      <w:rPr>
        <w:rFonts w:cs="Times New Roman"/>
      </w:rPr>
    </w:lvl>
    <w:lvl w:ilvl="5" w:tplc="0409001B" w:tentative="1">
      <w:start w:val="1"/>
      <w:numFmt w:val="lowerRoman"/>
      <w:lvlText w:val="%6."/>
      <w:lvlJc w:val="right"/>
      <w:pPr>
        <w:tabs>
          <w:tab w:val="num" w:pos="3998"/>
        </w:tabs>
        <w:ind w:left="3998" w:hanging="180"/>
      </w:pPr>
      <w:rPr>
        <w:rFonts w:cs="Times New Roman"/>
      </w:rPr>
    </w:lvl>
    <w:lvl w:ilvl="6" w:tplc="0409000F" w:tentative="1">
      <w:start w:val="1"/>
      <w:numFmt w:val="decimal"/>
      <w:lvlText w:val="%7."/>
      <w:lvlJc w:val="left"/>
      <w:pPr>
        <w:tabs>
          <w:tab w:val="num" w:pos="4718"/>
        </w:tabs>
        <w:ind w:left="4718" w:hanging="360"/>
      </w:pPr>
      <w:rPr>
        <w:rFonts w:cs="Times New Roman"/>
      </w:rPr>
    </w:lvl>
    <w:lvl w:ilvl="7" w:tplc="04090019">
      <w:start w:val="1"/>
      <w:numFmt w:val="lowerLetter"/>
      <w:lvlText w:val="%8."/>
      <w:lvlJc w:val="left"/>
      <w:pPr>
        <w:tabs>
          <w:tab w:val="num" w:pos="5438"/>
        </w:tabs>
        <w:ind w:left="5438" w:hanging="360"/>
      </w:pPr>
      <w:rPr>
        <w:rFonts w:cs="Times New Roman"/>
      </w:rPr>
    </w:lvl>
    <w:lvl w:ilvl="8" w:tplc="0409001B" w:tentative="1">
      <w:start w:val="1"/>
      <w:numFmt w:val="lowerRoman"/>
      <w:lvlText w:val="%9."/>
      <w:lvlJc w:val="right"/>
      <w:pPr>
        <w:tabs>
          <w:tab w:val="num" w:pos="6158"/>
        </w:tabs>
        <w:ind w:left="6158" w:hanging="180"/>
      </w:pPr>
      <w:rPr>
        <w:rFonts w:cs="Times New Roman"/>
      </w:rPr>
    </w:lvl>
  </w:abstractNum>
  <w:abstractNum w:abstractNumId="24">
    <w:nsid w:val="2FE634E4"/>
    <w:multiLevelType w:val="hybridMultilevel"/>
    <w:tmpl w:val="3C26D514"/>
    <w:lvl w:ilvl="0" w:tplc="C636A98C">
      <w:start w:val="1"/>
      <w:numFmt w:val="lowerLetter"/>
      <w:lvlText w:val="%1."/>
      <w:lvlJc w:val="left"/>
      <w:pPr>
        <w:ind w:left="720" w:hanging="360"/>
      </w:pPr>
      <w:rPr>
        <w:rFonts w:cs="Times New Roman" w:hint="default"/>
        <w:b w:val="0"/>
        <w:i w:val="0"/>
        <w:color w:val="auto"/>
        <w:sz w:val="22"/>
        <w:szCs w:val="22"/>
      </w:rPr>
    </w:lvl>
    <w:lvl w:ilvl="1" w:tplc="A9B2A95E">
      <w:start w:val="1"/>
      <w:numFmt w:val="lowerRoman"/>
      <w:lvlText w:val="%2."/>
      <w:lvlJc w:val="righ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24B3283"/>
    <w:multiLevelType w:val="hybridMultilevel"/>
    <w:tmpl w:val="F2BEFD9C"/>
    <w:lvl w:ilvl="0" w:tplc="0C0A0019">
      <w:start w:val="1"/>
      <w:numFmt w:val="lowerLetter"/>
      <w:lvlText w:val="%1."/>
      <w:lvlJc w:val="left"/>
      <w:pPr>
        <w:tabs>
          <w:tab w:val="num" w:pos="540"/>
        </w:tabs>
        <w:ind w:left="540" w:hanging="360"/>
      </w:pPr>
      <w:rPr>
        <w:rFonts w:cs="Times New Roman"/>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6">
    <w:nsid w:val="36993F62"/>
    <w:multiLevelType w:val="hybridMultilevel"/>
    <w:tmpl w:val="9536B40E"/>
    <w:lvl w:ilvl="0" w:tplc="A9B2A95E">
      <w:start w:val="1"/>
      <w:numFmt w:val="lowerRoman"/>
      <w:lvlText w:val="%1."/>
      <w:lvlJc w:val="right"/>
      <w:pPr>
        <w:tabs>
          <w:tab w:val="num" w:pos="720"/>
        </w:tabs>
        <w:ind w:left="720" w:hanging="180"/>
      </w:pPr>
      <w:rPr>
        <w:rFonts w:ascii="Times New Roman" w:eastAsia="Times New Roman" w:hAnsi="Times New Roman" w:cs="Times New Roman"/>
      </w:rPr>
    </w:lvl>
    <w:lvl w:ilvl="1" w:tplc="140A0019" w:tentative="1">
      <w:start w:val="1"/>
      <w:numFmt w:val="lowerLetter"/>
      <w:lvlText w:val="%2."/>
      <w:lvlJc w:val="left"/>
      <w:pPr>
        <w:tabs>
          <w:tab w:val="num" w:pos="1440"/>
        </w:tabs>
        <w:ind w:left="1440" w:hanging="360"/>
      </w:pPr>
      <w:rPr>
        <w:rFonts w:cs="Times New Roman"/>
      </w:rPr>
    </w:lvl>
    <w:lvl w:ilvl="2" w:tplc="140A001B" w:tentative="1">
      <w:start w:val="1"/>
      <w:numFmt w:val="lowerRoman"/>
      <w:lvlText w:val="%3."/>
      <w:lvlJc w:val="right"/>
      <w:pPr>
        <w:tabs>
          <w:tab w:val="num" w:pos="2160"/>
        </w:tabs>
        <w:ind w:left="2160" w:hanging="180"/>
      </w:pPr>
      <w:rPr>
        <w:rFonts w:cs="Times New Roman"/>
      </w:rPr>
    </w:lvl>
    <w:lvl w:ilvl="3" w:tplc="140A000F" w:tentative="1">
      <w:start w:val="1"/>
      <w:numFmt w:val="decimal"/>
      <w:lvlText w:val="%4."/>
      <w:lvlJc w:val="left"/>
      <w:pPr>
        <w:tabs>
          <w:tab w:val="num" w:pos="2880"/>
        </w:tabs>
        <w:ind w:left="2880" w:hanging="360"/>
      </w:pPr>
      <w:rPr>
        <w:rFonts w:cs="Times New Roman"/>
      </w:rPr>
    </w:lvl>
    <w:lvl w:ilvl="4" w:tplc="140A0019" w:tentative="1">
      <w:start w:val="1"/>
      <w:numFmt w:val="lowerLetter"/>
      <w:lvlText w:val="%5."/>
      <w:lvlJc w:val="left"/>
      <w:pPr>
        <w:tabs>
          <w:tab w:val="num" w:pos="3600"/>
        </w:tabs>
        <w:ind w:left="3600" w:hanging="360"/>
      </w:pPr>
      <w:rPr>
        <w:rFonts w:cs="Times New Roman"/>
      </w:rPr>
    </w:lvl>
    <w:lvl w:ilvl="5" w:tplc="140A001B" w:tentative="1">
      <w:start w:val="1"/>
      <w:numFmt w:val="lowerRoman"/>
      <w:lvlText w:val="%6."/>
      <w:lvlJc w:val="right"/>
      <w:pPr>
        <w:tabs>
          <w:tab w:val="num" w:pos="4320"/>
        </w:tabs>
        <w:ind w:left="4320" w:hanging="180"/>
      </w:pPr>
      <w:rPr>
        <w:rFonts w:cs="Times New Roman"/>
      </w:rPr>
    </w:lvl>
    <w:lvl w:ilvl="6" w:tplc="140A000F" w:tentative="1">
      <w:start w:val="1"/>
      <w:numFmt w:val="decimal"/>
      <w:lvlText w:val="%7."/>
      <w:lvlJc w:val="left"/>
      <w:pPr>
        <w:tabs>
          <w:tab w:val="num" w:pos="5040"/>
        </w:tabs>
        <w:ind w:left="5040" w:hanging="360"/>
      </w:pPr>
      <w:rPr>
        <w:rFonts w:cs="Times New Roman"/>
      </w:rPr>
    </w:lvl>
    <w:lvl w:ilvl="7" w:tplc="140A0019" w:tentative="1">
      <w:start w:val="1"/>
      <w:numFmt w:val="lowerLetter"/>
      <w:lvlText w:val="%8."/>
      <w:lvlJc w:val="left"/>
      <w:pPr>
        <w:tabs>
          <w:tab w:val="num" w:pos="5760"/>
        </w:tabs>
        <w:ind w:left="5760" w:hanging="360"/>
      </w:pPr>
      <w:rPr>
        <w:rFonts w:cs="Times New Roman"/>
      </w:rPr>
    </w:lvl>
    <w:lvl w:ilvl="8" w:tplc="140A001B" w:tentative="1">
      <w:start w:val="1"/>
      <w:numFmt w:val="lowerRoman"/>
      <w:lvlText w:val="%9."/>
      <w:lvlJc w:val="right"/>
      <w:pPr>
        <w:tabs>
          <w:tab w:val="num" w:pos="6480"/>
        </w:tabs>
        <w:ind w:left="6480" w:hanging="180"/>
      </w:pPr>
      <w:rPr>
        <w:rFonts w:cs="Times New Roman"/>
      </w:rPr>
    </w:lvl>
  </w:abstractNum>
  <w:abstractNum w:abstractNumId="27">
    <w:nsid w:val="37E171D6"/>
    <w:multiLevelType w:val="multilevel"/>
    <w:tmpl w:val="98FED0D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620"/>
        </w:tabs>
        <w:ind w:left="1620" w:hanging="360"/>
      </w:pPr>
      <w:rPr>
        <w:rFonts w:cs="Times New Roman" w:hint="default"/>
      </w:rPr>
    </w:lvl>
    <w:lvl w:ilvl="2">
      <w:start w:val="1"/>
      <w:numFmt w:val="lowerRoman"/>
      <w:lvlText w:val="%3."/>
      <w:lvlJc w:val="right"/>
      <w:pPr>
        <w:tabs>
          <w:tab w:val="num" w:pos="2340"/>
        </w:tabs>
        <w:ind w:left="2340" w:hanging="180"/>
      </w:pPr>
      <w:rPr>
        <w:rFonts w:cs="Times New Roman" w:hint="default"/>
      </w:rPr>
    </w:lvl>
    <w:lvl w:ilvl="3">
      <w:start w:val="1"/>
      <w:numFmt w:val="decimal"/>
      <w:lvlText w:val="%4."/>
      <w:lvlJc w:val="left"/>
      <w:pPr>
        <w:tabs>
          <w:tab w:val="num" w:pos="3060"/>
        </w:tabs>
        <w:ind w:left="3060" w:hanging="360"/>
      </w:pPr>
      <w:rPr>
        <w:rFonts w:cs="Times New Roman" w:hint="default"/>
      </w:rPr>
    </w:lvl>
    <w:lvl w:ilvl="4">
      <w:start w:val="1"/>
      <w:numFmt w:val="lowerLetter"/>
      <w:lvlText w:val="%5."/>
      <w:lvlJc w:val="left"/>
      <w:pPr>
        <w:tabs>
          <w:tab w:val="num" w:pos="3780"/>
        </w:tabs>
        <w:ind w:left="3780" w:hanging="360"/>
      </w:pPr>
      <w:rPr>
        <w:rFonts w:cs="Times New Roman" w:hint="default"/>
      </w:rPr>
    </w:lvl>
    <w:lvl w:ilvl="5">
      <w:start w:val="1"/>
      <w:numFmt w:val="lowerRoman"/>
      <w:lvlText w:val="%6."/>
      <w:lvlJc w:val="right"/>
      <w:pPr>
        <w:tabs>
          <w:tab w:val="num" w:pos="4500"/>
        </w:tabs>
        <w:ind w:left="4500" w:hanging="180"/>
      </w:pPr>
      <w:rPr>
        <w:rFonts w:cs="Times New Roman" w:hint="default"/>
      </w:rPr>
    </w:lvl>
    <w:lvl w:ilvl="6">
      <w:start w:val="1"/>
      <w:numFmt w:val="decimal"/>
      <w:lvlText w:val="%7."/>
      <w:lvlJc w:val="left"/>
      <w:pPr>
        <w:tabs>
          <w:tab w:val="num" w:pos="5220"/>
        </w:tabs>
        <w:ind w:left="5220" w:hanging="360"/>
      </w:pPr>
      <w:rPr>
        <w:rFonts w:cs="Times New Roman" w:hint="default"/>
      </w:rPr>
    </w:lvl>
    <w:lvl w:ilvl="7">
      <w:start w:val="1"/>
      <w:numFmt w:val="lowerLetter"/>
      <w:lvlText w:val="%8."/>
      <w:lvlJc w:val="left"/>
      <w:pPr>
        <w:tabs>
          <w:tab w:val="num" w:pos="5940"/>
        </w:tabs>
        <w:ind w:left="5940" w:hanging="360"/>
      </w:pPr>
      <w:rPr>
        <w:rFonts w:cs="Times New Roman" w:hint="default"/>
      </w:rPr>
    </w:lvl>
    <w:lvl w:ilvl="8">
      <w:start w:val="1"/>
      <w:numFmt w:val="lowerRoman"/>
      <w:lvlText w:val="%9."/>
      <w:lvlJc w:val="right"/>
      <w:pPr>
        <w:tabs>
          <w:tab w:val="num" w:pos="6660"/>
        </w:tabs>
        <w:ind w:left="6660" w:hanging="180"/>
      </w:pPr>
      <w:rPr>
        <w:rFonts w:cs="Times New Roman" w:hint="default"/>
      </w:rPr>
    </w:lvl>
  </w:abstractNum>
  <w:abstractNum w:abstractNumId="28">
    <w:nsid w:val="3BDD5716"/>
    <w:multiLevelType w:val="hybridMultilevel"/>
    <w:tmpl w:val="D2E8C4D0"/>
    <w:lvl w:ilvl="0" w:tplc="A9B2A95E">
      <w:start w:val="1"/>
      <w:numFmt w:val="lowerRoman"/>
      <w:lvlText w:val="%1."/>
      <w:lvlJc w:val="right"/>
      <w:pPr>
        <w:tabs>
          <w:tab w:val="num" w:pos="1042"/>
        </w:tabs>
        <w:ind w:left="1042" w:hanging="180"/>
      </w:pPr>
      <w:rPr>
        <w:rFonts w:ascii="Times New Roman" w:eastAsia="Times New Roman" w:hAnsi="Times New Roman" w:cs="Times New Roman"/>
      </w:rPr>
    </w:lvl>
    <w:lvl w:ilvl="1" w:tplc="0D76A9EE">
      <w:start w:val="2"/>
      <w:numFmt w:val="upperLetter"/>
      <w:lvlText w:val="%2."/>
      <w:lvlJc w:val="left"/>
      <w:pPr>
        <w:tabs>
          <w:tab w:val="num" w:pos="1942"/>
        </w:tabs>
        <w:ind w:left="1942" w:hanging="360"/>
      </w:pPr>
      <w:rPr>
        <w:rFonts w:cs="Times New Roman" w:hint="default"/>
      </w:rPr>
    </w:lvl>
    <w:lvl w:ilvl="2" w:tplc="0409001B" w:tentative="1">
      <w:start w:val="1"/>
      <w:numFmt w:val="lowerRoman"/>
      <w:lvlText w:val="%3."/>
      <w:lvlJc w:val="right"/>
      <w:pPr>
        <w:tabs>
          <w:tab w:val="num" w:pos="2662"/>
        </w:tabs>
        <w:ind w:left="2662" w:hanging="180"/>
      </w:pPr>
      <w:rPr>
        <w:rFonts w:cs="Times New Roman"/>
      </w:rPr>
    </w:lvl>
    <w:lvl w:ilvl="3" w:tplc="0409000F" w:tentative="1">
      <w:start w:val="1"/>
      <w:numFmt w:val="decimal"/>
      <w:lvlText w:val="%4."/>
      <w:lvlJc w:val="left"/>
      <w:pPr>
        <w:tabs>
          <w:tab w:val="num" w:pos="3382"/>
        </w:tabs>
        <w:ind w:left="3382" w:hanging="360"/>
      </w:pPr>
      <w:rPr>
        <w:rFonts w:cs="Times New Roman"/>
      </w:rPr>
    </w:lvl>
    <w:lvl w:ilvl="4" w:tplc="04090019" w:tentative="1">
      <w:start w:val="1"/>
      <w:numFmt w:val="lowerLetter"/>
      <w:lvlText w:val="%5."/>
      <w:lvlJc w:val="left"/>
      <w:pPr>
        <w:tabs>
          <w:tab w:val="num" w:pos="4102"/>
        </w:tabs>
        <w:ind w:left="4102" w:hanging="360"/>
      </w:pPr>
      <w:rPr>
        <w:rFonts w:cs="Times New Roman"/>
      </w:rPr>
    </w:lvl>
    <w:lvl w:ilvl="5" w:tplc="0409001B" w:tentative="1">
      <w:start w:val="1"/>
      <w:numFmt w:val="lowerRoman"/>
      <w:lvlText w:val="%6."/>
      <w:lvlJc w:val="right"/>
      <w:pPr>
        <w:tabs>
          <w:tab w:val="num" w:pos="4822"/>
        </w:tabs>
        <w:ind w:left="4822" w:hanging="180"/>
      </w:pPr>
      <w:rPr>
        <w:rFonts w:cs="Times New Roman"/>
      </w:rPr>
    </w:lvl>
    <w:lvl w:ilvl="6" w:tplc="0409000F" w:tentative="1">
      <w:start w:val="1"/>
      <w:numFmt w:val="decimal"/>
      <w:lvlText w:val="%7."/>
      <w:lvlJc w:val="left"/>
      <w:pPr>
        <w:tabs>
          <w:tab w:val="num" w:pos="5542"/>
        </w:tabs>
        <w:ind w:left="5542" w:hanging="360"/>
      </w:pPr>
      <w:rPr>
        <w:rFonts w:cs="Times New Roman"/>
      </w:rPr>
    </w:lvl>
    <w:lvl w:ilvl="7" w:tplc="04090019" w:tentative="1">
      <w:start w:val="1"/>
      <w:numFmt w:val="lowerLetter"/>
      <w:lvlText w:val="%8."/>
      <w:lvlJc w:val="left"/>
      <w:pPr>
        <w:tabs>
          <w:tab w:val="num" w:pos="6262"/>
        </w:tabs>
        <w:ind w:left="6262" w:hanging="360"/>
      </w:pPr>
      <w:rPr>
        <w:rFonts w:cs="Times New Roman"/>
      </w:rPr>
    </w:lvl>
    <w:lvl w:ilvl="8" w:tplc="0409001B" w:tentative="1">
      <w:start w:val="1"/>
      <w:numFmt w:val="lowerRoman"/>
      <w:lvlText w:val="%9."/>
      <w:lvlJc w:val="right"/>
      <w:pPr>
        <w:tabs>
          <w:tab w:val="num" w:pos="6982"/>
        </w:tabs>
        <w:ind w:left="6982" w:hanging="180"/>
      </w:pPr>
      <w:rPr>
        <w:rFonts w:cs="Times New Roman"/>
      </w:rPr>
    </w:lvl>
  </w:abstractNum>
  <w:abstractNum w:abstractNumId="29">
    <w:nsid w:val="3CC4625F"/>
    <w:multiLevelType w:val="hybridMultilevel"/>
    <w:tmpl w:val="41DAC3B2"/>
    <w:lvl w:ilvl="0" w:tplc="0FCA17A0">
      <w:start w:val="1"/>
      <w:numFmt w:val="lowerLetter"/>
      <w:lvlText w:val="%1."/>
      <w:lvlJc w:val="left"/>
      <w:pPr>
        <w:tabs>
          <w:tab w:val="num" w:pos="1080"/>
        </w:tabs>
        <w:ind w:left="1080" w:hanging="360"/>
      </w:pPr>
      <w:rPr>
        <w:rFonts w:cs="Times New Roman"/>
        <w:color w:val="auto"/>
      </w:rPr>
    </w:lvl>
    <w:lvl w:ilvl="1" w:tplc="1108A062">
      <w:start w:val="1"/>
      <w:numFmt w:val="lowerLetter"/>
      <w:lvlText w:val="%2."/>
      <w:lvlJc w:val="right"/>
      <w:pPr>
        <w:tabs>
          <w:tab w:val="num" w:pos="1260"/>
        </w:tabs>
        <w:ind w:left="1260" w:hanging="180"/>
      </w:pPr>
      <w:rPr>
        <w:rFonts w:ascii="Times New Roman" w:eastAsia="Times New Roman" w:hAnsi="Times New Roman" w:cs="Times New Roman" w:hint="default"/>
      </w:rPr>
    </w:lvl>
    <w:lvl w:ilvl="2" w:tplc="140A001B" w:tentative="1">
      <w:start w:val="1"/>
      <w:numFmt w:val="lowerRoman"/>
      <w:lvlText w:val="%3."/>
      <w:lvlJc w:val="right"/>
      <w:pPr>
        <w:tabs>
          <w:tab w:val="num" w:pos="2160"/>
        </w:tabs>
        <w:ind w:left="2160" w:hanging="180"/>
      </w:pPr>
      <w:rPr>
        <w:rFonts w:cs="Times New Roman"/>
      </w:rPr>
    </w:lvl>
    <w:lvl w:ilvl="3" w:tplc="140A000F" w:tentative="1">
      <w:start w:val="1"/>
      <w:numFmt w:val="decimal"/>
      <w:lvlText w:val="%4."/>
      <w:lvlJc w:val="left"/>
      <w:pPr>
        <w:tabs>
          <w:tab w:val="num" w:pos="2880"/>
        </w:tabs>
        <w:ind w:left="2880" w:hanging="360"/>
      </w:pPr>
      <w:rPr>
        <w:rFonts w:cs="Times New Roman"/>
      </w:rPr>
    </w:lvl>
    <w:lvl w:ilvl="4" w:tplc="140A0019" w:tentative="1">
      <w:start w:val="1"/>
      <w:numFmt w:val="lowerLetter"/>
      <w:lvlText w:val="%5."/>
      <w:lvlJc w:val="left"/>
      <w:pPr>
        <w:tabs>
          <w:tab w:val="num" w:pos="3600"/>
        </w:tabs>
        <w:ind w:left="3600" w:hanging="360"/>
      </w:pPr>
      <w:rPr>
        <w:rFonts w:cs="Times New Roman"/>
      </w:rPr>
    </w:lvl>
    <w:lvl w:ilvl="5" w:tplc="140A001B" w:tentative="1">
      <w:start w:val="1"/>
      <w:numFmt w:val="lowerRoman"/>
      <w:lvlText w:val="%6."/>
      <w:lvlJc w:val="right"/>
      <w:pPr>
        <w:tabs>
          <w:tab w:val="num" w:pos="4320"/>
        </w:tabs>
        <w:ind w:left="4320" w:hanging="180"/>
      </w:pPr>
      <w:rPr>
        <w:rFonts w:cs="Times New Roman"/>
      </w:rPr>
    </w:lvl>
    <w:lvl w:ilvl="6" w:tplc="140A000F" w:tentative="1">
      <w:start w:val="1"/>
      <w:numFmt w:val="decimal"/>
      <w:lvlText w:val="%7."/>
      <w:lvlJc w:val="left"/>
      <w:pPr>
        <w:tabs>
          <w:tab w:val="num" w:pos="5040"/>
        </w:tabs>
        <w:ind w:left="5040" w:hanging="360"/>
      </w:pPr>
      <w:rPr>
        <w:rFonts w:cs="Times New Roman"/>
      </w:rPr>
    </w:lvl>
    <w:lvl w:ilvl="7" w:tplc="140A0019" w:tentative="1">
      <w:start w:val="1"/>
      <w:numFmt w:val="lowerLetter"/>
      <w:lvlText w:val="%8."/>
      <w:lvlJc w:val="left"/>
      <w:pPr>
        <w:tabs>
          <w:tab w:val="num" w:pos="5760"/>
        </w:tabs>
        <w:ind w:left="5760" w:hanging="360"/>
      </w:pPr>
      <w:rPr>
        <w:rFonts w:cs="Times New Roman"/>
      </w:rPr>
    </w:lvl>
    <w:lvl w:ilvl="8" w:tplc="140A001B" w:tentative="1">
      <w:start w:val="1"/>
      <w:numFmt w:val="lowerRoman"/>
      <w:lvlText w:val="%9."/>
      <w:lvlJc w:val="right"/>
      <w:pPr>
        <w:tabs>
          <w:tab w:val="num" w:pos="6480"/>
        </w:tabs>
        <w:ind w:left="6480" w:hanging="180"/>
      </w:pPr>
      <w:rPr>
        <w:rFonts w:cs="Times New Roman"/>
      </w:rPr>
    </w:lvl>
  </w:abstractNum>
  <w:abstractNum w:abstractNumId="30">
    <w:nsid w:val="3E016A9B"/>
    <w:multiLevelType w:val="hybridMultilevel"/>
    <w:tmpl w:val="6D90B208"/>
    <w:lvl w:ilvl="0" w:tplc="679E843C">
      <w:start w:val="1"/>
      <w:numFmt w:val="lowerRoman"/>
      <w:lvlText w:val="%1."/>
      <w:lvlJc w:val="left"/>
      <w:pPr>
        <w:ind w:left="540" w:hanging="720"/>
      </w:pPr>
      <w:rPr>
        <w:rFonts w:ascii="Times New Roman" w:eastAsia="Times New Roman" w:hAnsi="Times New Roman" w:cs="Times New Roman" w:hint="default"/>
        <w:color w:val="0000FF"/>
        <w:sz w:val="24"/>
        <w:u w:val="single"/>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1">
    <w:nsid w:val="42916E4D"/>
    <w:multiLevelType w:val="hybridMultilevel"/>
    <w:tmpl w:val="A6EADB5E"/>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32">
    <w:nsid w:val="481B725E"/>
    <w:multiLevelType w:val="hybridMultilevel"/>
    <w:tmpl w:val="3632783C"/>
    <w:lvl w:ilvl="0" w:tplc="C34CB396">
      <w:start w:val="1"/>
      <w:numFmt w:val="lowerRoman"/>
      <w:lvlText w:val="%1."/>
      <w:lvlJc w:val="left"/>
      <w:pPr>
        <w:ind w:left="540" w:hanging="720"/>
      </w:pPr>
      <w:rPr>
        <w:rFonts w:ascii="Times New Roman" w:eastAsia="Times New Roman" w:hAnsi="Times New Roman" w:cs="Times New Roman" w:hint="default"/>
        <w:color w:val="0000FF"/>
        <w:sz w:val="24"/>
        <w:u w:val="single"/>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3">
    <w:nsid w:val="489005C5"/>
    <w:multiLevelType w:val="hybridMultilevel"/>
    <w:tmpl w:val="E05A82BC"/>
    <w:lvl w:ilvl="0" w:tplc="2E283050">
      <w:start w:val="1"/>
      <w:numFmt w:val="lowerRoman"/>
      <w:lvlText w:val="%1."/>
      <w:lvlJc w:val="left"/>
      <w:pPr>
        <w:ind w:left="540" w:hanging="720"/>
      </w:pPr>
      <w:rPr>
        <w:rFonts w:ascii="Times New Roman" w:eastAsia="Times New Roman" w:hAnsi="Times New Roman" w:cs="Times New Roman" w:hint="default"/>
        <w:color w:val="0000FF"/>
        <w:sz w:val="24"/>
        <w:u w:val="single"/>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4">
    <w:nsid w:val="4B7224EC"/>
    <w:multiLevelType w:val="hybridMultilevel"/>
    <w:tmpl w:val="C864603A"/>
    <w:lvl w:ilvl="0" w:tplc="0409001B">
      <w:start w:val="1"/>
      <w:numFmt w:val="lowerRoman"/>
      <w:lvlText w:val="%1."/>
      <w:lvlJc w:val="right"/>
      <w:pPr>
        <w:tabs>
          <w:tab w:val="num" w:pos="1042"/>
        </w:tabs>
        <w:ind w:left="1042" w:hanging="360"/>
      </w:pPr>
      <w:rPr>
        <w:rFonts w:cs="Times New Roman"/>
      </w:rPr>
    </w:lvl>
    <w:lvl w:ilvl="1" w:tplc="140A0019" w:tentative="1">
      <w:start w:val="1"/>
      <w:numFmt w:val="lowerLetter"/>
      <w:lvlText w:val="%2."/>
      <w:lvlJc w:val="left"/>
      <w:pPr>
        <w:tabs>
          <w:tab w:val="num" w:pos="1582"/>
        </w:tabs>
        <w:ind w:left="1582" w:hanging="360"/>
      </w:pPr>
      <w:rPr>
        <w:rFonts w:cs="Times New Roman"/>
      </w:rPr>
    </w:lvl>
    <w:lvl w:ilvl="2" w:tplc="140A001B" w:tentative="1">
      <w:start w:val="1"/>
      <w:numFmt w:val="lowerRoman"/>
      <w:lvlText w:val="%3."/>
      <w:lvlJc w:val="right"/>
      <w:pPr>
        <w:tabs>
          <w:tab w:val="num" w:pos="2302"/>
        </w:tabs>
        <w:ind w:left="2302" w:hanging="180"/>
      </w:pPr>
      <w:rPr>
        <w:rFonts w:cs="Times New Roman"/>
      </w:rPr>
    </w:lvl>
    <w:lvl w:ilvl="3" w:tplc="140A000F" w:tentative="1">
      <w:start w:val="1"/>
      <w:numFmt w:val="decimal"/>
      <w:lvlText w:val="%4."/>
      <w:lvlJc w:val="left"/>
      <w:pPr>
        <w:tabs>
          <w:tab w:val="num" w:pos="3022"/>
        </w:tabs>
        <w:ind w:left="3022" w:hanging="360"/>
      </w:pPr>
      <w:rPr>
        <w:rFonts w:cs="Times New Roman"/>
      </w:rPr>
    </w:lvl>
    <w:lvl w:ilvl="4" w:tplc="140A0019" w:tentative="1">
      <w:start w:val="1"/>
      <w:numFmt w:val="lowerLetter"/>
      <w:lvlText w:val="%5."/>
      <w:lvlJc w:val="left"/>
      <w:pPr>
        <w:tabs>
          <w:tab w:val="num" w:pos="3742"/>
        </w:tabs>
        <w:ind w:left="3742" w:hanging="360"/>
      </w:pPr>
      <w:rPr>
        <w:rFonts w:cs="Times New Roman"/>
      </w:rPr>
    </w:lvl>
    <w:lvl w:ilvl="5" w:tplc="140A001B" w:tentative="1">
      <w:start w:val="1"/>
      <w:numFmt w:val="lowerRoman"/>
      <w:lvlText w:val="%6."/>
      <w:lvlJc w:val="right"/>
      <w:pPr>
        <w:tabs>
          <w:tab w:val="num" w:pos="4462"/>
        </w:tabs>
        <w:ind w:left="4462" w:hanging="180"/>
      </w:pPr>
      <w:rPr>
        <w:rFonts w:cs="Times New Roman"/>
      </w:rPr>
    </w:lvl>
    <w:lvl w:ilvl="6" w:tplc="140A000F" w:tentative="1">
      <w:start w:val="1"/>
      <w:numFmt w:val="decimal"/>
      <w:lvlText w:val="%7."/>
      <w:lvlJc w:val="left"/>
      <w:pPr>
        <w:tabs>
          <w:tab w:val="num" w:pos="5182"/>
        </w:tabs>
        <w:ind w:left="5182" w:hanging="360"/>
      </w:pPr>
      <w:rPr>
        <w:rFonts w:cs="Times New Roman"/>
      </w:rPr>
    </w:lvl>
    <w:lvl w:ilvl="7" w:tplc="140A0019" w:tentative="1">
      <w:start w:val="1"/>
      <w:numFmt w:val="lowerLetter"/>
      <w:lvlText w:val="%8."/>
      <w:lvlJc w:val="left"/>
      <w:pPr>
        <w:tabs>
          <w:tab w:val="num" w:pos="5902"/>
        </w:tabs>
        <w:ind w:left="5902" w:hanging="360"/>
      </w:pPr>
      <w:rPr>
        <w:rFonts w:cs="Times New Roman"/>
      </w:rPr>
    </w:lvl>
    <w:lvl w:ilvl="8" w:tplc="140A001B" w:tentative="1">
      <w:start w:val="1"/>
      <w:numFmt w:val="lowerRoman"/>
      <w:lvlText w:val="%9."/>
      <w:lvlJc w:val="right"/>
      <w:pPr>
        <w:tabs>
          <w:tab w:val="num" w:pos="6622"/>
        </w:tabs>
        <w:ind w:left="6622" w:hanging="180"/>
      </w:pPr>
      <w:rPr>
        <w:rFonts w:cs="Times New Roman"/>
      </w:rPr>
    </w:lvl>
  </w:abstractNum>
  <w:abstractNum w:abstractNumId="35">
    <w:nsid w:val="4D544ADF"/>
    <w:multiLevelType w:val="multilevel"/>
    <w:tmpl w:val="A6EADB5E"/>
    <w:lvl w:ilvl="0">
      <w:start w:val="1"/>
      <w:numFmt w:val="lowerLetter"/>
      <w:lvlText w:val="%1."/>
      <w:lvlJc w:val="left"/>
      <w:pPr>
        <w:tabs>
          <w:tab w:val="num" w:pos="360"/>
        </w:tabs>
        <w:ind w:left="360" w:hanging="360"/>
      </w:p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36">
    <w:nsid w:val="53290388"/>
    <w:multiLevelType w:val="hybridMultilevel"/>
    <w:tmpl w:val="540827A2"/>
    <w:lvl w:ilvl="0" w:tplc="04090019">
      <w:start w:val="1"/>
      <w:numFmt w:val="lowerLetter"/>
      <w:lvlText w:val="%1."/>
      <w:lvlJc w:val="left"/>
      <w:pPr>
        <w:tabs>
          <w:tab w:val="num" w:pos="900"/>
        </w:tabs>
        <w:ind w:left="900" w:hanging="360"/>
      </w:pPr>
      <w:rPr>
        <w:rFonts w:cs="Times New Roman"/>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37">
    <w:nsid w:val="544530B7"/>
    <w:multiLevelType w:val="multilevel"/>
    <w:tmpl w:val="AF363712"/>
    <w:styleLink w:val="Estilo1"/>
    <w:lvl w:ilvl="0">
      <w:start w:val="1"/>
      <w:numFmt w:val="lowerLetter"/>
      <w:lvlText w:val="%1."/>
      <w:lvlJc w:val="left"/>
      <w:pPr>
        <w:tabs>
          <w:tab w:val="num" w:pos="360"/>
        </w:tabs>
        <w:ind w:left="360" w:hanging="360"/>
      </w:pPr>
      <w:rPr>
        <w:rFonts w:ascii="Times New Roman" w:hAnsi="Times New Roman" w:cs="Times New Roman" w:hint="default"/>
        <w:b w:val="0"/>
        <w:i w:val="0"/>
        <w:color w:val="000000"/>
        <w:sz w:val="22"/>
        <w:szCs w:val="22"/>
      </w:rPr>
    </w:lvl>
    <w:lvl w:ilvl="1">
      <w:start w:val="2"/>
      <w:numFmt w:val="lowerRoman"/>
      <w:lvlText w:val="%2."/>
      <w:lvlJc w:val="left"/>
      <w:pPr>
        <w:tabs>
          <w:tab w:val="num" w:pos="1478"/>
        </w:tabs>
        <w:ind w:left="1478" w:hanging="720"/>
      </w:pPr>
      <w:rPr>
        <w:rFonts w:cs="Times New Roman" w:hint="default"/>
      </w:rPr>
    </w:lvl>
    <w:lvl w:ilvl="2">
      <w:start w:val="1"/>
      <w:numFmt w:val="lowerRoman"/>
      <w:lvlText w:val="%3."/>
      <w:lvlJc w:val="right"/>
      <w:pPr>
        <w:tabs>
          <w:tab w:val="num" w:pos="1838"/>
        </w:tabs>
        <w:ind w:left="1838" w:hanging="180"/>
      </w:pPr>
      <w:rPr>
        <w:rFonts w:cs="Times New Roman"/>
      </w:rPr>
    </w:lvl>
    <w:lvl w:ilvl="3">
      <w:start w:val="1"/>
      <w:numFmt w:val="decimal"/>
      <w:lvlText w:val="%4."/>
      <w:lvlJc w:val="left"/>
      <w:pPr>
        <w:tabs>
          <w:tab w:val="num" w:pos="2558"/>
        </w:tabs>
        <w:ind w:left="2558" w:hanging="360"/>
      </w:pPr>
      <w:rPr>
        <w:rFonts w:cs="Times New Roman"/>
      </w:rPr>
    </w:lvl>
    <w:lvl w:ilvl="4">
      <w:start w:val="1"/>
      <w:numFmt w:val="lowerLetter"/>
      <w:lvlText w:val="%5."/>
      <w:lvlJc w:val="left"/>
      <w:pPr>
        <w:tabs>
          <w:tab w:val="num" w:pos="3278"/>
        </w:tabs>
        <w:ind w:left="3278" w:hanging="360"/>
      </w:pPr>
      <w:rPr>
        <w:rFonts w:cs="Times New Roman"/>
      </w:rPr>
    </w:lvl>
    <w:lvl w:ilvl="5">
      <w:start w:val="1"/>
      <w:numFmt w:val="lowerRoman"/>
      <w:lvlText w:val="%6."/>
      <w:lvlJc w:val="right"/>
      <w:pPr>
        <w:tabs>
          <w:tab w:val="num" w:pos="3998"/>
        </w:tabs>
        <w:ind w:left="3998" w:hanging="180"/>
      </w:pPr>
      <w:rPr>
        <w:rFonts w:cs="Times New Roman"/>
      </w:rPr>
    </w:lvl>
    <w:lvl w:ilvl="6">
      <w:start w:val="1"/>
      <w:numFmt w:val="decimal"/>
      <w:lvlText w:val="%7."/>
      <w:lvlJc w:val="left"/>
      <w:pPr>
        <w:tabs>
          <w:tab w:val="num" w:pos="4718"/>
        </w:tabs>
        <w:ind w:left="4718" w:hanging="360"/>
      </w:pPr>
      <w:rPr>
        <w:rFonts w:cs="Times New Roman"/>
      </w:rPr>
    </w:lvl>
    <w:lvl w:ilvl="7">
      <w:start w:val="1"/>
      <w:numFmt w:val="lowerLetter"/>
      <w:lvlText w:val="%8."/>
      <w:lvlJc w:val="left"/>
      <w:pPr>
        <w:tabs>
          <w:tab w:val="num" w:pos="5438"/>
        </w:tabs>
        <w:ind w:left="5438" w:hanging="360"/>
      </w:pPr>
      <w:rPr>
        <w:rFonts w:cs="Times New Roman"/>
      </w:rPr>
    </w:lvl>
    <w:lvl w:ilvl="8">
      <w:start w:val="1"/>
      <w:numFmt w:val="lowerRoman"/>
      <w:lvlText w:val="%9."/>
      <w:lvlJc w:val="right"/>
      <w:pPr>
        <w:tabs>
          <w:tab w:val="num" w:pos="6158"/>
        </w:tabs>
        <w:ind w:left="6158" w:hanging="180"/>
      </w:pPr>
      <w:rPr>
        <w:rFonts w:cs="Times New Roman"/>
      </w:rPr>
    </w:lvl>
  </w:abstractNum>
  <w:abstractNum w:abstractNumId="38">
    <w:nsid w:val="5AEB3C74"/>
    <w:multiLevelType w:val="multilevel"/>
    <w:tmpl w:val="BB124FB2"/>
    <w:lvl w:ilvl="0">
      <w:start w:val="1"/>
      <w:numFmt w:val="none"/>
      <w:lvlText w:val="v."/>
      <w:lvlJc w:val="right"/>
      <w:pPr>
        <w:ind w:left="1287" w:hanging="360"/>
      </w:pPr>
      <w:rPr>
        <w:rFonts w:cs="Times New Roman"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9">
    <w:nsid w:val="622D1BC2"/>
    <w:multiLevelType w:val="multilevel"/>
    <w:tmpl w:val="FDE266E4"/>
    <w:lvl w:ilvl="0">
      <w:start w:val="2"/>
      <w:numFmt w:val="lowerLetter"/>
      <w:lvlText w:val="%1."/>
      <w:lvlJc w:val="left"/>
      <w:pPr>
        <w:tabs>
          <w:tab w:val="num" w:pos="360"/>
        </w:tabs>
        <w:ind w:left="360" w:hanging="360"/>
      </w:pPr>
      <w:rPr>
        <w:rFonts w:ascii="Times New Roman" w:hAnsi="Times New Roman" w:cs="Times New Roman" w:hint="default"/>
        <w:b w:val="0"/>
        <w:i w:val="0"/>
        <w:color w:val="000000"/>
        <w:sz w:val="22"/>
        <w:szCs w:val="22"/>
      </w:rPr>
    </w:lvl>
    <w:lvl w:ilvl="1">
      <w:start w:val="2"/>
      <w:numFmt w:val="lowerRoman"/>
      <w:lvlText w:val="%2."/>
      <w:lvlJc w:val="left"/>
      <w:pPr>
        <w:tabs>
          <w:tab w:val="num" w:pos="1478"/>
        </w:tabs>
        <w:ind w:left="1478" w:hanging="720"/>
      </w:pPr>
      <w:rPr>
        <w:rFonts w:cs="Times New Roman" w:hint="default"/>
      </w:rPr>
    </w:lvl>
    <w:lvl w:ilvl="2">
      <w:start w:val="1"/>
      <w:numFmt w:val="lowerRoman"/>
      <w:lvlText w:val="%3."/>
      <w:lvlJc w:val="right"/>
      <w:pPr>
        <w:tabs>
          <w:tab w:val="num" w:pos="1838"/>
        </w:tabs>
        <w:ind w:left="1838" w:hanging="180"/>
      </w:pPr>
      <w:rPr>
        <w:rFonts w:cs="Times New Roman" w:hint="default"/>
      </w:rPr>
    </w:lvl>
    <w:lvl w:ilvl="3">
      <w:start w:val="1"/>
      <w:numFmt w:val="decimal"/>
      <w:lvlText w:val="%4."/>
      <w:lvlJc w:val="left"/>
      <w:pPr>
        <w:tabs>
          <w:tab w:val="num" w:pos="2558"/>
        </w:tabs>
        <w:ind w:left="2558" w:hanging="360"/>
      </w:pPr>
      <w:rPr>
        <w:rFonts w:cs="Times New Roman" w:hint="default"/>
      </w:rPr>
    </w:lvl>
    <w:lvl w:ilvl="4">
      <w:start w:val="1"/>
      <w:numFmt w:val="lowerLetter"/>
      <w:lvlText w:val="%5."/>
      <w:lvlJc w:val="left"/>
      <w:pPr>
        <w:tabs>
          <w:tab w:val="num" w:pos="3278"/>
        </w:tabs>
        <w:ind w:left="3278" w:hanging="360"/>
      </w:pPr>
      <w:rPr>
        <w:rFonts w:cs="Times New Roman" w:hint="default"/>
      </w:rPr>
    </w:lvl>
    <w:lvl w:ilvl="5">
      <w:start w:val="1"/>
      <w:numFmt w:val="lowerRoman"/>
      <w:lvlText w:val="%6."/>
      <w:lvlJc w:val="right"/>
      <w:pPr>
        <w:tabs>
          <w:tab w:val="num" w:pos="3998"/>
        </w:tabs>
        <w:ind w:left="3998" w:hanging="180"/>
      </w:pPr>
      <w:rPr>
        <w:rFonts w:cs="Times New Roman" w:hint="default"/>
      </w:rPr>
    </w:lvl>
    <w:lvl w:ilvl="6">
      <w:start w:val="1"/>
      <w:numFmt w:val="decimal"/>
      <w:lvlText w:val="%7."/>
      <w:lvlJc w:val="left"/>
      <w:pPr>
        <w:tabs>
          <w:tab w:val="num" w:pos="4718"/>
        </w:tabs>
        <w:ind w:left="4718" w:hanging="360"/>
      </w:pPr>
      <w:rPr>
        <w:rFonts w:cs="Times New Roman" w:hint="default"/>
      </w:rPr>
    </w:lvl>
    <w:lvl w:ilvl="7">
      <w:start w:val="1"/>
      <w:numFmt w:val="lowerLetter"/>
      <w:lvlText w:val="%8."/>
      <w:lvlJc w:val="left"/>
      <w:pPr>
        <w:tabs>
          <w:tab w:val="num" w:pos="5438"/>
        </w:tabs>
        <w:ind w:left="5438" w:hanging="360"/>
      </w:pPr>
      <w:rPr>
        <w:rFonts w:cs="Times New Roman" w:hint="default"/>
      </w:rPr>
    </w:lvl>
    <w:lvl w:ilvl="8">
      <w:start w:val="1"/>
      <w:numFmt w:val="lowerRoman"/>
      <w:lvlText w:val="%9."/>
      <w:lvlJc w:val="right"/>
      <w:pPr>
        <w:tabs>
          <w:tab w:val="num" w:pos="6158"/>
        </w:tabs>
        <w:ind w:left="6158" w:hanging="180"/>
      </w:pPr>
      <w:rPr>
        <w:rFonts w:cs="Times New Roman" w:hint="default"/>
      </w:rPr>
    </w:lvl>
  </w:abstractNum>
  <w:abstractNum w:abstractNumId="40">
    <w:nsid w:val="6607625A"/>
    <w:multiLevelType w:val="multilevel"/>
    <w:tmpl w:val="AF363712"/>
    <w:numStyleLink w:val="Estilo1"/>
  </w:abstractNum>
  <w:abstractNum w:abstractNumId="41">
    <w:nsid w:val="6A297398"/>
    <w:multiLevelType w:val="hybridMultilevel"/>
    <w:tmpl w:val="95E64846"/>
    <w:lvl w:ilvl="0" w:tplc="64BAA82E">
      <w:start w:val="1"/>
      <w:numFmt w:val="lowerRoman"/>
      <w:lvlText w:val="%1."/>
      <w:lvlJc w:val="left"/>
      <w:pPr>
        <w:ind w:left="540" w:hanging="720"/>
      </w:pPr>
      <w:rPr>
        <w:rFonts w:ascii="Times New Roman" w:eastAsia="Times New Roman" w:hAnsi="Times New Roman" w:cs="Times New Roman" w:hint="default"/>
        <w:color w:val="0000FF"/>
        <w:sz w:val="24"/>
        <w:u w:val="single"/>
      </w:rPr>
    </w:lvl>
    <w:lvl w:ilvl="1" w:tplc="0C0A0019" w:tentative="1">
      <w:start w:val="1"/>
      <w:numFmt w:val="lowerLetter"/>
      <w:lvlText w:val="%2."/>
      <w:lvlJc w:val="left"/>
      <w:pPr>
        <w:ind w:left="900" w:hanging="360"/>
      </w:pPr>
    </w:lvl>
    <w:lvl w:ilvl="2" w:tplc="0C0A001B" w:tentative="1">
      <w:start w:val="1"/>
      <w:numFmt w:val="lowerRoman"/>
      <w:lvlText w:val="%3."/>
      <w:lvlJc w:val="right"/>
      <w:pPr>
        <w:ind w:left="1620" w:hanging="180"/>
      </w:pPr>
    </w:lvl>
    <w:lvl w:ilvl="3" w:tplc="0C0A000F" w:tentative="1">
      <w:start w:val="1"/>
      <w:numFmt w:val="decimal"/>
      <w:lvlText w:val="%4."/>
      <w:lvlJc w:val="left"/>
      <w:pPr>
        <w:ind w:left="2340" w:hanging="360"/>
      </w:pPr>
    </w:lvl>
    <w:lvl w:ilvl="4" w:tplc="0C0A0019" w:tentative="1">
      <w:start w:val="1"/>
      <w:numFmt w:val="lowerLetter"/>
      <w:lvlText w:val="%5."/>
      <w:lvlJc w:val="left"/>
      <w:pPr>
        <w:ind w:left="3060" w:hanging="360"/>
      </w:pPr>
    </w:lvl>
    <w:lvl w:ilvl="5" w:tplc="0C0A001B" w:tentative="1">
      <w:start w:val="1"/>
      <w:numFmt w:val="lowerRoman"/>
      <w:lvlText w:val="%6."/>
      <w:lvlJc w:val="right"/>
      <w:pPr>
        <w:ind w:left="3780" w:hanging="180"/>
      </w:pPr>
    </w:lvl>
    <w:lvl w:ilvl="6" w:tplc="0C0A000F" w:tentative="1">
      <w:start w:val="1"/>
      <w:numFmt w:val="decimal"/>
      <w:lvlText w:val="%7."/>
      <w:lvlJc w:val="left"/>
      <w:pPr>
        <w:ind w:left="4500" w:hanging="360"/>
      </w:pPr>
    </w:lvl>
    <w:lvl w:ilvl="7" w:tplc="0C0A0019" w:tentative="1">
      <w:start w:val="1"/>
      <w:numFmt w:val="lowerLetter"/>
      <w:lvlText w:val="%8."/>
      <w:lvlJc w:val="left"/>
      <w:pPr>
        <w:ind w:left="5220" w:hanging="360"/>
      </w:pPr>
    </w:lvl>
    <w:lvl w:ilvl="8" w:tplc="0C0A001B" w:tentative="1">
      <w:start w:val="1"/>
      <w:numFmt w:val="lowerRoman"/>
      <w:lvlText w:val="%9."/>
      <w:lvlJc w:val="right"/>
      <w:pPr>
        <w:ind w:left="5940" w:hanging="180"/>
      </w:pPr>
    </w:lvl>
  </w:abstractNum>
  <w:abstractNum w:abstractNumId="42">
    <w:nsid w:val="716D4270"/>
    <w:multiLevelType w:val="multilevel"/>
    <w:tmpl w:val="83DC1C1C"/>
    <w:lvl w:ilvl="0">
      <w:start w:val="1"/>
      <w:numFmt w:val="lowerLetter"/>
      <w:lvlText w:val="%1."/>
      <w:lvlJc w:val="left"/>
      <w:pPr>
        <w:tabs>
          <w:tab w:val="num" w:pos="360"/>
        </w:tabs>
        <w:ind w:left="360" w:hanging="360"/>
      </w:pPr>
      <w:rPr>
        <w:rFonts w:ascii="Times New Roman" w:hAnsi="Times New Roman" w:cs="Times New Roman" w:hint="default"/>
        <w:b w:val="0"/>
        <w:i w:val="0"/>
        <w:color w:val="000000"/>
        <w:sz w:val="22"/>
        <w:szCs w:val="22"/>
      </w:rPr>
    </w:lvl>
    <w:lvl w:ilvl="1">
      <w:start w:val="2"/>
      <w:numFmt w:val="lowerRoman"/>
      <w:lvlText w:val="%2."/>
      <w:lvlJc w:val="left"/>
      <w:pPr>
        <w:tabs>
          <w:tab w:val="num" w:pos="1478"/>
        </w:tabs>
        <w:ind w:left="1478" w:hanging="720"/>
      </w:pPr>
      <w:rPr>
        <w:rFonts w:cs="Times New Roman" w:hint="default"/>
      </w:rPr>
    </w:lvl>
    <w:lvl w:ilvl="2">
      <w:start w:val="1"/>
      <w:numFmt w:val="lowerRoman"/>
      <w:lvlText w:val="%3."/>
      <w:lvlJc w:val="right"/>
      <w:pPr>
        <w:tabs>
          <w:tab w:val="num" w:pos="1838"/>
        </w:tabs>
        <w:ind w:left="1838" w:hanging="180"/>
      </w:pPr>
      <w:rPr>
        <w:rFonts w:cs="Times New Roman" w:hint="default"/>
      </w:rPr>
    </w:lvl>
    <w:lvl w:ilvl="3">
      <w:start w:val="1"/>
      <w:numFmt w:val="decimal"/>
      <w:lvlText w:val="%4."/>
      <w:lvlJc w:val="left"/>
      <w:pPr>
        <w:tabs>
          <w:tab w:val="num" w:pos="2558"/>
        </w:tabs>
        <w:ind w:left="2558" w:hanging="360"/>
      </w:pPr>
      <w:rPr>
        <w:rFonts w:cs="Times New Roman" w:hint="default"/>
      </w:rPr>
    </w:lvl>
    <w:lvl w:ilvl="4">
      <w:start w:val="1"/>
      <w:numFmt w:val="lowerLetter"/>
      <w:lvlText w:val="%5."/>
      <w:lvlJc w:val="left"/>
      <w:pPr>
        <w:tabs>
          <w:tab w:val="num" w:pos="3278"/>
        </w:tabs>
        <w:ind w:left="3278" w:hanging="360"/>
      </w:pPr>
      <w:rPr>
        <w:rFonts w:cs="Times New Roman" w:hint="default"/>
      </w:rPr>
    </w:lvl>
    <w:lvl w:ilvl="5">
      <w:start w:val="1"/>
      <w:numFmt w:val="lowerRoman"/>
      <w:lvlText w:val="%6."/>
      <w:lvlJc w:val="right"/>
      <w:pPr>
        <w:tabs>
          <w:tab w:val="num" w:pos="3998"/>
        </w:tabs>
        <w:ind w:left="3998" w:hanging="180"/>
      </w:pPr>
      <w:rPr>
        <w:rFonts w:cs="Times New Roman" w:hint="default"/>
      </w:rPr>
    </w:lvl>
    <w:lvl w:ilvl="6">
      <w:start w:val="1"/>
      <w:numFmt w:val="decimal"/>
      <w:lvlText w:val="%7."/>
      <w:lvlJc w:val="left"/>
      <w:pPr>
        <w:tabs>
          <w:tab w:val="num" w:pos="4718"/>
        </w:tabs>
        <w:ind w:left="4718" w:hanging="360"/>
      </w:pPr>
      <w:rPr>
        <w:rFonts w:cs="Times New Roman" w:hint="default"/>
      </w:rPr>
    </w:lvl>
    <w:lvl w:ilvl="7">
      <w:start w:val="1"/>
      <w:numFmt w:val="lowerLetter"/>
      <w:lvlText w:val="%8."/>
      <w:lvlJc w:val="left"/>
      <w:pPr>
        <w:tabs>
          <w:tab w:val="num" w:pos="5438"/>
        </w:tabs>
        <w:ind w:left="5438" w:hanging="360"/>
      </w:pPr>
      <w:rPr>
        <w:rFonts w:cs="Times New Roman" w:hint="default"/>
      </w:rPr>
    </w:lvl>
    <w:lvl w:ilvl="8">
      <w:start w:val="1"/>
      <w:numFmt w:val="lowerRoman"/>
      <w:lvlText w:val="%9."/>
      <w:lvlJc w:val="right"/>
      <w:pPr>
        <w:tabs>
          <w:tab w:val="num" w:pos="6158"/>
        </w:tabs>
        <w:ind w:left="6158" w:hanging="180"/>
      </w:pPr>
      <w:rPr>
        <w:rFonts w:cs="Times New Roman" w:hint="default"/>
      </w:rPr>
    </w:lvl>
  </w:abstractNum>
  <w:abstractNum w:abstractNumId="43">
    <w:nsid w:val="72E4758E"/>
    <w:multiLevelType w:val="hybridMultilevel"/>
    <w:tmpl w:val="599AEB36"/>
    <w:lvl w:ilvl="0" w:tplc="0C0A0019">
      <w:start w:val="1"/>
      <w:numFmt w:val="lowerLetter"/>
      <w:lvlText w:val="%1."/>
      <w:lvlJc w:val="left"/>
      <w:pPr>
        <w:tabs>
          <w:tab w:val="num" w:pos="540"/>
        </w:tabs>
        <w:ind w:left="540" w:hanging="360"/>
      </w:pPr>
      <w:rPr>
        <w:rFonts w:cs="Times New Roman"/>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44">
    <w:nsid w:val="798416F4"/>
    <w:multiLevelType w:val="multilevel"/>
    <w:tmpl w:val="AF363712"/>
    <w:numStyleLink w:val="Estilo1"/>
  </w:abstractNum>
  <w:abstractNum w:abstractNumId="45">
    <w:nsid w:val="7BBE7BA4"/>
    <w:multiLevelType w:val="hybridMultilevel"/>
    <w:tmpl w:val="F89407D4"/>
    <w:lvl w:ilvl="0" w:tplc="86468C60">
      <w:start w:val="1"/>
      <w:numFmt w:val="lowerRoman"/>
      <w:pStyle w:val="listai"/>
      <w:lvlText w:val="%1."/>
      <w:lvlJc w:val="left"/>
      <w:pPr>
        <w:tabs>
          <w:tab w:val="num" w:pos="1620"/>
        </w:tabs>
        <w:ind w:left="1620" w:hanging="720"/>
      </w:pPr>
      <w:rPr>
        <w:rFonts w:ascii="Times New Roman" w:hAnsi="Times New Roman" w:cs="Times New Roman" w:hint="default"/>
        <w:sz w:val="24"/>
        <w:szCs w:val="24"/>
      </w:rPr>
    </w:lvl>
    <w:lvl w:ilvl="1" w:tplc="140A0019" w:tentative="1">
      <w:start w:val="1"/>
      <w:numFmt w:val="lowerLetter"/>
      <w:lvlText w:val="%2."/>
      <w:lvlJc w:val="left"/>
      <w:pPr>
        <w:tabs>
          <w:tab w:val="num" w:pos="2160"/>
        </w:tabs>
        <w:ind w:left="2160" w:hanging="360"/>
      </w:pPr>
      <w:rPr>
        <w:rFonts w:cs="Times New Roman"/>
      </w:rPr>
    </w:lvl>
    <w:lvl w:ilvl="2" w:tplc="140A001B" w:tentative="1">
      <w:start w:val="1"/>
      <w:numFmt w:val="lowerRoman"/>
      <w:lvlText w:val="%3."/>
      <w:lvlJc w:val="right"/>
      <w:pPr>
        <w:tabs>
          <w:tab w:val="num" w:pos="2880"/>
        </w:tabs>
        <w:ind w:left="2880" w:hanging="180"/>
      </w:pPr>
      <w:rPr>
        <w:rFonts w:cs="Times New Roman"/>
      </w:rPr>
    </w:lvl>
    <w:lvl w:ilvl="3" w:tplc="140A000F" w:tentative="1">
      <w:start w:val="1"/>
      <w:numFmt w:val="decimal"/>
      <w:lvlText w:val="%4."/>
      <w:lvlJc w:val="left"/>
      <w:pPr>
        <w:tabs>
          <w:tab w:val="num" w:pos="3600"/>
        </w:tabs>
        <w:ind w:left="3600" w:hanging="360"/>
      </w:pPr>
      <w:rPr>
        <w:rFonts w:cs="Times New Roman"/>
      </w:rPr>
    </w:lvl>
    <w:lvl w:ilvl="4" w:tplc="140A0019" w:tentative="1">
      <w:start w:val="1"/>
      <w:numFmt w:val="lowerLetter"/>
      <w:lvlText w:val="%5."/>
      <w:lvlJc w:val="left"/>
      <w:pPr>
        <w:tabs>
          <w:tab w:val="num" w:pos="4320"/>
        </w:tabs>
        <w:ind w:left="4320" w:hanging="360"/>
      </w:pPr>
      <w:rPr>
        <w:rFonts w:cs="Times New Roman"/>
      </w:rPr>
    </w:lvl>
    <w:lvl w:ilvl="5" w:tplc="140A001B" w:tentative="1">
      <w:start w:val="1"/>
      <w:numFmt w:val="lowerRoman"/>
      <w:lvlText w:val="%6."/>
      <w:lvlJc w:val="right"/>
      <w:pPr>
        <w:tabs>
          <w:tab w:val="num" w:pos="5040"/>
        </w:tabs>
        <w:ind w:left="5040" w:hanging="180"/>
      </w:pPr>
      <w:rPr>
        <w:rFonts w:cs="Times New Roman"/>
      </w:rPr>
    </w:lvl>
    <w:lvl w:ilvl="6" w:tplc="140A000F" w:tentative="1">
      <w:start w:val="1"/>
      <w:numFmt w:val="decimal"/>
      <w:lvlText w:val="%7."/>
      <w:lvlJc w:val="left"/>
      <w:pPr>
        <w:tabs>
          <w:tab w:val="num" w:pos="5760"/>
        </w:tabs>
        <w:ind w:left="5760" w:hanging="360"/>
      </w:pPr>
      <w:rPr>
        <w:rFonts w:cs="Times New Roman"/>
      </w:rPr>
    </w:lvl>
    <w:lvl w:ilvl="7" w:tplc="140A0019" w:tentative="1">
      <w:start w:val="1"/>
      <w:numFmt w:val="lowerLetter"/>
      <w:lvlText w:val="%8."/>
      <w:lvlJc w:val="left"/>
      <w:pPr>
        <w:tabs>
          <w:tab w:val="num" w:pos="6480"/>
        </w:tabs>
        <w:ind w:left="6480" w:hanging="360"/>
      </w:pPr>
      <w:rPr>
        <w:rFonts w:cs="Times New Roman"/>
      </w:rPr>
    </w:lvl>
    <w:lvl w:ilvl="8" w:tplc="140A001B" w:tentative="1">
      <w:start w:val="1"/>
      <w:numFmt w:val="lowerRoman"/>
      <w:lvlText w:val="%9."/>
      <w:lvlJc w:val="right"/>
      <w:pPr>
        <w:tabs>
          <w:tab w:val="num" w:pos="7200"/>
        </w:tabs>
        <w:ind w:left="7200" w:hanging="180"/>
      </w:pPr>
      <w:rPr>
        <w:rFonts w:cs="Times New Roman"/>
      </w:rPr>
    </w:lvl>
  </w:abstractNum>
  <w:abstractNum w:abstractNumId="46">
    <w:nsid w:val="7BCB6AE1"/>
    <w:multiLevelType w:val="hybridMultilevel"/>
    <w:tmpl w:val="749AB9A2"/>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7CC31F0C"/>
    <w:multiLevelType w:val="multilevel"/>
    <w:tmpl w:val="2E5494C6"/>
    <w:lvl w:ilvl="0">
      <w:start w:val="1"/>
      <w:numFmt w:val="lowerLetter"/>
      <w:lvlText w:val="%1."/>
      <w:lvlJc w:val="left"/>
      <w:pPr>
        <w:tabs>
          <w:tab w:val="num" w:pos="360"/>
        </w:tabs>
        <w:ind w:left="360" w:hanging="360"/>
      </w:pPr>
      <w:rPr>
        <w:rFonts w:ascii="Times New Roman" w:hAnsi="Times New Roman" w:cs="Times New Roman" w:hint="default"/>
        <w:b w:val="0"/>
        <w:i w:val="0"/>
        <w:color w:val="000000"/>
        <w:sz w:val="22"/>
        <w:szCs w:val="22"/>
      </w:rPr>
    </w:lvl>
    <w:lvl w:ilvl="1">
      <w:start w:val="2"/>
      <w:numFmt w:val="lowerRoman"/>
      <w:lvlText w:val="%2."/>
      <w:lvlJc w:val="left"/>
      <w:pPr>
        <w:tabs>
          <w:tab w:val="num" w:pos="1478"/>
        </w:tabs>
        <w:ind w:left="1478" w:hanging="720"/>
      </w:pPr>
      <w:rPr>
        <w:rFonts w:cs="Times New Roman" w:hint="default"/>
      </w:rPr>
    </w:lvl>
    <w:lvl w:ilvl="2">
      <w:start w:val="1"/>
      <w:numFmt w:val="lowerRoman"/>
      <w:lvlText w:val="%3."/>
      <w:lvlJc w:val="right"/>
      <w:pPr>
        <w:tabs>
          <w:tab w:val="num" w:pos="1838"/>
        </w:tabs>
        <w:ind w:left="1838" w:hanging="180"/>
      </w:pPr>
      <w:rPr>
        <w:rFonts w:cs="Times New Roman" w:hint="default"/>
      </w:rPr>
    </w:lvl>
    <w:lvl w:ilvl="3">
      <w:start w:val="1"/>
      <w:numFmt w:val="decimal"/>
      <w:lvlText w:val="%4."/>
      <w:lvlJc w:val="left"/>
      <w:pPr>
        <w:tabs>
          <w:tab w:val="num" w:pos="2558"/>
        </w:tabs>
        <w:ind w:left="2558" w:hanging="360"/>
      </w:pPr>
      <w:rPr>
        <w:rFonts w:cs="Times New Roman" w:hint="default"/>
      </w:rPr>
    </w:lvl>
    <w:lvl w:ilvl="4">
      <w:start w:val="1"/>
      <w:numFmt w:val="lowerLetter"/>
      <w:lvlText w:val="%5."/>
      <w:lvlJc w:val="left"/>
      <w:pPr>
        <w:tabs>
          <w:tab w:val="num" w:pos="3278"/>
        </w:tabs>
        <w:ind w:left="3278" w:hanging="360"/>
      </w:pPr>
      <w:rPr>
        <w:rFonts w:cs="Times New Roman" w:hint="default"/>
      </w:rPr>
    </w:lvl>
    <w:lvl w:ilvl="5">
      <w:start w:val="1"/>
      <w:numFmt w:val="lowerRoman"/>
      <w:lvlText w:val="%6."/>
      <w:lvlJc w:val="right"/>
      <w:pPr>
        <w:tabs>
          <w:tab w:val="num" w:pos="3998"/>
        </w:tabs>
        <w:ind w:left="3998" w:hanging="180"/>
      </w:pPr>
      <w:rPr>
        <w:rFonts w:cs="Times New Roman" w:hint="default"/>
      </w:rPr>
    </w:lvl>
    <w:lvl w:ilvl="6">
      <w:start w:val="1"/>
      <w:numFmt w:val="decimal"/>
      <w:lvlText w:val="%7."/>
      <w:lvlJc w:val="left"/>
      <w:pPr>
        <w:tabs>
          <w:tab w:val="num" w:pos="4718"/>
        </w:tabs>
        <w:ind w:left="4718" w:hanging="360"/>
      </w:pPr>
      <w:rPr>
        <w:rFonts w:cs="Times New Roman" w:hint="default"/>
      </w:rPr>
    </w:lvl>
    <w:lvl w:ilvl="7">
      <w:start w:val="1"/>
      <w:numFmt w:val="lowerLetter"/>
      <w:lvlText w:val="%8."/>
      <w:lvlJc w:val="left"/>
      <w:pPr>
        <w:tabs>
          <w:tab w:val="num" w:pos="5438"/>
        </w:tabs>
        <w:ind w:left="5438" w:hanging="360"/>
      </w:pPr>
      <w:rPr>
        <w:rFonts w:cs="Times New Roman" w:hint="default"/>
      </w:rPr>
    </w:lvl>
    <w:lvl w:ilvl="8">
      <w:start w:val="1"/>
      <w:numFmt w:val="lowerRoman"/>
      <w:lvlText w:val="%9."/>
      <w:lvlJc w:val="right"/>
      <w:pPr>
        <w:tabs>
          <w:tab w:val="num" w:pos="6158"/>
        </w:tabs>
        <w:ind w:left="6158" w:hanging="180"/>
      </w:pPr>
      <w:rPr>
        <w:rFonts w:cs="Times New Roman" w:hint="default"/>
      </w:rPr>
    </w:lvl>
  </w:abstractNum>
  <w:num w:numId="1">
    <w:abstractNumId w:val="46"/>
  </w:num>
  <w:num w:numId="2">
    <w:abstractNumId w:val="14"/>
  </w:num>
  <w:num w:numId="3">
    <w:abstractNumId w:val="10"/>
  </w:num>
  <w:num w:numId="4">
    <w:abstractNumId w:val="36"/>
  </w:num>
  <w:num w:numId="5">
    <w:abstractNumId w:val="31"/>
  </w:num>
  <w:num w:numId="6">
    <w:abstractNumId w:val="45"/>
  </w:num>
  <w:num w:numId="7">
    <w:abstractNumId w:val="28"/>
  </w:num>
  <w:num w:numId="8">
    <w:abstractNumId w:val="34"/>
  </w:num>
  <w:num w:numId="9">
    <w:abstractNumId w:val="26"/>
  </w:num>
  <w:num w:numId="10">
    <w:abstractNumId w:val="11"/>
    <w:lvlOverride w:ilvl="0">
      <w:startOverride w:val="1"/>
    </w:lvlOverride>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11"/>
    <w:lvlOverride w:ilvl="0">
      <w:startOverride w:val="1"/>
    </w:lvlOverride>
  </w:num>
  <w:num w:numId="15">
    <w:abstractNumId w:val="11"/>
    <w:lvlOverride w:ilvl="0">
      <w:startOverride w:val="1"/>
    </w:lvlOverride>
  </w:num>
  <w:num w:numId="16">
    <w:abstractNumId w:val="11"/>
    <w:lvlOverride w:ilvl="0">
      <w:startOverride w:val="1"/>
    </w:lvlOverride>
  </w:num>
  <w:num w:numId="17">
    <w:abstractNumId w:val="21"/>
  </w:num>
  <w:num w:numId="18">
    <w:abstractNumId w:val="13"/>
  </w:num>
  <w:num w:numId="19">
    <w:abstractNumId w:val="11"/>
    <w:lvlOverride w:ilvl="0">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num>
  <w:num w:numId="22">
    <w:abstractNumId w:val="37"/>
  </w:num>
  <w:num w:numId="23">
    <w:abstractNumId w:val="23"/>
  </w:num>
  <w:num w:numId="24">
    <w:abstractNumId w:val="11"/>
    <w:lvlOverride w:ilvl="0">
      <w:startOverride w:val="1"/>
    </w:lvlOverride>
  </w:num>
  <w:num w:numId="25">
    <w:abstractNumId w:val="24"/>
  </w:num>
  <w:num w:numId="26">
    <w:abstractNumId w:val="6"/>
  </w:num>
  <w:num w:numId="27">
    <w:abstractNumId w:val="40"/>
  </w:num>
  <w:num w:numId="28">
    <w:abstractNumId w:val="42"/>
  </w:num>
  <w:num w:numId="29">
    <w:abstractNumId w:val="44"/>
  </w:num>
  <w:num w:numId="30">
    <w:abstractNumId w:val="0"/>
  </w:num>
  <w:num w:numId="31">
    <w:abstractNumId w:val="22"/>
  </w:num>
  <w:num w:numId="32">
    <w:abstractNumId w:val="47"/>
  </w:num>
  <w:num w:numId="33">
    <w:abstractNumId w:val="1"/>
  </w:num>
  <w:num w:numId="34">
    <w:abstractNumId w:val="11"/>
  </w:num>
  <w:num w:numId="35">
    <w:abstractNumId w:val="25"/>
  </w:num>
  <w:num w:numId="36">
    <w:abstractNumId w:val="43"/>
  </w:num>
  <w:num w:numId="37">
    <w:abstractNumId w:val="29"/>
  </w:num>
  <w:num w:numId="38">
    <w:abstractNumId w:val="3"/>
  </w:num>
  <w:num w:numId="39">
    <w:abstractNumId w:val="17"/>
  </w:num>
  <w:num w:numId="40">
    <w:abstractNumId w:val="16"/>
  </w:num>
  <w:num w:numId="41">
    <w:abstractNumId w:val="4"/>
  </w:num>
  <w:num w:numId="42">
    <w:abstractNumId w:val="5"/>
  </w:num>
  <w:num w:numId="43">
    <w:abstractNumId w:val="7"/>
  </w:num>
  <w:num w:numId="44">
    <w:abstractNumId w:val="19"/>
  </w:num>
  <w:num w:numId="45">
    <w:abstractNumId w:val="39"/>
  </w:num>
  <w:num w:numId="46">
    <w:abstractNumId w:val="18"/>
  </w:num>
  <w:num w:numId="47">
    <w:abstractNumId w:val="38"/>
  </w:num>
  <w:num w:numId="48">
    <w:abstractNumId w:val="30"/>
  </w:num>
  <w:num w:numId="49">
    <w:abstractNumId w:val="33"/>
  </w:num>
  <w:num w:numId="50">
    <w:abstractNumId w:val="15"/>
  </w:num>
  <w:num w:numId="51">
    <w:abstractNumId w:val="9"/>
  </w:num>
  <w:num w:numId="52">
    <w:abstractNumId w:val="20"/>
  </w:num>
  <w:num w:numId="53">
    <w:abstractNumId w:val="35"/>
  </w:num>
  <w:num w:numId="54">
    <w:abstractNumId w:val="27"/>
  </w:num>
  <w:num w:numId="55">
    <w:abstractNumId w:val="32"/>
  </w:num>
  <w:num w:numId="56">
    <w:abstractNumId w:val="2"/>
  </w:num>
  <w:num w:numId="57">
    <w:abstractNumId w:val="8"/>
  </w:num>
  <w:num w:numId="58">
    <w:abstractNumId w:val="41"/>
  </w:num>
  <w:num w:numId="59">
    <w:abstractNumId w:val="12"/>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20"/>
  <w:hyphenationZone w:val="425"/>
  <w:characterSpacingControl w:val="doNotCompress"/>
  <w:hdrShapeDefaults>
    <o:shapedefaults v:ext="edit" spidmax="108545"/>
  </w:hdrShapeDefaults>
  <w:footnotePr>
    <w:footnote w:id="-1"/>
    <w:footnote w:id="0"/>
  </w:footnotePr>
  <w:endnotePr>
    <w:endnote w:id="-1"/>
    <w:endnote w:id="0"/>
  </w:endnotePr>
  <w:compat/>
  <w:rsids>
    <w:rsidRoot w:val="00372D24"/>
    <w:rsid w:val="0000291B"/>
    <w:rsid w:val="00005E2D"/>
    <w:rsid w:val="00006295"/>
    <w:rsid w:val="00015897"/>
    <w:rsid w:val="0002090A"/>
    <w:rsid w:val="000241B2"/>
    <w:rsid w:val="00024298"/>
    <w:rsid w:val="00024977"/>
    <w:rsid w:val="0002534D"/>
    <w:rsid w:val="0003002F"/>
    <w:rsid w:val="00030069"/>
    <w:rsid w:val="00032804"/>
    <w:rsid w:val="00034DF2"/>
    <w:rsid w:val="0004024C"/>
    <w:rsid w:val="00040B9F"/>
    <w:rsid w:val="00043DD2"/>
    <w:rsid w:val="0004531B"/>
    <w:rsid w:val="00060306"/>
    <w:rsid w:val="0006046A"/>
    <w:rsid w:val="00062107"/>
    <w:rsid w:val="0006375D"/>
    <w:rsid w:val="00065BD0"/>
    <w:rsid w:val="00067718"/>
    <w:rsid w:val="00072D2E"/>
    <w:rsid w:val="00076DBA"/>
    <w:rsid w:val="0008194E"/>
    <w:rsid w:val="00082551"/>
    <w:rsid w:val="00082B1E"/>
    <w:rsid w:val="00082CEA"/>
    <w:rsid w:val="000832D9"/>
    <w:rsid w:val="00084F05"/>
    <w:rsid w:val="00085032"/>
    <w:rsid w:val="00086489"/>
    <w:rsid w:val="0008650E"/>
    <w:rsid w:val="000926CB"/>
    <w:rsid w:val="00095AAF"/>
    <w:rsid w:val="000966C1"/>
    <w:rsid w:val="00096DE1"/>
    <w:rsid w:val="0009781C"/>
    <w:rsid w:val="000A049A"/>
    <w:rsid w:val="000A1CC1"/>
    <w:rsid w:val="000A3A83"/>
    <w:rsid w:val="000A3DC9"/>
    <w:rsid w:val="000A5B78"/>
    <w:rsid w:val="000A6734"/>
    <w:rsid w:val="000A6848"/>
    <w:rsid w:val="000A7E27"/>
    <w:rsid w:val="000B5011"/>
    <w:rsid w:val="000B514C"/>
    <w:rsid w:val="000C0561"/>
    <w:rsid w:val="000C445F"/>
    <w:rsid w:val="000C56B2"/>
    <w:rsid w:val="000D1D12"/>
    <w:rsid w:val="000D2EAB"/>
    <w:rsid w:val="000D3608"/>
    <w:rsid w:val="000D4986"/>
    <w:rsid w:val="000D4A1A"/>
    <w:rsid w:val="000D546D"/>
    <w:rsid w:val="000D59A9"/>
    <w:rsid w:val="000D6A13"/>
    <w:rsid w:val="000E20F8"/>
    <w:rsid w:val="000E25F3"/>
    <w:rsid w:val="000E2DDC"/>
    <w:rsid w:val="000E3675"/>
    <w:rsid w:val="000E493D"/>
    <w:rsid w:val="000E4B08"/>
    <w:rsid w:val="000F122A"/>
    <w:rsid w:val="000F629F"/>
    <w:rsid w:val="000F703D"/>
    <w:rsid w:val="000F709A"/>
    <w:rsid w:val="00100F6D"/>
    <w:rsid w:val="0010346B"/>
    <w:rsid w:val="00103BF1"/>
    <w:rsid w:val="001062E3"/>
    <w:rsid w:val="00107034"/>
    <w:rsid w:val="00111A4A"/>
    <w:rsid w:val="001138CE"/>
    <w:rsid w:val="00114B5B"/>
    <w:rsid w:val="001151D4"/>
    <w:rsid w:val="00117318"/>
    <w:rsid w:val="00120B9D"/>
    <w:rsid w:val="00122310"/>
    <w:rsid w:val="00123410"/>
    <w:rsid w:val="00124BCC"/>
    <w:rsid w:val="00124F3D"/>
    <w:rsid w:val="001365D6"/>
    <w:rsid w:val="00140943"/>
    <w:rsid w:val="00142EF7"/>
    <w:rsid w:val="001432B3"/>
    <w:rsid w:val="00146947"/>
    <w:rsid w:val="00146EFC"/>
    <w:rsid w:val="0014708E"/>
    <w:rsid w:val="001471F7"/>
    <w:rsid w:val="00147A74"/>
    <w:rsid w:val="00147F2C"/>
    <w:rsid w:val="001511C9"/>
    <w:rsid w:val="0015131C"/>
    <w:rsid w:val="00152F1E"/>
    <w:rsid w:val="00154B84"/>
    <w:rsid w:val="00154FB3"/>
    <w:rsid w:val="00155AA1"/>
    <w:rsid w:val="001561FC"/>
    <w:rsid w:val="001563DF"/>
    <w:rsid w:val="0016009B"/>
    <w:rsid w:val="001603A6"/>
    <w:rsid w:val="00160AE6"/>
    <w:rsid w:val="00165017"/>
    <w:rsid w:val="00166292"/>
    <w:rsid w:val="00166E0D"/>
    <w:rsid w:val="00171A61"/>
    <w:rsid w:val="001755D0"/>
    <w:rsid w:val="00175AD1"/>
    <w:rsid w:val="00181B40"/>
    <w:rsid w:val="00182224"/>
    <w:rsid w:val="0018672E"/>
    <w:rsid w:val="00186CD4"/>
    <w:rsid w:val="0019026E"/>
    <w:rsid w:val="00191250"/>
    <w:rsid w:val="00192152"/>
    <w:rsid w:val="001931AE"/>
    <w:rsid w:val="00193A25"/>
    <w:rsid w:val="00193F0A"/>
    <w:rsid w:val="0019430E"/>
    <w:rsid w:val="00194FA6"/>
    <w:rsid w:val="001953C2"/>
    <w:rsid w:val="0019664B"/>
    <w:rsid w:val="0019670A"/>
    <w:rsid w:val="00196C1F"/>
    <w:rsid w:val="001A165A"/>
    <w:rsid w:val="001A43C9"/>
    <w:rsid w:val="001B1930"/>
    <w:rsid w:val="001B26DB"/>
    <w:rsid w:val="001B7799"/>
    <w:rsid w:val="001C0377"/>
    <w:rsid w:val="001C0B5F"/>
    <w:rsid w:val="001C1725"/>
    <w:rsid w:val="001C1F03"/>
    <w:rsid w:val="001C2FB7"/>
    <w:rsid w:val="001C331D"/>
    <w:rsid w:val="001C33C4"/>
    <w:rsid w:val="001C396C"/>
    <w:rsid w:val="001C3EBC"/>
    <w:rsid w:val="001C50D1"/>
    <w:rsid w:val="001C5C81"/>
    <w:rsid w:val="001C7CA3"/>
    <w:rsid w:val="001C7F08"/>
    <w:rsid w:val="001D0160"/>
    <w:rsid w:val="001D08FF"/>
    <w:rsid w:val="001D30C9"/>
    <w:rsid w:val="001D3F8E"/>
    <w:rsid w:val="001D5DD6"/>
    <w:rsid w:val="001D68C7"/>
    <w:rsid w:val="001D7F79"/>
    <w:rsid w:val="001E1F6A"/>
    <w:rsid w:val="001E23A9"/>
    <w:rsid w:val="001E2A9A"/>
    <w:rsid w:val="001E4E58"/>
    <w:rsid w:val="001E5F1E"/>
    <w:rsid w:val="001E76BC"/>
    <w:rsid w:val="001E7FC1"/>
    <w:rsid w:val="001F0269"/>
    <w:rsid w:val="001F07DC"/>
    <w:rsid w:val="001F0C82"/>
    <w:rsid w:val="001F2554"/>
    <w:rsid w:val="001F2873"/>
    <w:rsid w:val="001F7790"/>
    <w:rsid w:val="00200602"/>
    <w:rsid w:val="00200BD6"/>
    <w:rsid w:val="002032D8"/>
    <w:rsid w:val="002049DA"/>
    <w:rsid w:val="00205362"/>
    <w:rsid w:val="002059AB"/>
    <w:rsid w:val="002077F0"/>
    <w:rsid w:val="0021030C"/>
    <w:rsid w:val="00214931"/>
    <w:rsid w:val="00216C4E"/>
    <w:rsid w:val="00221F37"/>
    <w:rsid w:val="00222780"/>
    <w:rsid w:val="002266B7"/>
    <w:rsid w:val="00226F61"/>
    <w:rsid w:val="00227159"/>
    <w:rsid w:val="0022715D"/>
    <w:rsid w:val="00230BDD"/>
    <w:rsid w:val="00230DAB"/>
    <w:rsid w:val="00231EAE"/>
    <w:rsid w:val="00232D04"/>
    <w:rsid w:val="0023696F"/>
    <w:rsid w:val="00236BE5"/>
    <w:rsid w:val="00243AA6"/>
    <w:rsid w:val="00244622"/>
    <w:rsid w:val="0024478F"/>
    <w:rsid w:val="0025294E"/>
    <w:rsid w:val="00252F5E"/>
    <w:rsid w:val="00253594"/>
    <w:rsid w:val="00254616"/>
    <w:rsid w:val="002557F3"/>
    <w:rsid w:val="002563D7"/>
    <w:rsid w:val="00256EA1"/>
    <w:rsid w:val="00260B2A"/>
    <w:rsid w:val="00263F59"/>
    <w:rsid w:val="00263FCB"/>
    <w:rsid w:val="00266FC0"/>
    <w:rsid w:val="0026770B"/>
    <w:rsid w:val="00267A55"/>
    <w:rsid w:val="00270EDD"/>
    <w:rsid w:val="00270FE5"/>
    <w:rsid w:val="00273CC8"/>
    <w:rsid w:val="00274BA1"/>
    <w:rsid w:val="00276BB5"/>
    <w:rsid w:val="0027751C"/>
    <w:rsid w:val="0027778C"/>
    <w:rsid w:val="002811C4"/>
    <w:rsid w:val="002826C8"/>
    <w:rsid w:val="002843EA"/>
    <w:rsid w:val="00284EBA"/>
    <w:rsid w:val="00286707"/>
    <w:rsid w:val="002867A0"/>
    <w:rsid w:val="002876B4"/>
    <w:rsid w:val="00290601"/>
    <w:rsid w:val="002906AE"/>
    <w:rsid w:val="002944C1"/>
    <w:rsid w:val="002946AE"/>
    <w:rsid w:val="00294C07"/>
    <w:rsid w:val="0029614E"/>
    <w:rsid w:val="002A1B6F"/>
    <w:rsid w:val="002A2028"/>
    <w:rsid w:val="002A335C"/>
    <w:rsid w:val="002A3574"/>
    <w:rsid w:val="002A7AE3"/>
    <w:rsid w:val="002B09A6"/>
    <w:rsid w:val="002B187D"/>
    <w:rsid w:val="002B21F8"/>
    <w:rsid w:val="002B549E"/>
    <w:rsid w:val="002B5656"/>
    <w:rsid w:val="002B60AB"/>
    <w:rsid w:val="002B7669"/>
    <w:rsid w:val="002B7912"/>
    <w:rsid w:val="002C1A0C"/>
    <w:rsid w:val="002C1B5B"/>
    <w:rsid w:val="002C1C46"/>
    <w:rsid w:val="002C2DFE"/>
    <w:rsid w:val="002C734F"/>
    <w:rsid w:val="002D035B"/>
    <w:rsid w:val="002D0D32"/>
    <w:rsid w:val="002D3599"/>
    <w:rsid w:val="002D4778"/>
    <w:rsid w:val="002D4F14"/>
    <w:rsid w:val="002D5973"/>
    <w:rsid w:val="002D66C7"/>
    <w:rsid w:val="002E0EA2"/>
    <w:rsid w:val="002E4B6F"/>
    <w:rsid w:val="002E5970"/>
    <w:rsid w:val="002E5E82"/>
    <w:rsid w:val="002E630B"/>
    <w:rsid w:val="002F15CA"/>
    <w:rsid w:val="002F2E6F"/>
    <w:rsid w:val="002F2FCE"/>
    <w:rsid w:val="002F35A4"/>
    <w:rsid w:val="002F4895"/>
    <w:rsid w:val="002F6FA7"/>
    <w:rsid w:val="002F72C4"/>
    <w:rsid w:val="002F74E3"/>
    <w:rsid w:val="00303685"/>
    <w:rsid w:val="00303C84"/>
    <w:rsid w:val="00303ED6"/>
    <w:rsid w:val="00304300"/>
    <w:rsid w:val="003059EB"/>
    <w:rsid w:val="00307591"/>
    <w:rsid w:val="0030788C"/>
    <w:rsid w:val="003117C1"/>
    <w:rsid w:val="003117C9"/>
    <w:rsid w:val="00312221"/>
    <w:rsid w:val="00313009"/>
    <w:rsid w:val="0031443C"/>
    <w:rsid w:val="003166C1"/>
    <w:rsid w:val="00316B62"/>
    <w:rsid w:val="00321364"/>
    <w:rsid w:val="00322806"/>
    <w:rsid w:val="003259E7"/>
    <w:rsid w:val="00330A4B"/>
    <w:rsid w:val="003318E4"/>
    <w:rsid w:val="0033254B"/>
    <w:rsid w:val="0033481A"/>
    <w:rsid w:val="00334D47"/>
    <w:rsid w:val="00337014"/>
    <w:rsid w:val="003416F1"/>
    <w:rsid w:val="00341D2D"/>
    <w:rsid w:val="00341DC9"/>
    <w:rsid w:val="003430D1"/>
    <w:rsid w:val="0034315F"/>
    <w:rsid w:val="00346ED9"/>
    <w:rsid w:val="00350350"/>
    <w:rsid w:val="00350FCA"/>
    <w:rsid w:val="003525B6"/>
    <w:rsid w:val="003637DB"/>
    <w:rsid w:val="00371547"/>
    <w:rsid w:val="00371BEC"/>
    <w:rsid w:val="00372D24"/>
    <w:rsid w:val="0037313F"/>
    <w:rsid w:val="00383A44"/>
    <w:rsid w:val="003857F1"/>
    <w:rsid w:val="0038589B"/>
    <w:rsid w:val="00386816"/>
    <w:rsid w:val="0038686F"/>
    <w:rsid w:val="00393EE1"/>
    <w:rsid w:val="00394E75"/>
    <w:rsid w:val="003A23D9"/>
    <w:rsid w:val="003A2731"/>
    <w:rsid w:val="003A343D"/>
    <w:rsid w:val="003A4B76"/>
    <w:rsid w:val="003A79B0"/>
    <w:rsid w:val="003B130A"/>
    <w:rsid w:val="003B1893"/>
    <w:rsid w:val="003B3273"/>
    <w:rsid w:val="003B594E"/>
    <w:rsid w:val="003B6CCC"/>
    <w:rsid w:val="003C101D"/>
    <w:rsid w:val="003C5C4D"/>
    <w:rsid w:val="003D0912"/>
    <w:rsid w:val="003D0DCB"/>
    <w:rsid w:val="003D3BAA"/>
    <w:rsid w:val="003D4E9B"/>
    <w:rsid w:val="003D5EC2"/>
    <w:rsid w:val="003D7B8A"/>
    <w:rsid w:val="003E240B"/>
    <w:rsid w:val="003E25A2"/>
    <w:rsid w:val="003E549D"/>
    <w:rsid w:val="003E5520"/>
    <w:rsid w:val="003E56E0"/>
    <w:rsid w:val="003E67EE"/>
    <w:rsid w:val="003F16C5"/>
    <w:rsid w:val="003F2478"/>
    <w:rsid w:val="003F24DD"/>
    <w:rsid w:val="003F52EB"/>
    <w:rsid w:val="00400B29"/>
    <w:rsid w:val="004016E1"/>
    <w:rsid w:val="00401CAB"/>
    <w:rsid w:val="00404308"/>
    <w:rsid w:val="004055B9"/>
    <w:rsid w:val="00405BBF"/>
    <w:rsid w:val="00406167"/>
    <w:rsid w:val="00406C47"/>
    <w:rsid w:val="00410BA2"/>
    <w:rsid w:val="00412DE2"/>
    <w:rsid w:val="00413ADE"/>
    <w:rsid w:val="0041736E"/>
    <w:rsid w:val="00423157"/>
    <w:rsid w:val="0042460E"/>
    <w:rsid w:val="00424F5E"/>
    <w:rsid w:val="00425964"/>
    <w:rsid w:val="0042620E"/>
    <w:rsid w:val="00427CB8"/>
    <w:rsid w:val="0043173E"/>
    <w:rsid w:val="00433A65"/>
    <w:rsid w:val="0043462F"/>
    <w:rsid w:val="00436123"/>
    <w:rsid w:val="00436691"/>
    <w:rsid w:val="00440616"/>
    <w:rsid w:val="00440CCE"/>
    <w:rsid w:val="00444B4D"/>
    <w:rsid w:val="00445C52"/>
    <w:rsid w:val="004471F0"/>
    <w:rsid w:val="00450385"/>
    <w:rsid w:val="00451B9A"/>
    <w:rsid w:val="00454BB2"/>
    <w:rsid w:val="004569D2"/>
    <w:rsid w:val="00457AD7"/>
    <w:rsid w:val="00457ECF"/>
    <w:rsid w:val="004622E2"/>
    <w:rsid w:val="00462F58"/>
    <w:rsid w:val="0046359B"/>
    <w:rsid w:val="004641E7"/>
    <w:rsid w:val="00465B87"/>
    <w:rsid w:val="00466699"/>
    <w:rsid w:val="004675AD"/>
    <w:rsid w:val="00470B92"/>
    <w:rsid w:val="004711FD"/>
    <w:rsid w:val="00473E94"/>
    <w:rsid w:val="00477F0A"/>
    <w:rsid w:val="00483539"/>
    <w:rsid w:val="00483B46"/>
    <w:rsid w:val="00492255"/>
    <w:rsid w:val="0049502C"/>
    <w:rsid w:val="004A2ADB"/>
    <w:rsid w:val="004A4265"/>
    <w:rsid w:val="004A5DB4"/>
    <w:rsid w:val="004A72AF"/>
    <w:rsid w:val="004A73D2"/>
    <w:rsid w:val="004A789C"/>
    <w:rsid w:val="004B125B"/>
    <w:rsid w:val="004B1719"/>
    <w:rsid w:val="004B26A9"/>
    <w:rsid w:val="004B5FCE"/>
    <w:rsid w:val="004B7E93"/>
    <w:rsid w:val="004C2467"/>
    <w:rsid w:val="004C2AB4"/>
    <w:rsid w:val="004C3CF6"/>
    <w:rsid w:val="004C6862"/>
    <w:rsid w:val="004D12A1"/>
    <w:rsid w:val="004D1921"/>
    <w:rsid w:val="004D1F45"/>
    <w:rsid w:val="004D2736"/>
    <w:rsid w:val="004D568C"/>
    <w:rsid w:val="004D66A0"/>
    <w:rsid w:val="004D794C"/>
    <w:rsid w:val="004D7A5F"/>
    <w:rsid w:val="004E1A2A"/>
    <w:rsid w:val="004E22FC"/>
    <w:rsid w:val="004E25B0"/>
    <w:rsid w:val="004E2D0A"/>
    <w:rsid w:val="004F22FF"/>
    <w:rsid w:val="004F25D3"/>
    <w:rsid w:val="004F3C81"/>
    <w:rsid w:val="004F435A"/>
    <w:rsid w:val="004F47A8"/>
    <w:rsid w:val="00501BF3"/>
    <w:rsid w:val="005057F0"/>
    <w:rsid w:val="00505A3B"/>
    <w:rsid w:val="0050777B"/>
    <w:rsid w:val="00507DCB"/>
    <w:rsid w:val="005102D4"/>
    <w:rsid w:val="005120EA"/>
    <w:rsid w:val="005121C2"/>
    <w:rsid w:val="00516E2F"/>
    <w:rsid w:val="00522445"/>
    <w:rsid w:val="0052477C"/>
    <w:rsid w:val="0052491A"/>
    <w:rsid w:val="00526692"/>
    <w:rsid w:val="0052669E"/>
    <w:rsid w:val="00526F16"/>
    <w:rsid w:val="00531C6A"/>
    <w:rsid w:val="00531E73"/>
    <w:rsid w:val="0053224D"/>
    <w:rsid w:val="00533DC5"/>
    <w:rsid w:val="00534F63"/>
    <w:rsid w:val="00535B93"/>
    <w:rsid w:val="00536B8F"/>
    <w:rsid w:val="0053712D"/>
    <w:rsid w:val="00540713"/>
    <w:rsid w:val="00541494"/>
    <w:rsid w:val="00544130"/>
    <w:rsid w:val="005441B8"/>
    <w:rsid w:val="005443DB"/>
    <w:rsid w:val="005458F2"/>
    <w:rsid w:val="0054608C"/>
    <w:rsid w:val="00546AA9"/>
    <w:rsid w:val="00550475"/>
    <w:rsid w:val="00553546"/>
    <w:rsid w:val="00555496"/>
    <w:rsid w:val="00556085"/>
    <w:rsid w:val="00556CE7"/>
    <w:rsid w:val="005606C5"/>
    <w:rsid w:val="005613C2"/>
    <w:rsid w:val="00564B65"/>
    <w:rsid w:val="005668F6"/>
    <w:rsid w:val="00567A3A"/>
    <w:rsid w:val="00570053"/>
    <w:rsid w:val="00572613"/>
    <w:rsid w:val="0057287E"/>
    <w:rsid w:val="005731D4"/>
    <w:rsid w:val="00573B4B"/>
    <w:rsid w:val="00577047"/>
    <w:rsid w:val="0058339B"/>
    <w:rsid w:val="00586293"/>
    <w:rsid w:val="0059082E"/>
    <w:rsid w:val="005923BA"/>
    <w:rsid w:val="00593578"/>
    <w:rsid w:val="00596B4B"/>
    <w:rsid w:val="0059704E"/>
    <w:rsid w:val="005A09A1"/>
    <w:rsid w:val="005A19F2"/>
    <w:rsid w:val="005A3061"/>
    <w:rsid w:val="005A4648"/>
    <w:rsid w:val="005A4DAD"/>
    <w:rsid w:val="005A655E"/>
    <w:rsid w:val="005A7CEE"/>
    <w:rsid w:val="005A7F5B"/>
    <w:rsid w:val="005B071E"/>
    <w:rsid w:val="005B0BAF"/>
    <w:rsid w:val="005B0FB7"/>
    <w:rsid w:val="005B1314"/>
    <w:rsid w:val="005B3235"/>
    <w:rsid w:val="005B382B"/>
    <w:rsid w:val="005B4322"/>
    <w:rsid w:val="005B5EAD"/>
    <w:rsid w:val="005C01D3"/>
    <w:rsid w:val="005C0861"/>
    <w:rsid w:val="005C0E00"/>
    <w:rsid w:val="005C1481"/>
    <w:rsid w:val="005C312C"/>
    <w:rsid w:val="005C3DEA"/>
    <w:rsid w:val="005C7169"/>
    <w:rsid w:val="005C71FE"/>
    <w:rsid w:val="005C7755"/>
    <w:rsid w:val="005D279A"/>
    <w:rsid w:val="005D3F5C"/>
    <w:rsid w:val="005D44B5"/>
    <w:rsid w:val="005D50A3"/>
    <w:rsid w:val="005D5196"/>
    <w:rsid w:val="005D5B31"/>
    <w:rsid w:val="005D5FB1"/>
    <w:rsid w:val="005E3192"/>
    <w:rsid w:val="005E4E57"/>
    <w:rsid w:val="005E5028"/>
    <w:rsid w:val="005E619D"/>
    <w:rsid w:val="005F0087"/>
    <w:rsid w:val="005F1ACB"/>
    <w:rsid w:val="005F45C0"/>
    <w:rsid w:val="005F6B8E"/>
    <w:rsid w:val="005F79FB"/>
    <w:rsid w:val="00603E32"/>
    <w:rsid w:val="00604BDC"/>
    <w:rsid w:val="00604FE9"/>
    <w:rsid w:val="00605405"/>
    <w:rsid w:val="00606677"/>
    <w:rsid w:val="00607FCF"/>
    <w:rsid w:val="00610EC8"/>
    <w:rsid w:val="00614024"/>
    <w:rsid w:val="0061508D"/>
    <w:rsid w:val="0061690F"/>
    <w:rsid w:val="006179B1"/>
    <w:rsid w:val="00621412"/>
    <w:rsid w:val="0062224E"/>
    <w:rsid w:val="00622D64"/>
    <w:rsid w:val="00623048"/>
    <w:rsid w:val="0062382E"/>
    <w:rsid w:val="00624FAA"/>
    <w:rsid w:val="006270B2"/>
    <w:rsid w:val="00630DEA"/>
    <w:rsid w:val="006319CF"/>
    <w:rsid w:val="006319ED"/>
    <w:rsid w:val="00632B4F"/>
    <w:rsid w:val="00632CA7"/>
    <w:rsid w:val="00633858"/>
    <w:rsid w:val="0063452A"/>
    <w:rsid w:val="00634896"/>
    <w:rsid w:val="006373B6"/>
    <w:rsid w:val="00641436"/>
    <w:rsid w:val="006432FA"/>
    <w:rsid w:val="00644452"/>
    <w:rsid w:val="00645CFC"/>
    <w:rsid w:val="0064607C"/>
    <w:rsid w:val="006532A4"/>
    <w:rsid w:val="0065583E"/>
    <w:rsid w:val="006568AC"/>
    <w:rsid w:val="006570BB"/>
    <w:rsid w:val="00660B0A"/>
    <w:rsid w:val="00660F7A"/>
    <w:rsid w:val="0066154A"/>
    <w:rsid w:val="006652EE"/>
    <w:rsid w:val="00665325"/>
    <w:rsid w:val="00665A6F"/>
    <w:rsid w:val="00665A92"/>
    <w:rsid w:val="00667A8A"/>
    <w:rsid w:val="006723BD"/>
    <w:rsid w:val="00673DE2"/>
    <w:rsid w:val="006745FC"/>
    <w:rsid w:val="006769C6"/>
    <w:rsid w:val="0068406A"/>
    <w:rsid w:val="006857BF"/>
    <w:rsid w:val="006859FB"/>
    <w:rsid w:val="00690DAE"/>
    <w:rsid w:val="00692043"/>
    <w:rsid w:val="00694479"/>
    <w:rsid w:val="0069526E"/>
    <w:rsid w:val="00696AD3"/>
    <w:rsid w:val="006A13E2"/>
    <w:rsid w:val="006A1C27"/>
    <w:rsid w:val="006A27A3"/>
    <w:rsid w:val="006A3C82"/>
    <w:rsid w:val="006A5232"/>
    <w:rsid w:val="006A5258"/>
    <w:rsid w:val="006A5FF4"/>
    <w:rsid w:val="006A7607"/>
    <w:rsid w:val="006A7D15"/>
    <w:rsid w:val="006B1389"/>
    <w:rsid w:val="006B3BA1"/>
    <w:rsid w:val="006B45C4"/>
    <w:rsid w:val="006B5920"/>
    <w:rsid w:val="006B67E1"/>
    <w:rsid w:val="006C1F84"/>
    <w:rsid w:val="006C47DF"/>
    <w:rsid w:val="006C48ED"/>
    <w:rsid w:val="006D05D4"/>
    <w:rsid w:val="006D0CCB"/>
    <w:rsid w:val="006D32DD"/>
    <w:rsid w:val="006D5AB7"/>
    <w:rsid w:val="006E1D95"/>
    <w:rsid w:val="006E20DA"/>
    <w:rsid w:val="006E2BDD"/>
    <w:rsid w:val="006E7B78"/>
    <w:rsid w:val="006F00D7"/>
    <w:rsid w:val="006F0E09"/>
    <w:rsid w:val="006F1253"/>
    <w:rsid w:val="006F284E"/>
    <w:rsid w:val="006F2D84"/>
    <w:rsid w:val="006F5E48"/>
    <w:rsid w:val="00700F31"/>
    <w:rsid w:val="0070341D"/>
    <w:rsid w:val="00705C3A"/>
    <w:rsid w:val="0070661A"/>
    <w:rsid w:val="007109FE"/>
    <w:rsid w:val="00710F0E"/>
    <w:rsid w:val="00711AE2"/>
    <w:rsid w:val="007147D2"/>
    <w:rsid w:val="007234FF"/>
    <w:rsid w:val="0072390C"/>
    <w:rsid w:val="00723DCB"/>
    <w:rsid w:val="00724722"/>
    <w:rsid w:val="00726869"/>
    <w:rsid w:val="007276E1"/>
    <w:rsid w:val="00730EAD"/>
    <w:rsid w:val="00731344"/>
    <w:rsid w:val="00731C26"/>
    <w:rsid w:val="00731C91"/>
    <w:rsid w:val="00732114"/>
    <w:rsid w:val="00732AA7"/>
    <w:rsid w:val="00733360"/>
    <w:rsid w:val="007357C2"/>
    <w:rsid w:val="00737B81"/>
    <w:rsid w:val="00750443"/>
    <w:rsid w:val="00751888"/>
    <w:rsid w:val="0075243C"/>
    <w:rsid w:val="00752C47"/>
    <w:rsid w:val="0075427D"/>
    <w:rsid w:val="007553C4"/>
    <w:rsid w:val="007674F0"/>
    <w:rsid w:val="007705E6"/>
    <w:rsid w:val="007729FF"/>
    <w:rsid w:val="0077347C"/>
    <w:rsid w:val="00773A94"/>
    <w:rsid w:val="00773B10"/>
    <w:rsid w:val="007750A9"/>
    <w:rsid w:val="00776024"/>
    <w:rsid w:val="007766FD"/>
    <w:rsid w:val="0077677D"/>
    <w:rsid w:val="00780422"/>
    <w:rsid w:val="0078048A"/>
    <w:rsid w:val="0078493D"/>
    <w:rsid w:val="007849ED"/>
    <w:rsid w:val="00785A30"/>
    <w:rsid w:val="00791931"/>
    <w:rsid w:val="00793826"/>
    <w:rsid w:val="007A00CF"/>
    <w:rsid w:val="007A0DB2"/>
    <w:rsid w:val="007A1669"/>
    <w:rsid w:val="007A1BF1"/>
    <w:rsid w:val="007A25EB"/>
    <w:rsid w:val="007A2E4D"/>
    <w:rsid w:val="007A47CC"/>
    <w:rsid w:val="007A776F"/>
    <w:rsid w:val="007B01F3"/>
    <w:rsid w:val="007B0C4D"/>
    <w:rsid w:val="007B272A"/>
    <w:rsid w:val="007B586C"/>
    <w:rsid w:val="007B5A7B"/>
    <w:rsid w:val="007C3871"/>
    <w:rsid w:val="007C502F"/>
    <w:rsid w:val="007C6054"/>
    <w:rsid w:val="007D09F1"/>
    <w:rsid w:val="007D239E"/>
    <w:rsid w:val="007D5778"/>
    <w:rsid w:val="007E153F"/>
    <w:rsid w:val="007E1FEE"/>
    <w:rsid w:val="007E2CA1"/>
    <w:rsid w:val="007E2D98"/>
    <w:rsid w:val="007E3024"/>
    <w:rsid w:val="007F013E"/>
    <w:rsid w:val="007F1FD8"/>
    <w:rsid w:val="007F20CD"/>
    <w:rsid w:val="007F223E"/>
    <w:rsid w:val="007F459D"/>
    <w:rsid w:val="007F5ABA"/>
    <w:rsid w:val="00803431"/>
    <w:rsid w:val="00804959"/>
    <w:rsid w:val="00805DD0"/>
    <w:rsid w:val="00806281"/>
    <w:rsid w:val="008077AD"/>
    <w:rsid w:val="008119DE"/>
    <w:rsid w:val="00817B89"/>
    <w:rsid w:val="008200CC"/>
    <w:rsid w:val="00820CCD"/>
    <w:rsid w:val="00822171"/>
    <w:rsid w:val="00823078"/>
    <w:rsid w:val="00826AB0"/>
    <w:rsid w:val="00826F61"/>
    <w:rsid w:val="00827EAE"/>
    <w:rsid w:val="008310BD"/>
    <w:rsid w:val="00831FF1"/>
    <w:rsid w:val="00834863"/>
    <w:rsid w:val="00837D1A"/>
    <w:rsid w:val="0084018C"/>
    <w:rsid w:val="00841D3B"/>
    <w:rsid w:val="00851229"/>
    <w:rsid w:val="00851235"/>
    <w:rsid w:val="00855943"/>
    <w:rsid w:val="00855B94"/>
    <w:rsid w:val="00855C98"/>
    <w:rsid w:val="0085639C"/>
    <w:rsid w:val="00856810"/>
    <w:rsid w:val="0085799B"/>
    <w:rsid w:val="00860D45"/>
    <w:rsid w:val="00860DCC"/>
    <w:rsid w:val="00861A00"/>
    <w:rsid w:val="008625DD"/>
    <w:rsid w:val="00863E4A"/>
    <w:rsid w:val="008720A8"/>
    <w:rsid w:val="008731F6"/>
    <w:rsid w:val="00873CC5"/>
    <w:rsid w:val="00873F95"/>
    <w:rsid w:val="00877126"/>
    <w:rsid w:val="00877929"/>
    <w:rsid w:val="008802C9"/>
    <w:rsid w:val="0088056D"/>
    <w:rsid w:val="00884F11"/>
    <w:rsid w:val="008927E3"/>
    <w:rsid w:val="0089280E"/>
    <w:rsid w:val="00893527"/>
    <w:rsid w:val="008939ED"/>
    <w:rsid w:val="00896C01"/>
    <w:rsid w:val="008A2E46"/>
    <w:rsid w:val="008A4AF1"/>
    <w:rsid w:val="008A54C7"/>
    <w:rsid w:val="008B0660"/>
    <w:rsid w:val="008B1608"/>
    <w:rsid w:val="008B2CDC"/>
    <w:rsid w:val="008B3D8C"/>
    <w:rsid w:val="008B3EFB"/>
    <w:rsid w:val="008B7979"/>
    <w:rsid w:val="008B7B03"/>
    <w:rsid w:val="008B7BB8"/>
    <w:rsid w:val="008C0489"/>
    <w:rsid w:val="008C4068"/>
    <w:rsid w:val="008C5003"/>
    <w:rsid w:val="008C6794"/>
    <w:rsid w:val="008C7D55"/>
    <w:rsid w:val="008D1159"/>
    <w:rsid w:val="008D1F9D"/>
    <w:rsid w:val="008D2EA4"/>
    <w:rsid w:val="008D3015"/>
    <w:rsid w:val="008D39B2"/>
    <w:rsid w:val="008D3F26"/>
    <w:rsid w:val="008D5031"/>
    <w:rsid w:val="008D5496"/>
    <w:rsid w:val="008D5816"/>
    <w:rsid w:val="008D5C2A"/>
    <w:rsid w:val="008E0F97"/>
    <w:rsid w:val="008E11A1"/>
    <w:rsid w:val="008E22E9"/>
    <w:rsid w:val="008E2BD3"/>
    <w:rsid w:val="008E4550"/>
    <w:rsid w:val="008E56A4"/>
    <w:rsid w:val="008E5A70"/>
    <w:rsid w:val="008E72DB"/>
    <w:rsid w:val="008F205E"/>
    <w:rsid w:val="008F278C"/>
    <w:rsid w:val="008F29DA"/>
    <w:rsid w:val="008F55C3"/>
    <w:rsid w:val="008F7692"/>
    <w:rsid w:val="008F7A3D"/>
    <w:rsid w:val="009003F9"/>
    <w:rsid w:val="009005D0"/>
    <w:rsid w:val="0090480F"/>
    <w:rsid w:val="00905EC2"/>
    <w:rsid w:val="009072CF"/>
    <w:rsid w:val="0090747F"/>
    <w:rsid w:val="00907B0B"/>
    <w:rsid w:val="0091006E"/>
    <w:rsid w:val="0091042E"/>
    <w:rsid w:val="00910BF3"/>
    <w:rsid w:val="009126E7"/>
    <w:rsid w:val="009164B8"/>
    <w:rsid w:val="00921A31"/>
    <w:rsid w:val="00922941"/>
    <w:rsid w:val="00924B1E"/>
    <w:rsid w:val="0092775E"/>
    <w:rsid w:val="00927C4F"/>
    <w:rsid w:val="00930ADD"/>
    <w:rsid w:val="0093118D"/>
    <w:rsid w:val="009349B8"/>
    <w:rsid w:val="009364BC"/>
    <w:rsid w:val="00936890"/>
    <w:rsid w:val="00937F16"/>
    <w:rsid w:val="00940101"/>
    <w:rsid w:val="00946EE1"/>
    <w:rsid w:val="00947749"/>
    <w:rsid w:val="009502D4"/>
    <w:rsid w:val="0095048A"/>
    <w:rsid w:val="00950577"/>
    <w:rsid w:val="0095157E"/>
    <w:rsid w:val="009520F0"/>
    <w:rsid w:val="00954EF9"/>
    <w:rsid w:val="00955A61"/>
    <w:rsid w:val="00961990"/>
    <w:rsid w:val="00962366"/>
    <w:rsid w:val="00962A2D"/>
    <w:rsid w:val="00962B10"/>
    <w:rsid w:val="00964258"/>
    <w:rsid w:val="00965C8B"/>
    <w:rsid w:val="00970228"/>
    <w:rsid w:val="00971690"/>
    <w:rsid w:val="009731B7"/>
    <w:rsid w:val="00974A7A"/>
    <w:rsid w:val="009754EA"/>
    <w:rsid w:val="009755E2"/>
    <w:rsid w:val="00980BCF"/>
    <w:rsid w:val="00982183"/>
    <w:rsid w:val="00982247"/>
    <w:rsid w:val="00983110"/>
    <w:rsid w:val="00983659"/>
    <w:rsid w:val="009842B0"/>
    <w:rsid w:val="009849D2"/>
    <w:rsid w:val="0098685B"/>
    <w:rsid w:val="0099213C"/>
    <w:rsid w:val="00994C7B"/>
    <w:rsid w:val="00994DBA"/>
    <w:rsid w:val="009976BF"/>
    <w:rsid w:val="009A2354"/>
    <w:rsid w:val="009A5B5D"/>
    <w:rsid w:val="009A7370"/>
    <w:rsid w:val="009B0453"/>
    <w:rsid w:val="009B3BF0"/>
    <w:rsid w:val="009B40BC"/>
    <w:rsid w:val="009B6210"/>
    <w:rsid w:val="009C1826"/>
    <w:rsid w:val="009C1F53"/>
    <w:rsid w:val="009C33E0"/>
    <w:rsid w:val="009C4832"/>
    <w:rsid w:val="009C6515"/>
    <w:rsid w:val="009C6BBE"/>
    <w:rsid w:val="009C7853"/>
    <w:rsid w:val="009C7BFC"/>
    <w:rsid w:val="009C7FF6"/>
    <w:rsid w:val="009D2199"/>
    <w:rsid w:val="009D375F"/>
    <w:rsid w:val="009D4E3C"/>
    <w:rsid w:val="009D6141"/>
    <w:rsid w:val="009D6D36"/>
    <w:rsid w:val="009E1A58"/>
    <w:rsid w:val="009E3A9B"/>
    <w:rsid w:val="009E4C56"/>
    <w:rsid w:val="009E4F54"/>
    <w:rsid w:val="009E5405"/>
    <w:rsid w:val="009E5A9B"/>
    <w:rsid w:val="009E6233"/>
    <w:rsid w:val="009F0F9B"/>
    <w:rsid w:val="009F3FBD"/>
    <w:rsid w:val="00A0135D"/>
    <w:rsid w:val="00A03C8B"/>
    <w:rsid w:val="00A03F1B"/>
    <w:rsid w:val="00A04318"/>
    <w:rsid w:val="00A04ECB"/>
    <w:rsid w:val="00A053FC"/>
    <w:rsid w:val="00A074A1"/>
    <w:rsid w:val="00A078D7"/>
    <w:rsid w:val="00A1075E"/>
    <w:rsid w:val="00A11ECC"/>
    <w:rsid w:val="00A134F1"/>
    <w:rsid w:val="00A160F7"/>
    <w:rsid w:val="00A16469"/>
    <w:rsid w:val="00A209E1"/>
    <w:rsid w:val="00A22A4B"/>
    <w:rsid w:val="00A30C2A"/>
    <w:rsid w:val="00A30E31"/>
    <w:rsid w:val="00A314E7"/>
    <w:rsid w:val="00A33FB0"/>
    <w:rsid w:val="00A3500D"/>
    <w:rsid w:val="00A359B9"/>
    <w:rsid w:val="00A363C4"/>
    <w:rsid w:val="00A3759E"/>
    <w:rsid w:val="00A40100"/>
    <w:rsid w:val="00A40E9B"/>
    <w:rsid w:val="00A42427"/>
    <w:rsid w:val="00A47010"/>
    <w:rsid w:val="00A47026"/>
    <w:rsid w:val="00A50255"/>
    <w:rsid w:val="00A51F20"/>
    <w:rsid w:val="00A52496"/>
    <w:rsid w:val="00A54418"/>
    <w:rsid w:val="00A577A1"/>
    <w:rsid w:val="00A60C20"/>
    <w:rsid w:val="00A60F53"/>
    <w:rsid w:val="00A638CF"/>
    <w:rsid w:val="00A656E5"/>
    <w:rsid w:val="00A667B4"/>
    <w:rsid w:val="00A70668"/>
    <w:rsid w:val="00A76BA5"/>
    <w:rsid w:val="00A7746B"/>
    <w:rsid w:val="00A775EE"/>
    <w:rsid w:val="00A776E7"/>
    <w:rsid w:val="00A803F1"/>
    <w:rsid w:val="00A8084E"/>
    <w:rsid w:val="00A82B06"/>
    <w:rsid w:val="00A82DD1"/>
    <w:rsid w:val="00A83C17"/>
    <w:rsid w:val="00A849A5"/>
    <w:rsid w:val="00A8542F"/>
    <w:rsid w:val="00A855A6"/>
    <w:rsid w:val="00A86BB1"/>
    <w:rsid w:val="00A918AB"/>
    <w:rsid w:val="00A919F4"/>
    <w:rsid w:val="00A93488"/>
    <w:rsid w:val="00A93CE3"/>
    <w:rsid w:val="00A97974"/>
    <w:rsid w:val="00A97EED"/>
    <w:rsid w:val="00AA0602"/>
    <w:rsid w:val="00AA13AA"/>
    <w:rsid w:val="00AA4406"/>
    <w:rsid w:val="00AA5970"/>
    <w:rsid w:val="00AA68AE"/>
    <w:rsid w:val="00AB0775"/>
    <w:rsid w:val="00AB4970"/>
    <w:rsid w:val="00AC028B"/>
    <w:rsid w:val="00AC0337"/>
    <w:rsid w:val="00AC122A"/>
    <w:rsid w:val="00AC1BDC"/>
    <w:rsid w:val="00AC4624"/>
    <w:rsid w:val="00AC61E6"/>
    <w:rsid w:val="00AC675F"/>
    <w:rsid w:val="00AD0407"/>
    <w:rsid w:val="00AD58FC"/>
    <w:rsid w:val="00AD795A"/>
    <w:rsid w:val="00AE0D99"/>
    <w:rsid w:val="00AE1844"/>
    <w:rsid w:val="00AE347D"/>
    <w:rsid w:val="00AE3888"/>
    <w:rsid w:val="00AE420E"/>
    <w:rsid w:val="00AE7814"/>
    <w:rsid w:val="00AF083C"/>
    <w:rsid w:val="00AF2F0C"/>
    <w:rsid w:val="00AF3C52"/>
    <w:rsid w:val="00AF3E9D"/>
    <w:rsid w:val="00AF637E"/>
    <w:rsid w:val="00AF6900"/>
    <w:rsid w:val="00AF6C00"/>
    <w:rsid w:val="00B0178E"/>
    <w:rsid w:val="00B02716"/>
    <w:rsid w:val="00B05437"/>
    <w:rsid w:val="00B06892"/>
    <w:rsid w:val="00B0726B"/>
    <w:rsid w:val="00B075F3"/>
    <w:rsid w:val="00B12901"/>
    <w:rsid w:val="00B13564"/>
    <w:rsid w:val="00B1734E"/>
    <w:rsid w:val="00B22097"/>
    <w:rsid w:val="00B31368"/>
    <w:rsid w:val="00B3234D"/>
    <w:rsid w:val="00B34698"/>
    <w:rsid w:val="00B348D0"/>
    <w:rsid w:val="00B34AAB"/>
    <w:rsid w:val="00B40974"/>
    <w:rsid w:val="00B42E8C"/>
    <w:rsid w:val="00B47897"/>
    <w:rsid w:val="00B47A7B"/>
    <w:rsid w:val="00B50556"/>
    <w:rsid w:val="00B52448"/>
    <w:rsid w:val="00B5320E"/>
    <w:rsid w:val="00B534EC"/>
    <w:rsid w:val="00B5380A"/>
    <w:rsid w:val="00B55BD0"/>
    <w:rsid w:val="00B60390"/>
    <w:rsid w:val="00B6118D"/>
    <w:rsid w:val="00B63EE2"/>
    <w:rsid w:val="00B66A8E"/>
    <w:rsid w:val="00B75DFB"/>
    <w:rsid w:val="00B77D82"/>
    <w:rsid w:val="00B817D5"/>
    <w:rsid w:val="00B8389B"/>
    <w:rsid w:val="00B84999"/>
    <w:rsid w:val="00B84AFD"/>
    <w:rsid w:val="00B850E3"/>
    <w:rsid w:val="00B85B98"/>
    <w:rsid w:val="00B86265"/>
    <w:rsid w:val="00B86451"/>
    <w:rsid w:val="00B872A5"/>
    <w:rsid w:val="00B87817"/>
    <w:rsid w:val="00B87F41"/>
    <w:rsid w:val="00B90D59"/>
    <w:rsid w:val="00B90DF9"/>
    <w:rsid w:val="00B932F9"/>
    <w:rsid w:val="00B9530B"/>
    <w:rsid w:val="00B96958"/>
    <w:rsid w:val="00B97DA1"/>
    <w:rsid w:val="00BA13A3"/>
    <w:rsid w:val="00BA306E"/>
    <w:rsid w:val="00BA42BA"/>
    <w:rsid w:val="00BA4D8C"/>
    <w:rsid w:val="00BA54B9"/>
    <w:rsid w:val="00BA7EFE"/>
    <w:rsid w:val="00BB3FB9"/>
    <w:rsid w:val="00BB4B55"/>
    <w:rsid w:val="00BB5675"/>
    <w:rsid w:val="00BB57FF"/>
    <w:rsid w:val="00BB7821"/>
    <w:rsid w:val="00BC098B"/>
    <w:rsid w:val="00BC0A81"/>
    <w:rsid w:val="00BC168B"/>
    <w:rsid w:val="00BC3207"/>
    <w:rsid w:val="00BC36A4"/>
    <w:rsid w:val="00BC3B04"/>
    <w:rsid w:val="00BC3ED5"/>
    <w:rsid w:val="00BC62B7"/>
    <w:rsid w:val="00BD0B50"/>
    <w:rsid w:val="00BD2618"/>
    <w:rsid w:val="00BE301B"/>
    <w:rsid w:val="00BF09D3"/>
    <w:rsid w:val="00BF11E3"/>
    <w:rsid w:val="00BF1D0E"/>
    <w:rsid w:val="00BF234C"/>
    <w:rsid w:val="00BF79DF"/>
    <w:rsid w:val="00BF7F2C"/>
    <w:rsid w:val="00C044B5"/>
    <w:rsid w:val="00C04603"/>
    <w:rsid w:val="00C10D38"/>
    <w:rsid w:val="00C11414"/>
    <w:rsid w:val="00C12888"/>
    <w:rsid w:val="00C138BB"/>
    <w:rsid w:val="00C14491"/>
    <w:rsid w:val="00C14953"/>
    <w:rsid w:val="00C17602"/>
    <w:rsid w:val="00C2614F"/>
    <w:rsid w:val="00C26D32"/>
    <w:rsid w:val="00C31306"/>
    <w:rsid w:val="00C40CBA"/>
    <w:rsid w:val="00C42AAF"/>
    <w:rsid w:val="00C433DA"/>
    <w:rsid w:val="00C43763"/>
    <w:rsid w:val="00C43F7C"/>
    <w:rsid w:val="00C4476D"/>
    <w:rsid w:val="00C509B6"/>
    <w:rsid w:val="00C51935"/>
    <w:rsid w:val="00C52802"/>
    <w:rsid w:val="00C52F0C"/>
    <w:rsid w:val="00C54605"/>
    <w:rsid w:val="00C54C83"/>
    <w:rsid w:val="00C563A6"/>
    <w:rsid w:val="00C57947"/>
    <w:rsid w:val="00C6149F"/>
    <w:rsid w:val="00C620E7"/>
    <w:rsid w:val="00C626E9"/>
    <w:rsid w:val="00C63B63"/>
    <w:rsid w:val="00C705D4"/>
    <w:rsid w:val="00C708F2"/>
    <w:rsid w:val="00C7320D"/>
    <w:rsid w:val="00C743EC"/>
    <w:rsid w:val="00C74454"/>
    <w:rsid w:val="00C76849"/>
    <w:rsid w:val="00C77420"/>
    <w:rsid w:val="00C77864"/>
    <w:rsid w:val="00C779B0"/>
    <w:rsid w:val="00C81165"/>
    <w:rsid w:val="00C81492"/>
    <w:rsid w:val="00C815DC"/>
    <w:rsid w:val="00C82010"/>
    <w:rsid w:val="00C82E3B"/>
    <w:rsid w:val="00C8336E"/>
    <w:rsid w:val="00C833C1"/>
    <w:rsid w:val="00C85F2E"/>
    <w:rsid w:val="00C87338"/>
    <w:rsid w:val="00C87474"/>
    <w:rsid w:val="00C922B8"/>
    <w:rsid w:val="00CA33BE"/>
    <w:rsid w:val="00CA3921"/>
    <w:rsid w:val="00CA40F5"/>
    <w:rsid w:val="00CA4212"/>
    <w:rsid w:val="00CA5664"/>
    <w:rsid w:val="00CA5E25"/>
    <w:rsid w:val="00CA5F80"/>
    <w:rsid w:val="00CA6DF3"/>
    <w:rsid w:val="00CA7477"/>
    <w:rsid w:val="00CC19D8"/>
    <w:rsid w:val="00CC27E7"/>
    <w:rsid w:val="00CC2FDB"/>
    <w:rsid w:val="00CC46E8"/>
    <w:rsid w:val="00CC70BB"/>
    <w:rsid w:val="00CD2D59"/>
    <w:rsid w:val="00CD3C32"/>
    <w:rsid w:val="00CD4D85"/>
    <w:rsid w:val="00CD4FDD"/>
    <w:rsid w:val="00CD5939"/>
    <w:rsid w:val="00CD6486"/>
    <w:rsid w:val="00CD67C4"/>
    <w:rsid w:val="00CE29F7"/>
    <w:rsid w:val="00CE466E"/>
    <w:rsid w:val="00CE5957"/>
    <w:rsid w:val="00CE5FCB"/>
    <w:rsid w:val="00CE7216"/>
    <w:rsid w:val="00CF0F9F"/>
    <w:rsid w:val="00CF12F9"/>
    <w:rsid w:val="00CF38C0"/>
    <w:rsid w:val="00CF3FBF"/>
    <w:rsid w:val="00CF51F8"/>
    <w:rsid w:val="00CF6196"/>
    <w:rsid w:val="00CF7BCC"/>
    <w:rsid w:val="00D0188F"/>
    <w:rsid w:val="00D0269F"/>
    <w:rsid w:val="00D03028"/>
    <w:rsid w:val="00D04FB3"/>
    <w:rsid w:val="00D0597C"/>
    <w:rsid w:val="00D07015"/>
    <w:rsid w:val="00D11809"/>
    <w:rsid w:val="00D13D12"/>
    <w:rsid w:val="00D20B0C"/>
    <w:rsid w:val="00D20F88"/>
    <w:rsid w:val="00D21F1C"/>
    <w:rsid w:val="00D26AF3"/>
    <w:rsid w:val="00D27FE5"/>
    <w:rsid w:val="00D3187B"/>
    <w:rsid w:val="00D32597"/>
    <w:rsid w:val="00D326A9"/>
    <w:rsid w:val="00D32DDB"/>
    <w:rsid w:val="00D373A7"/>
    <w:rsid w:val="00D37B63"/>
    <w:rsid w:val="00D40694"/>
    <w:rsid w:val="00D419D5"/>
    <w:rsid w:val="00D42181"/>
    <w:rsid w:val="00D43DA1"/>
    <w:rsid w:val="00D47CEF"/>
    <w:rsid w:val="00D50028"/>
    <w:rsid w:val="00D51649"/>
    <w:rsid w:val="00D5742E"/>
    <w:rsid w:val="00D60254"/>
    <w:rsid w:val="00D611C3"/>
    <w:rsid w:val="00D61C59"/>
    <w:rsid w:val="00D62A0F"/>
    <w:rsid w:val="00D631E5"/>
    <w:rsid w:val="00D632A5"/>
    <w:rsid w:val="00D63924"/>
    <w:rsid w:val="00D63AD3"/>
    <w:rsid w:val="00D65625"/>
    <w:rsid w:val="00D66483"/>
    <w:rsid w:val="00D6707C"/>
    <w:rsid w:val="00D71AA7"/>
    <w:rsid w:val="00D72968"/>
    <w:rsid w:val="00D753AF"/>
    <w:rsid w:val="00D7641D"/>
    <w:rsid w:val="00D83142"/>
    <w:rsid w:val="00D83E2B"/>
    <w:rsid w:val="00D860DF"/>
    <w:rsid w:val="00D86259"/>
    <w:rsid w:val="00D8711F"/>
    <w:rsid w:val="00D90555"/>
    <w:rsid w:val="00D90AB6"/>
    <w:rsid w:val="00D91E63"/>
    <w:rsid w:val="00D9328C"/>
    <w:rsid w:val="00D93781"/>
    <w:rsid w:val="00D97E4A"/>
    <w:rsid w:val="00DA0D4E"/>
    <w:rsid w:val="00DA16D0"/>
    <w:rsid w:val="00DA27D8"/>
    <w:rsid w:val="00DA3BC1"/>
    <w:rsid w:val="00DA7210"/>
    <w:rsid w:val="00DB02A5"/>
    <w:rsid w:val="00DB039B"/>
    <w:rsid w:val="00DB19E7"/>
    <w:rsid w:val="00DB25DE"/>
    <w:rsid w:val="00DB58F2"/>
    <w:rsid w:val="00DB6DD9"/>
    <w:rsid w:val="00DB6FBE"/>
    <w:rsid w:val="00DC1031"/>
    <w:rsid w:val="00DC21AA"/>
    <w:rsid w:val="00DC49E4"/>
    <w:rsid w:val="00DC64F5"/>
    <w:rsid w:val="00DC69D1"/>
    <w:rsid w:val="00DC7A1E"/>
    <w:rsid w:val="00DC7F9B"/>
    <w:rsid w:val="00DD2408"/>
    <w:rsid w:val="00DD3E08"/>
    <w:rsid w:val="00DD54E3"/>
    <w:rsid w:val="00DD7E97"/>
    <w:rsid w:val="00DE0B84"/>
    <w:rsid w:val="00DE1DBC"/>
    <w:rsid w:val="00DE30B8"/>
    <w:rsid w:val="00DE4A4C"/>
    <w:rsid w:val="00DF03F5"/>
    <w:rsid w:val="00DF3193"/>
    <w:rsid w:val="00DF33BD"/>
    <w:rsid w:val="00DF507D"/>
    <w:rsid w:val="00DF53A5"/>
    <w:rsid w:val="00DF7796"/>
    <w:rsid w:val="00DF78F1"/>
    <w:rsid w:val="00E01A36"/>
    <w:rsid w:val="00E05773"/>
    <w:rsid w:val="00E141E3"/>
    <w:rsid w:val="00E16099"/>
    <w:rsid w:val="00E16F00"/>
    <w:rsid w:val="00E173DA"/>
    <w:rsid w:val="00E24D5A"/>
    <w:rsid w:val="00E2678C"/>
    <w:rsid w:val="00E2692E"/>
    <w:rsid w:val="00E2751E"/>
    <w:rsid w:val="00E30883"/>
    <w:rsid w:val="00E30E67"/>
    <w:rsid w:val="00E34623"/>
    <w:rsid w:val="00E40ABD"/>
    <w:rsid w:val="00E40CCE"/>
    <w:rsid w:val="00E44CF9"/>
    <w:rsid w:val="00E46DB8"/>
    <w:rsid w:val="00E508DD"/>
    <w:rsid w:val="00E51788"/>
    <w:rsid w:val="00E524E4"/>
    <w:rsid w:val="00E5411C"/>
    <w:rsid w:val="00E61753"/>
    <w:rsid w:val="00E62196"/>
    <w:rsid w:val="00E63994"/>
    <w:rsid w:val="00E6613D"/>
    <w:rsid w:val="00E6654F"/>
    <w:rsid w:val="00E67B3F"/>
    <w:rsid w:val="00E7178B"/>
    <w:rsid w:val="00E71B5C"/>
    <w:rsid w:val="00E71C0D"/>
    <w:rsid w:val="00E72A85"/>
    <w:rsid w:val="00E73058"/>
    <w:rsid w:val="00E74BBF"/>
    <w:rsid w:val="00E75668"/>
    <w:rsid w:val="00E77BD7"/>
    <w:rsid w:val="00E81660"/>
    <w:rsid w:val="00E81F8B"/>
    <w:rsid w:val="00E81F9B"/>
    <w:rsid w:val="00E842D5"/>
    <w:rsid w:val="00E86A7C"/>
    <w:rsid w:val="00E87DD2"/>
    <w:rsid w:val="00E9016E"/>
    <w:rsid w:val="00E90251"/>
    <w:rsid w:val="00E90393"/>
    <w:rsid w:val="00E90DCB"/>
    <w:rsid w:val="00E92B75"/>
    <w:rsid w:val="00E92F94"/>
    <w:rsid w:val="00E93C62"/>
    <w:rsid w:val="00E9420D"/>
    <w:rsid w:val="00E95400"/>
    <w:rsid w:val="00E97136"/>
    <w:rsid w:val="00E97D52"/>
    <w:rsid w:val="00EA0524"/>
    <w:rsid w:val="00EA18E2"/>
    <w:rsid w:val="00EA3254"/>
    <w:rsid w:val="00EA4089"/>
    <w:rsid w:val="00EA4E98"/>
    <w:rsid w:val="00EA53CF"/>
    <w:rsid w:val="00EB08F9"/>
    <w:rsid w:val="00EB1369"/>
    <w:rsid w:val="00EB2A4F"/>
    <w:rsid w:val="00EC13E8"/>
    <w:rsid w:val="00EC1CD3"/>
    <w:rsid w:val="00EC3C3F"/>
    <w:rsid w:val="00EC63B8"/>
    <w:rsid w:val="00EC70B9"/>
    <w:rsid w:val="00ED0899"/>
    <w:rsid w:val="00ED230B"/>
    <w:rsid w:val="00ED29A0"/>
    <w:rsid w:val="00ED3927"/>
    <w:rsid w:val="00ED3A1F"/>
    <w:rsid w:val="00ED6563"/>
    <w:rsid w:val="00ED68C9"/>
    <w:rsid w:val="00ED6F46"/>
    <w:rsid w:val="00EE0E76"/>
    <w:rsid w:val="00EE1B89"/>
    <w:rsid w:val="00EE2975"/>
    <w:rsid w:val="00EE535D"/>
    <w:rsid w:val="00EE53FF"/>
    <w:rsid w:val="00EE6039"/>
    <w:rsid w:val="00EE6DDE"/>
    <w:rsid w:val="00EE7229"/>
    <w:rsid w:val="00EE7D4D"/>
    <w:rsid w:val="00EF1F4D"/>
    <w:rsid w:val="00EF2B61"/>
    <w:rsid w:val="00EF2E37"/>
    <w:rsid w:val="00EF53B9"/>
    <w:rsid w:val="00F02458"/>
    <w:rsid w:val="00F04EAC"/>
    <w:rsid w:val="00F07E88"/>
    <w:rsid w:val="00F14CB3"/>
    <w:rsid w:val="00F15A3F"/>
    <w:rsid w:val="00F17522"/>
    <w:rsid w:val="00F21C27"/>
    <w:rsid w:val="00F26484"/>
    <w:rsid w:val="00F32048"/>
    <w:rsid w:val="00F3366E"/>
    <w:rsid w:val="00F34E7B"/>
    <w:rsid w:val="00F35961"/>
    <w:rsid w:val="00F373A5"/>
    <w:rsid w:val="00F37783"/>
    <w:rsid w:val="00F40D48"/>
    <w:rsid w:val="00F40F25"/>
    <w:rsid w:val="00F428C8"/>
    <w:rsid w:val="00F43C43"/>
    <w:rsid w:val="00F44312"/>
    <w:rsid w:val="00F47521"/>
    <w:rsid w:val="00F50355"/>
    <w:rsid w:val="00F53701"/>
    <w:rsid w:val="00F54A3D"/>
    <w:rsid w:val="00F557DA"/>
    <w:rsid w:val="00F56886"/>
    <w:rsid w:val="00F5794D"/>
    <w:rsid w:val="00F629A1"/>
    <w:rsid w:val="00F637AD"/>
    <w:rsid w:val="00F63962"/>
    <w:rsid w:val="00F65011"/>
    <w:rsid w:val="00F663CA"/>
    <w:rsid w:val="00F70119"/>
    <w:rsid w:val="00F70939"/>
    <w:rsid w:val="00F70D6E"/>
    <w:rsid w:val="00F715EB"/>
    <w:rsid w:val="00F721F8"/>
    <w:rsid w:val="00F73B18"/>
    <w:rsid w:val="00F73E92"/>
    <w:rsid w:val="00F742C3"/>
    <w:rsid w:val="00F75A56"/>
    <w:rsid w:val="00F77E6A"/>
    <w:rsid w:val="00F8152C"/>
    <w:rsid w:val="00F82157"/>
    <w:rsid w:val="00F82652"/>
    <w:rsid w:val="00F82B4F"/>
    <w:rsid w:val="00F82BB4"/>
    <w:rsid w:val="00F84CEF"/>
    <w:rsid w:val="00F87A5B"/>
    <w:rsid w:val="00F911C7"/>
    <w:rsid w:val="00F935FD"/>
    <w:rsid w:val="00F94D9A"/>
    <w:rsid w:val="00F96DC0"/>
    <w:rsid w:val="00FA0BE5"/>
    <w:rsid w:val="00FA5541"/>
    <w:rsid w:val="00FA7200"/>
    <w:rsid w:val="00FA76AB"/>
    <w:rsid w:val="00FB0FC8"/>
    <w:rsid w:val="00FB25B4"/>
    <w:rsid w:val="00FB4B5F"/>
    <w:rsid w:val="00FB6427"/>
    <w:rsid w:val="00FC3683"/>
    <w:rsid w:val="00FC4B16"/>
    <w:rsid w:val="00FC5231"/>
    <w:rsid w:val="00FC6687"/>
    <w:rsid w:val="00FC710F"/>
    <w:rsid w:val="00FD10D2"/>
    <w:rsid w:val="00FD3143"/>
    <w:rsid w:val="00FD347E"/>
    <w:rsid w:val="00FD6308"/>
    <w:rsid w:val="00FD765E"/>
    <w:rsid w:val="00FE23E7"/>
    <w:rsid w:val="00FE35E1"/>
    <w:rsid w:val="00FE72EE"/>
    <w:rsid w:val="00FE771F"/>
    <w:rsid w:val="00FF037B"/>
    <w:rsid w:val="00FF0D2D"/>
    <w:rsid w:val="00FF1999"/>
    <w:rsid w:val="00FF5D1C"/>
    <w:rsid w:val="00FF6FD9"/>
    <w:rsid w:val="00FF700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85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2D24"/>
    <w:rPr>
      <w:sz w:val="24"/>
      <w:szCs w:val="24"/>
      <w:lang w:val="en-US" w:eastAsia="en-US"/>
    </w:rPr>
  </w:style>
  <w:style w:type="paragraph" w:styleId="Ttulo1">
    <w:name w:val="heading 1"/>
    <w:basedOn w:val="Normal"/>
    <w:next w:val="Normal"/>
    <w:link w:val="Ttulo1Car"/>
    <w:uiPriority w:val="9"/>
    <w:qFormat/>
    <w:rsid w:val="00372D24"/>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F24C2"/>
    <w:rPr>
      <w:rFonts w:asciiTheme="majorHAnsi" w:eastAsiaTheme="majorEastAsia" w:hAnsiTheme="majorHAnsi" w:cstheme="majorBidi"/>
      <w:b/>
      <w:bCs/>
      <w:kern w:val="32"/>
      <w:sz w:val="32"/>
      <w:szCs w:val="32"/>
      <w:lang w:val="en-US" w:eastAsia="en-US"/>
    </w:rPr>
  </w:style>
  <w:style w:type="paragraph" w:customStyle="1" w:styleId="Tituloinicial">
    <w:name w:val="Titulo inicial"/>
    <w:basedOn w:val="Normal"/>
    <w:rsid w:val="00372D24"/>
    <w:pPr>
      <w:spacing w:after="360"/>
      <w:ind w:left="-1701"/>
    </w:pPr>
    <w:rPr>
      <w:rFonts w:ascii="Book Antiqua" w:hAnsi="Book Antiqua"/>
      <w:b/>
      <w:sz w:val="28"/>
      <w:szCs w:val="28"/>
      <w:lang w:val="es-CR"/>
    </w:rPr>
  </w:style>
  <w:style w:type="paragraph" w:styleId="TDC1">
    <w:name w:val="toc 1"/>
    <w:basedOn w:val="Normal"/>
    <w:next w:val="Normal"/>
    <w:autoRedefine/>
    <w:uiPriority w:val="39"/>
    <w:rsid w:val="00C82E3B"/>
    <w:pPr>
      <w:tabs>
        <w:tab w:val="left" w:pos="0"/>
        <w:tab w:val="right" w:leader="dot" w:pos="8640"/>
      </w:tabs>
      <w:spacing w:line="360" w:lineRule="auto"/>
      <w:ind w:left="-180"/>
      <w:jc w:val="both"/>
    </w:pPr>
  </w:style>
  <w:style w:type="character" w:styleId="Hipervnculo">
    <w:name w:val="Hyperlink"/>
    <w:basedOn w:val="Fuentedeprrafopredeter"/>
    <w:uiPriority w:val="99"/>
    <w:rsid w:val="00372D24"/>
    <w:rPr>
      <w:rFonts w:cs="Times New Roman"/>
      <w:color w:val="0000FF"/>
      <w:u w:val="single"/>
    </w:rPr>
  </w:style>
  <w:style w:type="paragraph" w:customStyle="1" w:styleId="TextoparrafosCar">
    <w:name w:val="Texto parrafos Car"/>
    <w:basedOn w:val="Normal"/>
    <w:rsid w:val="00372D24"/>
    <w:pPr>
      <w:spacing w:before="160" w:after="160"/>
      <w:jc w:val="both"/>
    </w:pPr>
    <w:rPr>
      <w:rFonts w:ascii="Arial" w:hAnsi="Arial"/>
      <w:lang w:val="es-CR"/>
    </w:rPr>
  </w:style>
  <w:style w:type="paragraph" w:customStyle="1" w:styleId="listaa">
    <w:name w:val="lista a"/>
    <w:basedOn w:val="NormalWeb"/>
    <w:uiPriority w:val="99"/>
    <w:rsid w:val="00372D24"/>
    <w:pPr>
      <w:numPr>
        <w:numId w:val="30"/>
      </w:numPr>
      <w:spacing w:before="240" w:after="240"/>
      <w:jc w:val="both"/>
    </w:pPr>
    <w:rPr>
      <w:lang w:val="es-CR"/>
    </w:rPr>
  </w:style>
  <w:style w:type="paragraph" w:styleId="NormalWeb">
    <w:name w:val="Normal (Web)"/>
    <w:basedOn w:val="Normal"/>
    <w:uiPriority w:val="99"/>
    <w:rsid w:val="00372D24"/>
  </w:style>
  <w:style w:type="paragraph" w:customStyle="1" w:styleId="Tabla-texto-principal">
    <w:name w:val="Tabla-texto-principal"/>
    <w:basedOn w:val="Normal"/>
    <w:rsid w:val="00372D24"/>
    <w:pPr>
      <w:framePr w:hSpace="180" w:wrap="around" w:vAnchor="text" w:hAnchor="margin" w:xAlign="center" w:y="830"/>
      <w:spacing w:before="80" w:after="80"/>
      <w:jc w:val="center"/>
    </w:pPr>
    <w:rPr>
      <w:rFonts w:ascii="Book Antiqua" w:hAnsi="Book Antiqua" w:cs="Arial"/>
      <w:b/>
      <w:color w:val="FFFFFF"/>
      <w:sz w:val="20"/>
      <w:lang w:val="es-CR"/>
    </w:rPr>
  </w:style>
  <w:style w:type="paragraph" w:customStyle="1" w:styleId="texto-cuadros">
    <w:name w:val="texto-cuadros"/>
    <w:basedOn w:val="Normal"/>
    <w:rsid w:val="00372D24"/>
    <w:pPr>
      <w:framePr w:hSpace="141" w:wrap="around" w:vAnchor="text" w:hAnchor="margin" w:y="-69"/>
      <w:spacing w:before="60" w:after="60"/>
      <w:jc w:val="both"/>
    </w:pPr>
    <w:rPr>
      <w:sz w:val="20"/>
      <w:szCs w:val="20"/>
      <w:lang w:val="es-CR"/>
    </w:rPr>
  </w:style>
  <w:style w:type="table" w:styleId="TablaWeb3">
    <w:name w:val="Table Web 3"/>
    <w:basedOn w:val="Tablanormal"/>
    <w:uiPriority w:val="99"/>
    <w:rsid w:val="00372D24"/>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resaltado-ital">
    <w:name w:val="resaltado-ital"/>
    <w:basedOn w:val="Normal"/>
    <w:link w:val="resaltado-italCar"/>
    <w:rsid w:val="00372D24"/>
    <w:pPr>
      <w:spacing w:before="360" w:after="360"/>
      <w:ind w:left="851"/>
      <w:jc w:val="both"/>
    </w:pPr>
    <w:rPr>
      <w:rFonts w:ascii="Book Antiqua" w:hAnsi="Book Antiqua"/>
      <w:i/>
      <w:lang w:val="es-CR"/>
    </w:rPr>
  </w:style>
  <w:style w:type="character" w:customStyle="1" w:styleId="resaltado-italCar">
    <w:name w:val="resaltado-ital Car"/>
    <w:basedOn w:val="Fuentedeprrafopredeter"/>
    <w:link w:val="resaltado-ital"/>
    <w:locked/>
    <w:rsid w:val="00372D24"/>
    <w:rPr>
      <w:rFonts w:ascii="Book Antiqua" w:hAnsi="Book Antiqua" w:cs="Times New Roman"/>
      <w:i/>
      <w:sz w:val="24"/>
      <w:szCs w:val="24"/>
      <w:lang w:val="es-CR" w:eastAsia="en-US" w:bidi="ar-SA"/>
    </w:rPr>
  </w:style>
  <w:style w:type="paragraph" w:customStyle="1" w:styleId="Portada">
    <w:name w:val="Portada"/>
    <w:basedOn w:val="Normal"/>
    <w:rsid w:val="00372D24"/>
    <w:pPr>
      <w:jc w:val="right"/>
    </w:pPr>
    <w:rPr>
      <w:b/>
      <w:sz w:val="40"/>
      <w:szCs w:val="40"/>
      <w:lang w:val="es-CR"/>
    </w:rPr>
  </w:style>
  <w:style w:type="paragraph" w:customStyle="1" w:styleId="listai">
    <w:name w:val="lista i"/>
    <w:basedOn w:val="Normal"/>
    <w:rsid w:val="00C82E3B"/>
    <w:pPr>
      <w:numPr>
        <w:numId w:val="6"/>
      </w:numPr>
      <w:jc w:val="both"/>
    </w:pPr>
    <w:rPr>
      <w:rFonts w:ascii="Book Antiqua" w:hAnsi="Book Antiqua"/>
      <w:sz w:val="20"/>
      <w:lang w:val="es-CR"/>
    </w:rPr>
  </w:style>
  <w:style w:type="paragraph" w:customStyle="1" w:styleId="texto-tabla">
    <w:name w:val="texto-tabla"/>
    <w:basedOn w:val="Normal"/>
    <w:rsid w:val="00C82E3B"/>
    <w:pPr>
      <w:framePr w:hSpace="180" w:wrap="around" w:vAnchor="text" w:hAnchor="margin" w:xAlign="center" w:y="830"/>
      <w:spacing w:before="80" w:after="80"/>
      <w:jc w:val="center"/>
    </w:pPr>
    <w:rPr>
      <w:rFonts w:cs="Arial"/>
      <w:b/>
      <w:color w:val="FFFFFF"/>
      <w:sz w:val="20"/>
      <w:szCs w:val="20"/>
      <w:lang w:val="es-CR"/>
    </w:rPr>
  </w:style>
  <w:style w:type="table" w:styleId="Tablaconcuadrcula">
    <w:name w:val="Table Grid"/>
    <w:basedOn w:val="Tablanormal"/>
    <w:uiPriority w:val="59"/>
    <w:rsid w:val="00C82E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rsid w:val="00C82E3B"/>
    <w:rPr>
      <w:sz w:val="20"/>
      <w:szCs w:val="20"/>
    </w:rPr>
  </w:style>
  <w:style w:type="character" w:customStyle="1" w:styleId="TextonotapieCar">
    <w:name w:val="Texto nota pie Car"/>
    <w:basedOn w:val="Fuentedeprrafopredeter"/>
    <w:link w:val="Textonotapie"/>
    <w:uiPriority w:val="99"/>
    <w:semiHidden/>
    <w:rsid w:val="001F24C2"/>
    <w:rPr>
      <w:lang w:val="en-US" w:eastAsia="en-US"/>
    </w:rPr>
  </w:style>
  <w:style w:type="character" w:styleId="Refdenotaalpie">
    <w:name w:val="footnote reference"/>
    <w:basedOn w:val="Fuentedeprrafopredeter"/>
    <w:uiPriority w:val="99"/>
    <w:semiHidden/>
    <w:rsid w:val="00C82E3B"/>
    <w:rPr>
      <w:rFonts w:cs="Times New Roman"/>
      <w:vertAlign w:val="superscript"/>
    </w:rPr>
  </w:style>
  <w:style w:type="paragraph" w:styleId="Encabezado">
    <w:name w:val="header"/>
    <w:basedOn w:val="Normal"/>
    <w:link w:val="EncabezadoCar"/>
    <w:uiPriority w:val="99"/>
    <w:rsid w:val="009755E2"/>
    <w:pPr>
      <w:tabs>
        <w:tab w:val="center" w:pos="4320"/>
        <w:tab w:val="right" w:pos="8640"/>
      </w:tabs>
    </w:pPr>
  </w:style>
  <w:style w:type="character" w:customStyle="1" w:styleId="EncabezadoCar">
    <w:name w:val="Encabezado Car"/>
    <w:basedOn w:val="Fuentedeprrafopredeter"/>
    <w:link w:val="Encabezado"/>
    <w:uiPriority w:val="99"/>
    <w:semiHidden/>
    <w:rsid w:val="001F24C2"/>
    <w:rPr>
      <w:sz w:val="24"/>
      <w:szCs w:val="24"/>
      <w:lang w:val="en-US" w:eastAsia="en-US"/>
    </w:rPr>
  </w:style>
  <w:style w:type="paragraph" w:styleId="Piedepgina">
    <w:name w:val="footer"/>
    <w:basedOn w:val="Normal"/>
    <w:link w:val="PiedepginaCar"/>
    <w:uiPriority w:val="99"/>
    <w:rsid w:val="009755E2"/>
    <w:pPr>
      <w:tabs>
        <w:tab w:val="center" w:pos="4320"/>
        <w:tab w:val="right" w:pos="8640"/>
      </w:tabs>
    </w:pPr>
  </w:style>
  <w:style w:type="character" w:customStyle="1" w:styleId="PiedepginaCar">
    <w:name w:val="Pie de página Car"/>
    <w:basedOn w:val="Fuentedeprrafopredeter"/>
    <w:link w:val="Piedepgina"/>
    <w:uiPriority w:val="99"/>
    <w:semiHidden/>
    <w:rsid w:val="001F24C2"/>
    <w:rPr>
      <w:sz w:val="24"/>
      <w:szCs w:val="24"/>
      <w:lang w:val="en-US" w:eastAsia="en-US"/>
    </w:rPr>
  </w:style>
  <w:style w:type="character" w:styleId="Nmerodepgina">
    <w:name w:val="page number"/>
    <w:basedOn w:val="Fuentedeprrafopredeter"/>
    <w:uiPriority w:val="99"/>
    <w:rsid w:val="000926CB"/>
    <w:rPr>
      <w:rFonts w:cs="Times New Roman"/>
    </w:rPr>
  </w:style>
  <w:style w:type="paragraph" w:customStyle="1" w:styleId="Departamento-portada">
    <w:name w:val="Departamento-portada"/>
    <w:basedOn w:val="Normal"/>
    <w:rsid w:val="00DF3193"/>
    <w:pPr>
      <w:jc w:val="center"/>
    </w:pPr>
    <w:rPr>
      <w:b/>
      <w:color w:val="FFFFFF"/>
      <w:szCs w:val="28"/>
    </w:rPr>
  </w:style>
  <w:style w:type="paragraph" w:styleId="Textosinformato">
    <w:name w:val="Plain Text"/>
    <w:basedOn w:val="Normal"/>
    <w:link w:val="TextosinformatoCar"/>
    <w:uiPriority w:val="99"/>
    <w:rsid w:val="00507DCB"/>
    <w:rPr>
      <w:rFonts w:ascii="Courier New" w:hAnsi="Courier New" w:cs="Courier New"/>
      <w:sz w:val="20"/>
      <w:szCs w:val="20"/>
    </w:rPr>
  </w:style>
  <w:style w:type="character" w:customStyle="1" w:styleId="TextosinformatoCar">
    <w:name w:val="Texto sin formato Car"/>
    <w:basedOn w:val="Fuentedeprrafopredeter"/>
    <w:link w:val="Textosinformato"/>
    <w:uiPriority w:val="99"/>
    <w:semiHidden/>
    <w:rsid w:val="001F24C2"/>
    <w:rPr>
      <w:rFonts w:ascii="Courier New" w:hAnsi="Courier New" w:cs="Courier New"/>
      <w:lang w:val="en-US" w:eastAsia="en-US"/>
    </w:rPr>
  </w:style>
  <w:style w:type="paragraph" w:styleId="Textodeglobo">
    <w:name w:val="Balloon Text"/>
    <w:basedOn w:val="Normal"/>
    <w:link w:val="TextodegloboCar"/>
    <w:uiPriority w:val="99"/>
    <w:semiHidden/>
    <w:rsid w:val="004F435A"/>
    <w:rPr>
      <w:rFonts w:ascii="Tahoma" w:hAnsi="Tahoma" w:cs="Tahoma"/>
      <w:sz w:val="16"/>
      <w:szCs w:val="16"/>
    </w:rPr>
  </w:style>
  <w:style w:type="character" w:customStyle="1" w:styleId="TextodegloboCar">
    <w:name w:val="Texto de globo Car"/>
    <w:basedOn w:val="Fuentedeprrafopredeter"/>
    <w:link w:val="Textodeglobo"/>
    <w:uiPriority w:val="99"/>
    <w:semiHidden/>
    <w:rsid w:val="001F24C2"/>
    <w:rPr>
      <w:sz w:val="0"/>
      <w:szCs w:val="0"/>
      <w:lang w:val="en-US" w:eastAsia="en-US"/>
    </w:rPr>
  </w:style>
  <w:style w:type="paragraph" w:styleId="Textonotaalfinal">
    <w:name w:val="endnote text"/>
    <w:basedOn w:val="Normal"/>
    <w:link w:val="TextonotaalfinalCar"/>
    <w:rsid w:val="005A4DAD"/>
    <w:rPr>
      <w:sz w:val="20"/>
      <w:szCs w:val="20"/>
    </w:rPr>
  </w:style>
  <w:style w:type="character" w:customStyle="1" w:styleId="TextonotaalfinalCar">
    <w:name w:val="Texto nota al final Car"/>
    <w:basedOn w:val="Fuentedeprrafopredeter"/>
    <w:link w:val="Textonotaalfinal"/>
    <w:rsid w:val="005A4DAD"/>
    <w:rPr>
      <w:lang w:val="en-US" w:eastAsia="en-US"/>
    </w:rPr>
  </w:style>
  <w:style w:type="character" w:styleId="Refdenotaalfinal">
    <w:name w:val="endnote reference"/>
    <w:basedOn w:val="Fuentedeprrafopredeter"/>
    <w:rsid w:val="005A4DAD"/>
    <w:rPr>
      <w:vertAlign w:val="superscript"/>
    </w:rPr>
  </w:style>
  <w:style w:type="paragraph" w:styleId="Subttulo">
    <w:name w:val="Subtitle"/>
    <w:basedOn w:val="Normal"/>
    <w:next w:val="Normal"/>
    <w:link w:val="SubttuloCar"/>
    <w:qFormat/>
    <w:rsid w:val="006319CF"/>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6319CF"/>
    <w:rPr>
      <w:rFonts w:asciiTheme="majorHAnsi" w:eastAsiaTheme="majorEastAsia" w:hAnsiTheme="majorHAnsi" w:cstheme="majorBidi"/>
      <w:i/>
      <w:iCs/>
      <w:color w:val="4F81BD" w:themeColor="accent1"/>
      <w:spacing w:val="15"/>
      <w:sz w:val="24"/>
      <w:szCs w:val="24"/>
      <w:lang w:val="en-US" w:eastAsia="en-US"/>
    </w:rPr>
  </w:style>
  <w:style w:type="numbering" w:customStyle="1" w:styleId="Estilo1">
    <w:name w:val="Estilo1"/>
    <w:uiPriority w:val="99"/>
    <w:rsid w:val="005D279A"/>
    <w:pPr>
      <w:numPr>
        <w:numId w:val="22"/>
      </w:numPr>
    </w:pPr>
  </w:style>
  <w:style w:type="paragraph" w:styleId="Prrafodelista">
    <w:name w:val="List Paragraph"/>
    <w:basedOn w:val="Normal"/>
    <w:uiPriority w:val="34"/>
    <w:qFormat/>
    <w:rsid w:val="008D5031"/>
    <w:pPr>
      <w:ind w:left="720"/>
      <w:contextualSpacing/>
    </w:pPr>
  </w:style>
  <w:style w:type="paragraph" w:customStyle="1" w:styleId="PortadaTipoLibro">
    <w:name w:val="Portada Tipo Libro"/>
    <w:rsid w:val="00F94D9A"/>
    <w:pPr>
      <w:spacing w:after="240"/>
    </w:pPr>
    <w:rPr>
      <w:rFonts w:ascii="Arial" w:hAnsi="Arial"/>
      <w:b/>
      <w:caps/>
      <w:color w:val="1C4598"/>
      <w:spacing w:val="40"/>
      <w:sz w:val="32"/>
      <w:szCs w:val="32"/>
      <w:lang w:val="es-CR" w:eastAsia="en-US"/>
    </w:rPr>
  </w:style>
  <w:style w:type="paragraph" w:customStyle="1" w:styleId="PortadaNombreServicio">
    <w:name w:val="Portada Nombre Servicio"/>
    <w:rsid w:val="00F94D9A"/>
    <w:pPr>
      <w:spacing w:after="120"/>
      <w:jc w:val="both"/>
    </w:pPr>
    <w:rPr>
      <w:rFonts w:ascii="Arial" w:hAnsi="Arial"/>
      <w:b/>
      <w:caps/>
      <w:sz w:val="40"/>
      <w:szCs w:val="40"/>
      <w:lang w:val="es-CR" w:eastAsia="en-US"/>
    </w:rPr>
  </w:style>
</w:styles>
</file>

<file path=word/webSettings.xml><?xml version="1.0" encoding="utf-8"?>
<w:webSettings xmlns:r="http://schemas.openxmlformats.org/officeDocument/2006/relationships" xmlns:w="http://schemas.openxmlformats.org/wordprocessingml/2006/main">
  <w:divs>
    <w:div w:id="22899705">
      <w:bodyDiv w:val="1"/>
      <w:marLeft w:val="0"/>
      <w:marRight w:val="0"/>
      <w:marTop w:val="0"/>
      <w:marBottom w:val="0"/>
      <w:divBdr>
        <w:top w:val="none" w:sz="0" w:space="0" w:color="auto"/>
        <w:left w:val="none" w:sz="0" w:space="0" w:color="auto"/>
        <w:bottom w:val="none" w:sz="0" w:space="0" w:color="auto"/>
        <w:right w:val="none" w:sz="0" w:space="0" w:color="auto"/>
      </w:divBdr>
    </w:div>
    <w:div w:id="207228206">
      <w:bodyDiv w:val="1"/>
      <w:marLeft w:val="0"/>
      <w:marRight w:val="0"/>
      <w:marTop w:val="0"/>
      <w:marBottom w:val="0"/>
      <w:divBdr>
        <w:top w:val="none" w:sz="0" w:space="0" w:color="auto"/>
        <w:left w:val="none" w:sz="0" w:space="0" w:color="auto"/>
        <w:bottom w:val="none" w:sz="0" w:space="0" w:color="auto"/>
        <w:right w:val="none" w:sz="0" w:space="0" w:color="auto"/>
      </w:divBdr>
    </w:div>
    <w:div w:id="242107727">
      <w:bodyDiv w:val="1"/>
      <w:marLeft w:val="0"/>
      <w:marRight w:val="0"/>
      <w:marTop w:val="0"/>
      <w:marBottom w:val="0"/>
      <w:divBdr>
        <w:top w:val="none" w:sz="0" w:space="0" w:color="auto"/>
        <w:left w:val="none" w:sz="0" w:space="0" w:color="auto"/>
        <w:bottom w:val="none" w:sz="0" w:space="0" w:color="auto"/>
        <w:right w:val="none" w:sz="0" w:space="0" w:color="auto"/>
      </w:divBdr>
    </w:div>
    <w:div w:id="485360287">
      <w:bodyDiv w:val="1"/>
      <w:marLeft w:val="0"/>
      <w:marRight w:val="0"/>
      <w:marTop w:val="0"/>
      <w:marBottom w:val="0"/>
      <w:divBdr>
        <w:top w:val="none" w:sz="0" w:space="0" w:color="auto"/>
        <w:left w:val="none" w:sz="0" w:space="0" w:color="auto"/>
        <w:bottom w:val="none" w:sz="0" w:space="0" w:color="auto"/>
        <w:right w:val="none" w:sz="0" w:space="0" w:color="auto"/>
      </w:divBdr>
    </w:div>
    <w:div w:id="664238509">
      <w:bodyDiv w:val="1"/>
      <w:marLeft w:val="0"/>
      <w:marRight w:val="0"/>
      <w:marTop w:val="0"/>
      <w:marBottom w:val="0"/>
      <w:divBdr>
        <w:top w:val="none" w:sz="0" w:space="0" w:color="auto"/>
        <w:left w:val="none" w:sz="0" w:space="0" w:color="auto"/>
        <w:bottom w:val="none" w:sz="0" w:space="0" w:color="auto"/>
        <w:right w:val="none" w:sz="0" w:space="0" w:color="auto"/>
      </w:divBdr>
    </w:div>
    <w:div w:id="680473678">
      <w:bodyDiv w:val="1"/>
      <w:marLeft w:val="0"/>
      <w:marRight w:val="0"/>
      <w:marTop w:val="0"/>
      <w:marBottom w:val="0"/>
      <w:divBdr>
        <w:top w:val="none" w:sz="0" w:space="0" w:color="auto"/>
        <w:left w:val="none" w:sz="0" w:space="0" w:color="auto"/>
        <w:bottom w:val="none" w:sz="0" w:space="0" w:color="auto"/>
        <w:right w:val="none" w:sz="0" w:space="0" w:color="auto"/>
      </w:divBdr>
    </w:div>
    <w:div w:id="801536833">
      <w:bodyDiv w:val="1"/>
      <w:marLeft w:val="0"/>
      <w:marRight w:val="0"/>
      <w:marTop w:val="0"/>
      <w:marBottom w:val="0"/>
      <w:divBdr>
        <w:top w:val="none" w:sz="0" w:space="0" w:color="auto"/>
        <w:left w:val="none" w:sz="0" w:space="0" w:color="auto"/>
        <w:bottom w:val="none" w:sz="0" w:space="0" w:color="auto"/>
        <w:right w:val="none" w:sz="0" w:space="0" w:color="auto"/>
      </w:divBdr>
    </w:div>
    <w:div w:id="874076804">
      <w:bodyDiv w:val="1"/>
      <w:marLeft w:val="0"/>
      <w:marRight w:val="0"/>
      <w:marTop w:val="0"/>
      <w:marBottom w:val="0"/>
      <w:divBdr>
        <w:top w:val="none" w:sz="0" w:space="0" w:color="auto"/>
        <w:left w:val="none" w:sz="0" w:space="0" w:color="auto"/>
        <w:bottom w:val="none" w:sz="0" w:space="0" w:color="auto"/>
        <w:right w:val="none" w:sz="0" w:space="0" w:color="auto"/>
      </w:divBdr>
    </w:div>
    <w:div w:id="1252394475">
      <w:bodyDiv w:val="1"/>
      <w:marLeft w:val="0"/>
      <w:marRight w:val="0"/>
      <w:marTop w:val="0"/>
      <w:marBottom w:val="0"/>
      <w:divBdr>
        <w:top w:val="none" w:sz="0" w:space="0" w:color="auto"/>
        <w:left w:val="none" w:sz="0" w:space="0" w:color="auto"/>
        <w:bottom w:val="none" w:sz="0" w:space="0" w:color="auto"/>
        <w:right w:val="none" w:sz="0" w:space="0" w:color="auto"/>
      </w:divBdr>
    </w:div>
    <w:div w:id="1546941391">
      <w:bodyDiv w:val="1"/>
      <w:marLeft w:val="0"/>
      <w:marRight w:val="0"/>
      <w:marTop w:val="0"/>
      <w:marBottom w:val="0"/>
      <w:divBdr>
        <w:top w:val="none" w:sz="0" w:space="0" w:color="auto"/>
        <w:left w:val="none" w:sz="0" w:space="0" w:color="auto"/>
        <w:bottom w:val="none" w:sz="0" w:space="0" w:color="auto"/>
        <w:right w:val="none" w:sz="0" w:space="0" w:color="auto"/>
      </w:divBdr>
    </w:div>
    <w:div w:id="1717923787">
      <w:bodyDiv w:val="1"/>
      <w:marLeft w:val="0"/>
      <w:marRight w:val="0"/>
      <w:marTop w:val="0"/>
      <w:marBottom w:val="0"/>
      <w:divBdr>
        <w:top w:val="none" w:sz="0" w:space="0" w:color="auto"/>
        <w:left w:val="none" w:sz="0" w:space="0" w:color="auto"/>
        <w:bottom w:val="none" w:sz="0" w:space="0" w:color="auto"/>
        <w:right w:val="none" w:sz="0" w:space="0" w:color="auto"/>
      </w:divBdr>
    </w:div>
    <w:div w:id="1867450230">
      <w:marLeft w:val="0"/>
      <w:marRight w:val="0"/>
      <w:marTop w:val="0"/>
      <w:marBottom w:val="0"/>
      <w:divBdr>
        <w:top w:val="none" w:sz="0" w:space="0" w:color="auto"/>
        <w:left w:val="none" w:sz="0" w:space="0" w:color="auto"/>
        <w:bottom w:val="none" w:sz="0" w:space="0" w:color="auto"/>
        <w:right w:val="none" w:sz="0" w:space="0" w:color="auto"/>
      </w:divBdr>
    </w:div>
    <w:div w:id="1867450231">
      <w:marLeft w:val="0"/>
      <w:marRight w:val="0"/>
      <w:marTop w:val="0"/>
      <w:marBottom w:val="0"/>
      <w:divBdr>
        <w:top w:val="none" w:sz="0" w:space="0" w:color="auto"/>
        <w:left w:val="none" w:sz="0" w:space="0" w:color="auto"/>
        <w:bottom w:val="none" w:sz="0" w:space="0" w:color="auto"/>
        <w:right w:val="none" w:sz="0" w:space="0" w:color="auto"/>
      </w:divBdr>
    </w:div>
    <w:div w:id="1892111397">
      <w:bodyDiv w:val="1"/>
      <w:marLeft w:val="0"/>
      <w:marRight w:val="0"/>
      <w:marTop w:val="0"/>
      <w:marBottom w:val="0"/>
      <w:divBdr>
        <w:top w:val="none" w:sz="0" w:space="0" w:color="auto"/>
        <w:left w:val="none" w:sz="0" w:space="0" w:color="auto"/>
        <w:bottom w:val="none" w:sz="0" w:space="0" w:color="auto"/>
        <w:right w:val="none" w:sz="0" w:space="0" w:color="auto"/>
      </w:divBdr>
    </w:div>
    <w:div w:id="211223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CCB79BDC2FFA84C8DEE31862317DC97" ma:contentTypeVersion="1" ma:contentTypeDescription="Crear nuevo documento." ma:contentTypeScope="" ma:versionID="5977a467358bd79d544623fe024f6a3d">
  <xsd:schema xmlns:xsd="http://www.w3.org/2001/XMLSchema" xmlns:xs="http://www.w3.org/2001/XMLSchema" xmlns:p="http://schemas.microsoft.com/office/2006/metadata/properties" xmlns:ns2="cd5e849a-c218-4d82-870e-2a39b48a01b7" targetNamespace="http://schemas.microsoft.com/office/2006/metadata/properties" ma:root="true" ma:fieldsID="756abb8d421deaf03b06da51bff5644e" ns2:_="">
    <xsd:import namespace="cd5e849a-c218-4d82-870e-2a39b48a01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5e849a-c218-4d82-870e-2a39b48a01b7"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7015EC-3369-409A-A7B8-C004B8E7339E}"/>
</file>

<file path=customXml/itemProps2.xml><?xml version="1.0" encoding="utf-8"?>
<ds:datastoreItem xmlns:ds="http://schemas.openxmlformats.org/officeDocument/2006/customXml" ds:itemID="{F89A078E-1B5A-4909-BA53-A0CD290374A5}"/>
</file>

<file path=customXml/itemProps3.xml><?xml version="1.0" encoding="utf-8"?>
<ds:datastoreItem xmlns:ds="http://schemas.openxmlformats.org/officeDocument/2006/customXml" ds:itemID="{ED5A6B89-25EB-4449-94DA-C4767EB48E02}"/>
</file>

<file path=customXml/itemProps4.xml><?xml version="1.0" encoding="utf-8"?>
<ds:datastoreItem xmlns:ds="http://schemas.openxmlformats.org/officeDocument/2006/customXml" ds:itemID="{A9368ECE-1921-4CF4-B624-44013F28CBA0}"/>
</file>

<file path=docProps/app.xml><?xml version="1.0" encoding="utf-8"?>
<Properties xmlns="http://schemas.openxmlformats.org/officeDocument/2006/extended-properties" xmlns:vt="http://schemas.openxmlformats.org/officeDocument/2006/docPropsVTypes">
  <Template>Normal.dotm</Template>
  <TotalTime>113</TotalTime>
  <Pages>37</Pages>
  <Words>8942</Words>
  <Characters>53771</Characters>
  <Application>Microsoft Office Word</Application>
  <DocSecurity>0</DocSecurity>
  <Lines>448</Lines>
  <Paragraphs>125</Paragraphs>
  <ScaleCrop>false</ScaleCrop>
  <HeadingPairs>
    <vt:vector size="2" baseType="variant">
      <vt:variant>
        <vt:lpstr>Título</vt:lpstr>
      </vt:variant>
      <vt:variant>
        <vt:i4>1</vt:i4>
      </vt:variant>
    </vt:vector>
  </HeadingPairs>
  <TitlesOfParts>
    <vt:vector size="1" baseType="lpstr">
      <vt:lpstr>ÍNDICE</vt:lpstr>
    </vt:vector>
  </TitlesOfParts>
  <Company>BCCR</Company>
  <LinksUpToDate>false</LinksUpToDate>
  <CharactersWithSpaces>62588</CharactersWithSpaces>
  <SharedDoc>false</SharedDoc>
  <HLinks>
    <vt:vector size="390" baseType="variant">
      <vt:variant>
        <vt:i4>1835068</vt:i4>
      </vt:variant>
      <vt:variant>
        <vt:i4>386</vt:i4>
      </vt:variant>
      <vt:variant>
        <vt:i4>0</vt:i4>
      </vt:variant>
      <vt:variant>
        <vt:i4>5</vt:i4>
      </vt:variant>
      <vt:variant>
        <vt:lpwstr/>
      </vt:variant>
      <vt:variant>
        <vt:lpwstr>_Toc195507807</vt:lpwstr>
      </vt:variant>
      <vt:variant>
        <vt:i4>1835068</vt:i4>
      </vt:variant>
      <vt:variant>
        <vt:i4>380</vt:i4>
      </vt:variant>
      <vt:variant>
        <vt:i4>0</vt:i4>
      </vt:variant>
      <vt:variant>
        <vt:i4>5</vt:i4>
      </vt:variant>
      <vt:variant>
        <vt:lpwstr/>
      </vt:variant>
      <vt:variant>
        <vt:lpwstr>_Toc195507806</vt:lpwstr>
      </vt:variant>
      <vt:variant>
        <vt:i4>1835068</vt:i4>
      </vt:variant>
      <vt:variant>
        <vt:i4>374</vt:i4>
      </vt:variant>
      <vt:variant>
        <vt:i4>0</vt:i4>
      </vt:variant>
      <vt:variant>
        <vt:i4>5</vt:i4>
      </vt:variant>
      <vt:variant>
        <vt:lpwstr/>
      </vt:variant>
      <vt:variant>
        <vt:lpwstr>_Toc195507805</vt:lpwstr>
      </vt:variant>
      <vt:variant>
        <vt:i4>1835068</vt:i4>
      </vt:variant>
      <vt:variant>
        <vt:i4>368</vt:i4>
      </vt:variant>
      <vt:variant>
        <vt:i4>0</vt:i4>
      </vt:variant>
      <vt:variant>
        <vt:i4>5</vt:i4>
      </vt:variant>
      <vt:variant>
        <vt:lpwstr/>
      </vt:variant>
      <vt:variant>
        <vt:lpwstr>_Toc195507804</vt:lpwstr>
      </vt:variant>
      <vt:variant>
        <vt:i4>1835068</vt:i4>
      </vt:variant>
      <vt:variant>
        <vt:i4>362</vt:i4>
      </vt:variant>
      <vt:variant>
        <vt:i4>0</vt:i4>
      </vt:variant>
      <vt:variant>
        <vt:i4>5</vt:i4>
      </vt:variant>
      <vt:variant>
        <vt:lpwstr/>
      </vt:variant>
      <vt:variant>
        <vt:lpwstr>_Toc195507802</vt:lpwstr>
      </vt:variant>
      <vt:variant>
        <vt:i4>1835068</vt:i4>
      </vt:variant>
      <vt:variant>
        <vt:i4>356</vt:i4>
      </vt:variant>
      <vt:variant>
        <vt:i4>0</vt:i4>
      </vt:variant>
      <vt:variant>
        <vt:i4>5</vt:i4>
      </vt:variant>
      <vt:variant>
        <vt:lpwstr/>
      </vt:variant>
      <vt:variant>
        <vt:lpwstr>_Toc195507801</vt:lpwstr>
      </vt:variant>
      <vt:variant>
        <vt:i4>1835068</vt:i4>
      </vt:variant>
      <vt:variant>
        <vt:i4>350</vt:i4>
      </vt:variant>
      <vt:variant>
        <vt:i4>0</vt:i4>
      </vt:variant>
      <vt:variant>
        <vt:i4>5</vt:i4>
      </vt:variant>
      <vt:variant>
        <vt:lpwstr/>
      </vt:variant>
      <vt:variant>
        <vt:lpwstr>_Toc195507800</vt:lpwstr>
      </vt:variant>
      <vt:variant>
        <vt:i4>1376307</vt:i4>
      </vt:variant>
      <vt:variant>
        <vt:i4>344</vt:i4>
      </vt:variant>
      <vt:variant>
        <vt:i4>0</vt:i4>
      </vt:variant>
      <vt:variant>
        <vt:i4>5</vt:i4>
      </vt:variant>
      <vt:variant>
        <vt:lpwstr/>
      </vt:variant>
      <vt:variant>
        <vt:lpwstr>_Toc195507799</vt:lpwstr>
      </vt:variant>
      <vt:variant>
        <vt:i4>1376307</vt:i4>
      </vt:variant>
      <vt:variant>
        <vt:i4>338</vt:i4>
      </vt:variant>
      <vt:variant>
        <vt:i4>0</vt:i4>
      </vt:variant>
      <vt:variant>
        <vt:i4>5</vt:i4>
      </vt:variant>
      <vt:variant>
        <vt:lpwstr/>
      </vt:variant>
      <vt:variant>
        <vt:lpwstr>_Toc195507798</vt:lpwstr>
      </vt:variant>
      <vt:variant>
        <vt:i4>1376307</vt:i4>
      </vt:variant>
      <vt:variant>
        <vt:i4>332</vt:i4>
      </vt:variant>
      <vt:variant>
        <vt:i4>0</vt:i4>
      </vt:variant>
      <vt:variant>
        <vt:i4>5</vt:i4>
      </vt:variant>
      <vt:variant>
        <vt:lpwstr/>
      </vt:variant>
      <vt:variant>
        <vt:lpwstr>_Toc195507797</vt:lpwstr>
      </vt:variant>
      <vt:variant>
        <vt:i4>1376307</vt:i4>
      </vt:variant>
      <vt:variant>
        <vt:i4>326</vt:i4>
      </vt:variant>
      <vt:variant>
        <vt:i4>0</vt:i4>
      </vt:variant>
      <vt:variant>
        <vt:i4>5</vt:i4>
      </vt:variant>
      <vt:variant>
        <vt:lpwstr/>
      </vt:variant>
      <vt:variant>
        <vt:lpwstr>_Toc195507796</vt:lpwstr>
      </vt:variant>
      <vt:variant>
        <vt:i4>1376307</vt:i4>
      </vt:variant>
      <vt:variant>
        <vt:i4>320</vt:i4>
      </vt:variant>
      <vt:variant>
        <vt:i4>0</vt:i4>
      </vt:variant>
      <vt:variant>
        <vt:i4>5</vt:i4>
      </vt:variant>
      <vt:variant>
        <vt:lpwstr/>
      </vt:variant>
      <vt:variant>
        <vt:lpwstr>_Toc195507795</vt:lpwstr>
      </vt:variant>
      <vt:variant>
        <vt:i4>1376307</vt:i4>
      </vt:variant>
      <vt:variant>
        <vt:i4>314</vt:i4>
      </vt:variant>
      <vt:variant>
        <vt:i4>0</vt:i4>
      </vt:variant>
      <vt:variant>
        <vt:i4>5</vt:i4>
      </vt:variant>
      <vt:variant>
        <vt:lpwstr/>
      </vt:variant>
      <vt:variant>
        <vt:lpwstr>_Toc195507794</vt:lpwstr>
      </vt:variant>
      <vt:variant>
        <vt:i4>1376307</vt:i4>
      </vt:variant>
      <vt:variant>
        <vt:i4>308</vt:i4>
      </vt:variant>
      <vt:variant>
        <vt:i4>0</vt:i4>
      </vt:variant>
      <vt:variant>
        <vt:i4>5</vt:i4>
      </vt:variant>
      <vt:variant>
        <vt:lpwstr/>
      </vt:variant>
      <vt:variant>
        <vt:lpwstr>_Toc195507793</vt:lpwstr>
      </vt:variant>
      <vt:variant>
        <vt:i4>1376307</vt:i4>
      </vt:variant>
      <vt:variant>
        <vt:i4>302</vt:i4>
      </vt:variant>
      <vt:variant>
        <vt:i4>0</vt:i4>
      </vt:variant>
      <vt:variant>
        <vt:i4>5</vt:i4>
      </vt:variant>
      <vt:variant>
        <vt:lpwstr/>
      </vt:variant>
      <vt:variant>
        <vt:lpwstr>_Toc195507792</vt:lpwstr>
      </vt:variant>
      <vt:variant>
        <vt:i4>1376307</vt:i4>
      </vt:variant>
      <vt:variant>
        <vt:i4>296</vt:i4>
      </vt:variant>
      <vt:variant>
        <vt:i4>0</vt:i4>
      </vt:variant>
      <vt:variant>
        <vt:i4>5</vt:i4>
      </vt:variant>
      <vt:variant>
        <vt:lpwstr/>
      </vt:variant>
      <vt:variant>
        <vt:lpwstr>_Toc195507791</vt:lpwstr>
      </vt:variant>
      <vt:variant>
        <vt:i4>1376307</vt:i4>
      </vt:variant>
      <vt:variant>
        <vt:i4>290</vt:i4>
      </vt:variant>
      <vt:variant>
        <vt:i4>0</vt:i4>
      </vt:variant>
      <vt:variant>
        <vt:i4>5</vt:i4>
      </vt:variant>
      <vt:variant>
        <vt:lpwstr/>
      </vt:variant>
      <vt:variant>
        <vt:lpwstr>_Toc195507790</vt:lpwstr>
      </vt:variant>
      <vt:variant>
        <vt:i4>1310771</vt:i4>
      </vt:variant>
      <vt:variant>
        <vt:i4>284</vt:i4>
      </vt:variant>
      <vt:variant>
        <vt:i4>0</vt:i4>
      </vt:variant>
      <vt:variant>
        <vt:i4>5</vt:i4>
      </vt:variant>
      <vt:variant>
        <vt:lpwstr/>
      </vt:variant>
      <vt:variant>
        <vt:lpwstr>_Toc195507789</vt:lpwstr>
      </vt:variant>
      <vt:variant>
        <vt:i4>1310771</vt:i4>
      </vt:variant>
      <vt:variant>
        <vt:i4>278</vt:i4>
      </vt:variant>
      <vt:variant>
        <vt:i4>0</vt:i4>
      </vt:variant>
      <vt:variant>
        <vt:i4>5</vt:i4>
      </vt:variant>
      <vt:variant>
        <vt:lpwstr/>
      </vt:variant>
      <vt:variant>
        <vt:lpwstr>_Toc195507788</vt:lpwstr>
      </vt:variant>
      <vt:variant>
        <vt:i4>1310771</vt:i4>
      </vt:variant>
      <vt:variant>
        <vt:i4>272</vt:i4>
      </vt:variant>
      <vt:variant>
        <vt:i4>0</vt:i4>
      </vt:variant>
      <vt:variant>
        <vt:i4>5</vt:i4>
      </vt:variant>
      <vt:variant>
        <vt:lpwstr/>
      </vt:variant>
      <vt:variant>
        <vt:lpwstr>_Toc195507787</vt:lpwstr>
      </vt:variant>
      <vt:variant>
        <vt:i4>1310771</vt:i4>
      </vt:variant>
      <vt:variant>
        <vt:i4>266</vt:i4>
      </vt:variant>
      <vt:variant>
        <vt:i4>0</vt:i4>
      </vt:variant>
      <vt:variant>
        <vt:i4>5</vt:i4>
      </vt:variant>
      <vt:variant>
        <vt:lpwstr/>
      </vt:variant>
      <vt:variant>
        <vt:lpwstr>_Toc195507786</vt:lpwstr>
      </vt:variant>
      <vt:variant>
        <vt:i4>1310771</vt:i4>
      </vt:variant>
      <vt:variant>
        <vt:i4>260</vt:i4>
      </vt:variant>
      <vt:variant>
        <vt:i4>0</vt:i4>
      </vt:variant>
      <vt:variant>
        <vt:i4>5</vt:i4>
      </vt:variant>
      <vt:variant>
        <vt:lpwstr/>
      </vt:variant>
      <vt:variant>
        <vt:lpwstr>_Toc195507785</vt:lpwstr>
      </vt:variant>
      <vt:variant>
        <vt:i4>1310771</vt:i4>
      </vt:variant>
      <vt:variant>
        <vt:i4>254</vt:i4>
      </vt:variant>
      <vt:variant>
        <vt:i4>0</vt:i4>
      </vt:variant>
      <vt:variant>
        <vt:i4>5</vt:i4>
      </vt:variant>
      <vt:variant>
        <vt:lpwstr/>
      </vt:variant>
      <vt:variant>
        <vt:lpwstr>_Toc195507784</vt:lpwstr>
      </vt:variant>
      <vt:variant>
        <vt:i4>1310771</vt:i4>
      </vt:variant>
      <vt:variant>
        <vt:i4>248</vt:i4>
      </vt:variant>
      <vt:variant>
        <vt:i4>0</vt:i4>
      </vt:variant>
      <vt:variant>
        <vt:i4>5</vt:i4>
      </vt:variant>
      <vt:variant>
        <vt:lpwstr/>
      </vt:variant>
      <vt:variant>
        <vt:lpwstr>_Toc195507783</vt:lpwstr>
      </vt:variant>
      <vt:variant>
        <vt:i4>1310771</vt:i4>
      </vt:variant>
      <vt:variant>
        <vt:i4>242</vt:i4>
      </vt:variant>
      <vt:variant>
        <vt:i4>0</vt:i4>
      </vt:variant>
      <vt:variant>
        <vt:i4>5</vt:i4>
      </vt:variant>
      <vt:variant>
        <vt:lpwstr/>
      </vt:variant>
      <vt:variant>
        <vt:lpwstr>_Toc195507782</vt:lpwstr>
      </vt:variant>
      <vt:variant>
        <vt:i4>1310771</vt:i4>
      </vt:variant>
      <vt:variant>
        <vt:i4>236</vt:i4>
      </vt:variant>
      <vt:variant>
        <vt:i4>0</vt:i4>
      </vt:variant>
      <vt:variant>
        <vt:i4>5</vt:i4>
      </vt:variant>
      <vt:variant>
        <vt:lpwstr/>
      </vt:variant>
      <vt:variant>
        <vt:lpwstr>_Toc195507781</vt:lpwstr>
      </vt:variant>
      <vt:variant>
        <vt:i4>1310771</vt:i4>
      </vt:variant>
      <vt:variant>
        <vt:i4>230</vt:i4>
      </vt:variant>
      <vt:variant>
        <vt:i4>0</vt:i4>
      </vt:variant>
      <vt:variant>
        <vt:i4>5</vt:i4>
      </vt:variant>
      <vt:variant>
        <vt:lpwstr/>
      </vt:variant>
      <vt:variant>
        <vt:lpwstr>_Toc195507780</vt:lpwstr>
      </vt:variant>
      <vt:variant>
        <vt:i4>1769523</vt:i4>
      </vt:variant>
      <vt:variant>
        <vt:i4>224</vt:i4>
      </vt:variant>
      <vt:variant>
        <vt:i4>0</vt:i4>
      </vt:variant>
      <vt:variant>
        <vt:i4>5</vt:i4>
      </vt:variant>
      <vt:variant>
        <vt:lpwstr/>
      </vt:variant>
      <vt:variant>
        <vt:lpwstr>_Toc195507779</vt:lpwstr>
      </vt:variant>
      <vt:variant>
        <vt:i4>1769523</vt:i4>
      </vt:variant>
      <vt:variant>
        <vt:i4>218</vt:i4>
      </vt:variant>
      <vt:variant>
        <vt:i4>0</vt:i4>
      </vt:variant>
      <vt:variant>
        <vt:i4>5</vt:i4>
      </vt:variant>
      <vt:variant>
        <vt:lpwstr/>
      </vt:variant>
      <vt:variant>
        <vt:lpwstr>_Toc195507778</vt:lpwstr>
      </vt:variant>
      <vt:variant>
        <vt:i4>1769523</vt:i4>
      </vt:variant>
      <vt:variant>
        <vt:i4>212</vt:i4>
      </vt:variant>
      <vt:variant>
        <vt:i4>0</vt:i4>
      </vt:variant>
      <vt:variant>
        <vt:i4>5</vt:i4>
      </vt:variant>
      <vt:variant>
        <vt:lpwstr/>
      </vt:variant>
      <vt:variant>
        <vt:lpwstr>_Toc195507777</vt:lpwstr>
      </vt:variant>
      <vt:variant>
        <vt:i4>1769523</vt:i4>
      </vt:variant>
      <vt:variant>
        <vt:i4>206</vt:i4>
      </vt:variant>
      <vt:variant>
        <vt:i4>0</vt:i4>
      </vt:variant>
      <vt:variant>
        <vt:i4>5</vt:i4>
      </vt:variant>
      <vt:variant>
        <vt:lpwstr/>
      </vt:variant>
      <vt:variant>
        <vt:lpwstr>_Toc195507776</vt:lpwstr>
      </vt:variant>
      <vt:variant>
        <vt:i4>1769523</vt:i4>
      </vt:variant>
      <vt:variant>
        <vt:i4>200</vt:i4>
      </vt:variant>
      <vt:variant>
        <vt:i4>0</vt:i4>
      </vt:variant>
      <vt:variant>
        <vt:i4>5</vt:i4>
      </vt:variant>
      <vt:variant>
        <vt:lpwstr/>
      </vt:variant>
      <vt:variant>
        <vt:lpwstr>_Toc195507775</vt:lpwstr>
      </vt:variant>
      <vt:variant>
        <vt:i4>1769523</vt:i4>
      </vt:variant>
      <vt:variant>
        <vt:i4>194</vt:i4>
      </vt:variant>
      <vt:variant>
        <vt:i4>0</vt:i4>
      </vt:variant>
      <vt:variant>
        <vt:i4>5</vt:i4>
      </vt:variant>
      <vt:variant>
        <vt:lpwstr/>
      </vt:variant>
      <vt:variant>
        <vt:lpwstr>_Toc195507774</vt:lpwstr>
      </vt:variant>
      <vt:variant>
        <vt:i4>1769523</vt:i4>
      </vt:variant>
      <vt:variant>
        <vt:i4>188</vt:i4>
      </vt:variant>
      <vt:variant>
        <vt:i4>0</vt:i4>
      </vt:variant>
      <vt:variant>
        <vt:i4>5</vt:i4>
      </vt:variant>
      <vt:variant>
        <vt:lpwstr/>
      </vt:variant>
      <vt:variant>
        <vt:lpwstr>_Toc195507773</vt:lpwstr>
      </vt:variant>
      <vt:variant>
        <vt:i4>1769523</vt:i4>
      </vt:variant>
      <vt:variant>
        <vt:i4>182</vt:i4>
      </vt:variant>
      <vt:variant>
        <vt:i4>0</vt:i4>
      </vt:variant>
      <vt:variant>
        <vt:i4>5</vt:i4>
      </vt:variant>
      <vt:variant>
        <vt:lpwstr/>
      </vt:variant>
      <vt:variant>
        <vt:lpwstr>_Toc195507772</vt:lpwstr>
      </vt:variant>
      <vt:variant>
        <vt:i4>1769523</vt:i4>
      </vt:variant>
      <vt:variant>
        <vt:i4>176</vt:i4>
      </vt:variant>
      <vt:variant>
        <vt:i4>0</vt:i4>
      </vt:variant>
      <vt:variant>
        <vt:i4>5</vt:i4>
      </vt:variant>
      <vt:variant>
        <vt:lpwstr/>
      </vt:variant>
      <vt:variant>
        <vt:lpwstr>_Toc195507771</vt:lpwstr>
      </vt:variant>
      <vt:variant>
        <vt:i4>1769523</vt:i4>
      </vt:variant>
      <vt:variant>
        <vt:i4>170</vt:i4>
      </vt:variant>
      <vt:variant>
        <vt:i4>0</vt:i4>
      </vt:variant>
      <vt:variant>
        <vt:i4>5</vt:i4>
      </vt:variant>
      <vt:variant>
        <vt:lpwstr/>
      </vt:variant>
      <vt:variant>
        <vt:lpwstr>_Toc195507770</vt:lpwstr>
      </vt:variant>
      <vt:variant>
        <vt:i4>1703987</vt:i4>
      </vt:variant>
      <vt:variant>
        <vt:i4>164</vt:i4>
      </vt:variant>
      <vt:variant>
        <vt:i4>0</vt:i4>
      </vt:variant>
      <vt:variant>
        <vt:i4>5</vt:i4>
      </vt:variant>
      <vt:variant>
        <vt:lpwstr/>
      </vt:variant>
      <vt:variant>
        <vt:lpwstr>_Toc195507769</vt:lpwstr>
      </vt:variant>
      <vt:variant>
        <vt:i4>1703987</vt:i4>
      </vt:variant>
      <vt:variant>
        <vt:i4>158</vt:i4>
      </vt:variant>
      <vt:variant>
        <vt:i4>0</vt:i4>
      </vt:variant>
      <vt:variant>
        <vt:i4>5</vt:i4>
      </vt:variant>
      <vt:variant>
        <vt:lpwstr/>
      </vt:variant>
      <vt:variant>
        <vt:lpwstr>_Toc195507768</vt:lpwstr>
      </vt:variant>
      <vt:variant>
        <vt:i4>1703987</vt:i4>
      </vt:variant>
      <vt:variant>
        <vt:i4>152</vt:i4>
      </vt:variant>
      <vt:variant>
        <vt:i4>0</vt:i4>
      </vt:variant>
      <vt:variant>
        <vt:i4>5</vt:i4>
      </vt:variant>
      <vt:variant>
        <vt:lpwstr/>
      </vt:variant>
      <vt:variant>
        <vt:lpwstr>_Toc195507767</vt:lpwstr>
      </vt:variant>
      <vt:variant>
        <vt:i4>1703987</vt:i4>
      </vt:variant>
      <vt:variant>
        <vt:i4>146</vt:i4>
      </vt:variant>
      <vt:variant>
        <vt:i4>0</vt:i4>
      </vt:variant>
      <vt:variant>
        <vt:i4>5</vt:i4>
      </vt:variant>
      <vt:variant>
        <vt:lpwstr/>
      </vt:variant>
      <vt:variant>
        <vt:lpwstr>_Toc195507766</vt:lpwstr>
      </vt:variant>
      <vt:variant>
        <vt:i4>1703987</vt:i4>
      </vt:variant>
      <vt:variant>
        <vt:i4>140</vt:i4>
      </vt:variant>
      <vt:variant>
        <vt:i4>0</vt:i4>
      </vt:variant>
      <vt:variant>
        <vt:i4>5</vt:i4>
      </vt:variant>
      <vt:variant>
        <vt:lpwstr/>
      </vt:variant>
      <vt:variant>
        <vt:lpwstr>_Toc195507765</vt:lpwstr>
      </vt:variant>
      <vt:variant>
        <vt:i4>1703987</vt:i4>
      </vt:variant>
      <vt:variant>
        <vt:i4>134</vt:i4>
      </vt:variant>
      <vt:variant>
        <vt:i4>0</vt:i4>
      </vt:variant>
      <vt:variant>
        <vt:i4>5</vt:i4>
      </vt:variant>
      <vt:variant>
        <vt:lpwstr/>
      </vt:variant>
      <vt:variant>
        <vt:lpwstr>_Toc195507764</vt:lpwstr>
      </vt:variant>
      <vt:variant>
        <vt:i4>1703987</vt:i4>
      </vt:variant>
      <vt:variant>
        <vt:i4>128</vt:i4>
      </vt:variant>
      <vt:variant>
        <vt:i4>0</vt:i4>
      </vt:variant>
      <vt:variant>
        <vt:i4>5</vt:i4>
      </vt:variant>
      <vt:variant>
        <vt:lpwstr/>
      </vt:variant>
      <vt:variant>
        <vt:lpwstr>_Toc195507763</vt:lpwstr>
      </vt:variant>
      <vt:variant>
        <vt:i4>1703987</vt:i4>
      </vt:variant>
      <vt:variant>
        <vt:i4>122</vt:i4>
      </vt:variant>
      <vt:variant>
        <vt:i4>0</vt:i4>
      </vt:variant>
      <vt:variant>
        <vt:i4>5</vt:i4>
      </vt:variant>
      <vt:variant>
        <vt:lpwstr/>
      </vt:variant>
      <vt:variant>
        <vt:lpwstr>_Toc195507762</vt:lpwstr>
      </vt:variant>
      <vt:variant>
        <vt:i4>1703987</vt:i4>
      </vt:variant>
      <vt:variant>
        <vt:i4>116</vt:i4>
      </vt:variant>
      <vt:variant>
        <vt:i4>0</vt:i4>
      </vt:variant>
      <vt:variant>
        <vt:i4>5</vt:i4>
      </vt:variant>
      <vt:variant>
        <vt:lpwstr/>
      </vt:variant>
      <vt:variant>
        <vt:lpwstr>_Toc195507761</vt:lpwstr>
      </vt:variant>
      <vt:variant>
        <vt:i4>1703987</vt:i4>
      </vt:variant>
      <vt:variant>
        <vt:i4>110</vt:i4>
      </vt:variant>
      <vt:variant>
        <vt:i4>0</vt:i4>
      </vt:variant>
      <vt:variant>
        <vt:i4>5</vt:i4>
      </vt:variant>
      <vt:variant>
        <vt:lpwstr/>
      </vt:variant>
      <vt:variant>
        <vt:lpwstr>_Toc195507760</vt:lpwstr>
      </vt:variant>
      <vt:variant>
        <vt:i4>1638451</vt:i4>
      </vt:variant>
      <vt:variant>
        <vt:i4>104</vt:i4>
      </vt:variant>
      <vt:variant>
        <vt:i4>0</vt:i4>
      </vt:variant>
      <vt:variant>
        <vt:i4>5</vt:i4>
      </vt:variant>
      <vt:variant>
        <vt:lpwstr/>
      </vt:variant>
      <vt:variant>
        <vt:lpwstr>_Toc195507759</vt:lpwstr>
      </vt:variant>
      <vt:variant>
        <vt:i4>1638451</vt:i4>
      </vt:variant>
      <vt:variant>
        <vt:i4>98</vt:i4>
      </vt:variant>
      <vt:variant>
        <vt:i4>0</vt:i4>
      </vt:variant>
      <vt:variant>
        <vt:i4>5</vt:i4>
      </vt:variant>
      <vt:variant>
        <vt:lpwstr/>
      </vt:variant>
      <vt:variant>
        <vt:lpwstr>_Toc195507758</vt:lpwstr>
      </vt:variant>
      <vt:variant>
        <vt:i4>1638451</vt:i4>
      </vt:variant>
      <vt:variant>
        <vt:i4>92</vt:i4>
      </vt:variant>
      <vt:variant>
        <vt:i4>0</vt:i4>
      </vt:variant>
      <vt:variant>
        <vt:i4>5</vt:i4>
      </vt:variant>
      <vt:variant>
        <vt:lpwstr/>
      </vt:variant>
      <vt:variant>
        <vt:lpwstr>_Toc195507757</vt:lpwstr>
      </vt:variant>
      <vt:variant>
        <vt:i4>1638451</vt:i4>
      </vt:variant>
      <vt:variant>
        <vt:i4>86</vt:i4>
      </vt:variant>
      <vt:variant>
        <vt:i4>0</vt:i4>
      </vt:variant>
      <vt:variant>
        <vt:i4>5</vt:i4>
      </vt:variant>
      <vt:variant>
        <vt:lpwstr/>
      </vt:variant>
      <vt:variant>
        <vt:lpwstr>_Toc195507756</vt:lpwstr>
      </vt:variant>
      <vt:variant>
        <vt:i4>1638451</vt:i4>
      </vt:variant>
      <vt:variant>
        <vt:i4>80</vt:i4>
      </vt:variant>
      <vt:variant>
        <vt:i4>0</vt:i4>
      </vt:variant>
      <vt:variant>
        <vt:i4>5</vt:i4>
      </vt:variant>
      <vt:variant>
        <vt:lpwstr/>
      </vt:variant>
      <vt:variant>
        <vt:lpwstr>_Toc195507755</vt:lpwstr>
      </vt:variant>
      <vt:variant>
        <vt:i4>1638451</vt:i4>
      </vt:variant>
      <vt:variant>
        <vt:i4>74</vt:i4>
      </vt:variant>
      <vt:variant>
        <vt:i4>0</vt:i4>
      </vt:variant>
      <vt:variant>
        <vt:i4>5</vt:i4>
      </vt:variant>
      <vt:variant>
        <vt:lpwstr/>
      </vt:variant>
      <vt:variant>
        <vt:lpwstr>_Toc195507754</vt:lpwstr>
      </vt:variant>
      <vt:variant>
        <vt:i4>1638451</vt:i4>
      </vt:variant>
      <vt:variant>
        <vt:i4>68</vt:i4>
      </vt:variant>
      <vt:variant>
        <vt:i4>0</vt:i4>
      </vt:variant>
      <vt:variant>
        <vt:i4>5</vt:i4>
      </vt:variant>
      <vt:variant>
        <vt:lpwstr/>
      </vt:variant>
      <vt:variant>
        <vt:lpwstr>_Toc195507753</vt:lpwstr>
      </vt:variant>
      <vt:variant>
        <vt:i4>1638451</vt:i4>
      </vt:variant>
      <vt:variant>
        <vt:i4>62</vt:i4>
      </vt:variant>
      <vt:variant>
        <vt:i4>0</vt:i4>
      </vt:variant>
      <vt:variant>
        <vt:i4>5</vt:i4>
      </vt:variant>
      <vt:variant>
        <vt:lpwstr/>
      </vt:variant>
      <vt:variant>
        <vt:lpwstr>_Toc195507752</vt:lpwstr>
      </vt:variant>
      <vt:variant>
        <vt:i4>1638451</vt:i4>
      </vt:variant>
      <vt:variant>
        <vt:i4>56</vt:i4>
      </vt:variant>
      <vt:variant>
        <vt:i4>0</vt:i4>
      </vt:variant>
      <vt:variant>
        <vt:i4>5</vt:i4>
      </vt:variant>
      <vt:variant>
        <vt:lpwstr/>
      </vt:variant>
      <vt:variant>
        <vt:lpwstr>_Toc195507751</vt:lpwstr>
      </vt:variant>
      <vt:variant>
        <vt:i4>1638451</vt:i4>
      </vt:variant>
      <vt:variant>
        <vt:i4>50</vt:i4>
      </vt:variant>
      <vt:variant>
        <vt:i4>0</vt:i4>
      </vt:variant>
      <vt:variant>
        <vt:i4>5</vt:i4>
      </vt:variant>
      <vt:variant>
        <vt:lpwstr/>
      </vt:variant>
      <vt:variant>
        <vt:lpwstr>_Toc195507750</vt:lpwstr>
      </vt:variant>
      <vt:variant>
        <vt:i4>1572915</vt:i4>
      </vt:variant>
      <vt:variant>
        <vt:i4>44</vt:i4>
      </vt:variant>
      <vt:variant>
        <vt:i4>0</vt:i4>
      </vt:variant>
      <vt:variant>
        <vt:i4>5</vt:i4>
      </vt:variant>
      <vt:variant>
        <vt:lpwstr/>
      </vt:variant>
      <vt:variant>
        <vt:lpwstr>_Toc195507749</vt:lpwstr>
      </vt:variant>
      <vt:variant>
        <vt:i4>1572915</vt:i4>
      </vt:variant>
      <vt:variant>
        <vt:i4>38</vt:i4>
      </vt:variant>
      <vt:variant>
        <vt:i4>0</vt:i4>
      </vt:variant>
      <vt:variant>
        <vt:i4>5</vt:i4>
      </vt:variant>
      <vt:variant>
        <vt:lpwstr/>
      </vt:variant>
      <vt:variant>
        <vt:lpwstr>_Toc195507748</vt:lpwstr>
      </vt:variant>
      <vt:variant>
        <vt:i4>1572915</vt:i4>
      </vt:variant>
      <vt:variant>
        <vt:i4>32</vt:i4>
      </vt:variant>
      <vt:variant>
        <vt:i4>0</vt:i4>
      </vt:variant>
      <vt:variant>
        <vt:i4>5</vt:i4>
      </vt:variant>
      <vt:variant>
        <vt:lpwstr/>
      </vt:variant>
      <vt:variant>
        <vt:lpwstr>_Toc195507747</vt:lpwstr>
      </vt:variant>
      <vt:variant>
        <vt:i4>1572915</vt:i4>
      </vt:variant>
      <vt:variant>
        <vt:i4>26</vt:i4>
      </vt:variant>
      <vt:variant>
        <vt:i4>0</vt:i4>
      </vt:variant>
      <vt:variant>
        <vt:i4>5</vt:i4>
      </vt:variant>
      <vt:variant>
        <vt:lpwstr/>
      </vt:variant>
      <vt:variant>
        <vt:lpwstr>_Toc195507746</vt:lpwstr>
      </vt:variant>
      <vt:variant>
        <vt:i4>1572915</vt:i4>
      </vt:variant>
      <vt:variant>
        <vt:i4>20</vt:i4>
      </vt:variant>
      <vt:variant>
        <vt:i4>0</vt:i4>
      </vt:variant>
      <vt:variant>
        <vt:i4>5</vt:i4>
      </vt:variant>
      <vt:variant>
        <vt:lpwstr/>
      </vt:variant>
      <vt:variant>
        <vt:lpwstr>_Toc195507745</vt:lpwstr>
      </vt:variant>
      <vt:variant>
        <vt:i4>1572915</vt:i4>
      </vt:variant>
      <vt:variant>
        <vt:i4>14</vt:i4>
      </vt:variant>
      <vt:variant>
        <vt:i4>0</vt:i4>
      </vt:variant>
      <vt:variant>
        <vt:i4>5</vt:i4>
      </vt:variant>
      <vt:variant>
        <vt:lpwstr/>
      </vt:variant>
      <vt:variant>
        <vt:lpwstr>_Toc195507744</vt:lpwstr>
      </vt:variant>
      <vt:variant>
        <vt:i4>1572915</vt:i4>
      </vt:variant>
      <vt:variant>
        <vt:i4>8</vt:i4>
      </vt:variant>
      <vt:variant>
        <vt:i4>0</vt:i4>
      </vt:variant>
      <vt:variant>
        <vt:i4>5</vt:i4>
      </vt:variant>
      <vt:variant>
        <vt:lpwstr/>
      </vt:variant>
      <vt:variant>
        <vt:lpwstr>_Toc195507743</vt:lpwstr>
      </vt:variant>
      <vt:variant>
        <vt:i4>1572915</vt:i4>
      </vt:variant>
      <vt:variant>
        <vt:i4>2</vt:i4>
      </vt:variant>
      <vt:variant>
        <vt:i4>0</vt:i4>
      </vt:variant>
      <vt:variant>
        <vt:i4>5</vt:i4>
      </vt:variant>
      <vt:variant>
        <vt:lpwstr/>
      </vt:variant>
      <vt:variant>
        <vt:lpwstr>_Toc195507742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ÍNDICE</dc:title>
  <dc:subject/>
  <dc:creator>romerocy</dc:creator>
  <cp:keywords/>
  <dc:description/>
  <cp:lastModifiedBy>duranml</cp:lastModifiedBy>
  <cp:revision>12</cp:revision>
  <cp:lastPrinted>2009-03-04T17:08:00Z</cp:lastPrinted>
  <dcterms:created xsi:type="dcterms:W3CDTF">2009-02-12T21:22:00Z</dcterms:created>
  <dcterms:modified xsi:type="dcterms:W3CDTF">2010-03-08T15:13:00Z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0x0101002CCB79BDC2FFA84C8DEE31862317DC97</vt:lpwstr>
  </property>
</Properties>
</file>