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B384C" w14:textId="107A5F78" w:rsidR="00AC6C1B" w:rsidRDefault="003832A3" w:rsidP="00AC6C1B">
      <w:pPr>
        <w:pStyle w:val="TextoTablaJustificado"/>
        <w:ind w:left="-1985"/>
        <w:rPr>
          <w:color w:val="FF0000"/>
        </w:rPr>
      </w:pPr>
      <w:r>
        <w:rPr>
          <w:noProof/>
        </w:rPr>
        <mc:AlternateContent>
          <mc:Choice Requires="wps">
            <w:drawing>
              <wp:anchor distT="0" distB="0" distL="114300" distR="114300" simplePos="0" relativeHeight="251703808" behindDoc="0" locked="0" layoutInCell="1" allowOverlap="1" wp14:anchorId="6A9F5A98" wp14:editId="05ECDE8F">
                <wp:simplePos x="0" y="0"/>
                <wp:positionH relativeFrom="margin">
                  <wp:posOffset>0</wp:posOffset>
                </wp:positionH>
                <wp:positionV relativeFrom="paragraph">
                  <wp:posOffset>-445350</wp:posOffset>
                </wp:positionV>
                <wp:extent cx="5201700" cy="441960"/>
                <wp:effectExtent l="0" t="0" r="18415" b="62230"/>
                <wp:wrapNone/>
                <wp:docPr id="1652683133" name="Cuadro de texto 1652683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700" cy="44196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43F76057" w14:textId="1B23539C" w:rsidR="003832A3" w:rsidRPr="0064523C" w:rsidRDefault="003832A3" w:rsidP="003832A3">
                            <w:pPr>
                              <w:pStyle w:val="PortadaConfidencialidad"/>
                              <w:rPr>
                                <w:color w:val="D9E2F3" w:themeColor="accent1" w:themeTint="33"/>
                                <w:sz w:val="56"/>
                                <w:szCs w:val="56"/>
                              </w:rPr>
                            </w:pPr>
                            <w:r w:rsidRPr="0064523C">
                              <w:rPr>
                                <w:color w:val="D9E2F3" w:themeColor="accent1" w:themeTint="33"/>
                                <w:sz w:val="56"/>
                                <w:szCs w:val="56"/>
                              </w:rPr>
                              <w:t>Banco Central de Costa 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9F5A98" id="_x0000_t202" coordsize="21600,21600" o:spt="202" path="m,l,21600r21600,l21600,xe">
                <v:stroke joinstyle="miter"/>
                <v:path gradientshapeok="t" o:connecttype="rect"/>
              </v:shapetype>
              <v:shape id="Cuadro de texto 1652683133" o:spid="_x0000_s1026" type="#_x0000_t202" style="position:absolute;left:0;text-align:left;margin-left:0;margin-top:-35.05pt;width:409.6pt;height:34.8pt;z-index:2517038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" filled="f" stroked="f">
                <v:shadow on="t" color="black" opacity="26214f" origin="-.5,-.5" offset=".74836mm,.74836mm"/>
                <v:textbox style="mso-fit-shape-to-text:t">
                  <w:txbxContent>
                    <w:p w14:paraId="43F76057" w14:textId="1B23539C" w:rsidR="003832A3" w:rsidRPr="0064523C" w:rsidRDefault="003832A3" w:rsidP="003832A3">
                      <w:pPr>
                        <w:pStyle w:val="PortadaConfidencialidad"/>
                        <w:rPr>
                          <w:color w:val="D9E2F3" w:themeColor="accent1" w:themeTint="33"/>
                          <w:sz w:val="56"/>
                          <w:szCs w:val="56"/>
                        </w:rPr>
                      </w:pPr>
                      <w:r w:rsidRPr="0064523C">
                        <w:rPr>
                          <w:color w:val="D9E2F3" w:themeColor="accent1" w:themeTint="33"/>
                          <w:sz w:val="56"/>
                          <w:szCs w:val="56"/>
                        </w:rPr>
                        <w:t>Banco Central de Costa Rica</w:t>
                      </w:r>
                    </w:p>
                  </w:txbxContent>
                </v:textbox>
                <w10:wrap anchorx="margin"/>
              </v:shape>
            </w:pict>
          </mc:Fallback>
        </mc:AlternateContent>
      </w:r>
      <w:r w:rsidR="00AC6C1B">
        <w:rPr>
          <w:noProof/>
        </w:rPr>
        <mc:AlternateContent>
          <mc:Choice Requires="wpg">
            <w:drawing>
              <wp:anchor distT="0" distB="0" distL="114300" distR="114300" simplePos="0" relativeHeight="251699712" behindDoc="1" locked="0" layoutInCell="1" allowOverlap="1" wp14:anchorId="3E7FB06C" wp14:editId="1EFFE78B">
                <wp:simplePos x="0" y="0"/>
                <wp:positionH relativeFrom="page">
                  <wp:align>left</wp:align>
                </wp:positionH>
                <wp:positionV relativeFrom="page">
                  <wp:align>top</wp:align>
                </wp:positionV>
                <wp:extent cx="7769694" cy="10216156"/>
                <wp:effectExtent l="0" t="0" r="3175" b="0"/>
                <wp:wrapNone/>
                <wp:docPr id="193" name="Grupo 62"/>
                <wp:cNvGraphicFramePr/>
                <a:graphic xmlns:a="http://schemas.openxmlformats.org/drawingml/2006/main">
                  <a:graphicData uri="http://schemas.microsoft.com/office/word/2010/wordprocessingGroup">
                    <wpg:wgp>
                      <wpg:cNvGrpSpPr/>
                      <wpg:grpSpPr>
                        <a:xfrm>
                          <a:off x="0" y="0"/>
                          <a:ext cx="7769694" cy="10216156"/>
                          <a:chOff x="0" y="0"/>
                          <a:chExt cx="6858000" cy="9123528"/>
                        </a:xfrm>
                        <a:solidFill>
                          <a:schemeClr val="accent1">
                            <a:lumMod val="75000"/>
                          </a:schemeClr>
                        </a:solidFill>
                      </wpg:grpSpPr>
                      <wps:wsp>
                        <wps:cNvPr id="194" name="Rectángulo 194"/>
                        <wps:cNvSpPr/>
                        <wps:spPr>
                          <a:xfrm>
                            <a:off x="0" y="0"/>
                            <a:ext cx="6858000" cy="1371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BA674" w14:textId="7625A640" w:rsidR="00AC6C1B" w:rsidRDefault="00AC6C1B" w:rsidP="00AC6C1B">
                              <w:pPr>
                                <w:pStyle w:val="Sinespaciado"/>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7FB06C" id="Grupo 62" o:spid="_x0000_s1027" style="position:absolute;left:0;text-align:left;margin-left:0;margin-top:0;width:611.8pt;height:804.4pt;z-index:-251616768;mso-position-horizontal:left;mso-position-horizontal-relative:page;mso-position-vertical:top;mso-position-vertical-relative:page"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">
                <v:rect id="Rectángulo 194"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rect id="Rectángulo 195" o:spid="_x0000_s1029"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" filled="f" stroked="f" strokeweight="1pt">
                  <v:textbox inset="36pt,57.6pt,36pt,36pt">
                    <w:txbxContent>
                      <w:p w14:paraId="7A0BA674" w14:textId="7625A640" w:rsidR="00AC6C1B" w:rsidRDefault="00AC6C1B" w:rsidP="00AC6C1B">
                        <w:pPr>
                          <w:pStyle w:val="Sinespaciado"/>
                          <w:spacing w:before="120"/>
                          <w:jc w:val="center"/>
                          <w:rPr>
                            <w:color w:val="FFFFFF" w:themeColor="background1"/>
                          </w:rPr>
                        </w:pPr>
                      </w:p>
                    </w:txbxContent>
                  </v:textbox>
                </v:rect>
                <w10:wrap anchorx="page" anchory="page"/>
              </v:group>
            </w:pict>
          </mc:Fallback>
        </mc:AlternateContent>
      </w:r>
    </w:p>
    <w:p w14:paraId="4F430077" w14:textId="30164AA1" w:rsidR="00D87748" w:rsidRPr="00AF467B" w:rsidRDefault="0095423F" w:rsidP="00AA69D5">
      <w:pPr>
        <w:pStyle w:val="TextoTablaJustificado"/>
        <w:rPr>
          <w:color w:val="FF0000"/>
        </w:rPr>
        <w:sectPr w:rsidR="00D87748" w:rsidRPr="00AF467B" w:rsidSect="00ED3BE1">
          <w:headerReference w:type="default" r:id="rId8"/>
          <w:footerReference w:type="even" r:id="rId9"/>
          <w:footerReference w:type="default" r:id="rId10"/>
          <w:pgSz w:w="12240" w:h="15840" w:code="1"/>
          <w:pgMar w:top="1701" w:right="1701" w:bottom="1474" w:left="2058" w:header="0" w:footer="0" w:gutter="0"/>
          <w:pgNumType w:start="1"/>
          <w:cols w:space="720"/>
          <w:docGrid w:linePitch="360"/>
        </w:sectPr>
      </w:pPr>
      <w:r>
        <w:rPr>
          <w:noProof/>
        </w:rPr>
        <mc:AlternateContent>
          <mc:Choice Requires="wps">
            <w:drawing>
              <wp:anchor distT="45720" distB="45720" distL="114300" distR="114300" simplePos="0" relativeHeight="251707904" behindDoc="0" locked="0" layoutInCell="1" allowOverlap="1" wp14:anchorId="5F26A1E6" wp14:editId="17DA8F74">
                <wp:simplePos x="0" y="0"/>
                <wp:positionH relativeFrom="margin">
                  <wp:posOffset>-682625</wp:posOffset>
                </wp:positionH>
                <wp:positionV relativeFrom="paragraph">
                  <wp:posOffset>886040</wp:posOffset>
                </wp:positionV>
                <wp:extent cx="6578600" cy="2200910"/>
                <wp:effectExtent l="0" t="0" r="0" b="50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2200910"/>
                        </a:xfrm>
                        <a:prstGeom prst="rect">
                          <a:avLst/>
                        </a:prstGeom>
                        <a:solidFill>
                          <a:srgbClr val="FFFFFF"/>
                        </a:solidFill>
                        <a:ln w="9525">
                          <a:noFill/>
                          <a:miter lim="800000"/>
                          <a:headEnd/>
                          <a:tailEnd/>
                        </a:ln>
                      </wps:spPr>
                      <wps:txbx>
                        <w:txbxContent>
                          <w:p w14:paraId="2A5ED29B" w14:textId="77777777" w:rsidR="00B46E22" w:rsidRPr="008D6CD5" w:rsidRDefault="00B46E22" w:rsidP="00FA6DB8">
                            <w:pPr>
                              <w:spacing w:line="360" w:lineRule="auto"/>
                              <w:jc w:val="center"/>
                              <w:rPr>
                                <w:b/>
                                <w:bCs/>
                                <w:color w:val="000099"/>
                                <w:sz w:val="50"/>
                                <w:szCs w:val="50"/>
                              </w:rPr>
                            </w:pPr>
                            <w:r w:rsidRPr="008D6CD5">
                              <w:rPr>
                                <w:b/>
                                <w:bCs/>
                                <w:color w:val="000099"/>
                                <w:sz w:val="50"/>
                                <w:szCs w:val="50"/>
                              </w:rPr>
                              <w:t>NORMA COMPLEMENTARIA</w:t>
                            </w:r>
                          </w:p>
                          <w:p w14:paraId="12C2522A" w14:textId="77777777" w:rsidR="00B46E22" w:rsidRDefault="00B46E22" w:rsidP="00FA6DB8">
                            <w:pPr>
                              <w:spacing w:line="360" w:lineRule="auto"/>
                              <w:jc w:val="center"/>
                              <w:rPr>
                                <w:b/>
                                <w:bCs/>
                                <w:color w:val="000000" w:themeColor="text1"/>
                                <w:sz w:val="50"/>
                                <w:szCs w:val="50"/>
                              </w:rPr>
                            </w:pPr>
                            <w:r w:rsidRPr="008D6CD5">
                              <w:rPr>
                                <w:b/>
                                <w:bCs/>
                                <w:color w:val="000000" w:themeColor="text1"/>
                                <w:sz w:val="50"/>
                                <w:szCs w:val="50"/>
                              </w:rPr>
                              <w:t>SINPE-TP</w:t>
                            </w:r>
                          </w:p>
                          <w:p w14:paraId="43D6BE2B" w14:textId="36C4E1CA" w:rsidR="00B46E22" w:rsidRPr="008D6CD5" w:rsidRDefault="00B46E22" w:rsidP="00FA6DB8">
                            <w:pPr>
                              <w:spacing w:line="360" w:lineRule="auto"/>
                              <w:jc w:val="center"/>
                              <w:rPr>
                                <w:b/>
                                <w:bCs/>
                                <w:color w:val="000099"/>
                                <w:sz w:val="44"/>
                                <w:szCs w:val="44"/>
                              </w:rPr>
                            </w:pPr>
                            <w:r w:rsidRPr="008D6CD5">
                              <w:rPr>
                                <w:b/>
                                <w:bCs/>
                                <w:color w:val="000099"/>
                                <w:sz w:val="44"/>
                                <w:szCs w:val="44"/>
                              </w:rPr>
                              <w:t>SERIE DE NORMAS TÉCNICAS DE SINPE-TP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26A1E6" id="Cuadro de texto 2" o:spid="_x0000_s1030" type="#_x0000_t202" style="position:absolute;left:0;text-align:left;margin-left:-53.75pt;margin-top:69.75pt;width:518pt;height:173.3pt;z-index:251707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tIEQIAAP4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" stroked="f">
                <v:textbox style="mso-fit-shape-to-text:t">
                  <w:txbxContent>
                    <w:p w14:paraId="2A5ED29B" w14:textId="77777777" w:rsidR="00B46E22" w:rsidRPr="008D6CD5" w:rsidRDefault="00B46E22" w:rsidP="00FA6DB8">
                      <w:pPr>
                        <w:spacing w:line="360" w:lineRule="auto"/>
                        <w:jc w:val="center"/>
                        <w:rPr>
                          <w:b/>
                          <w:bCs/>
                          <w:color w:val="000099"/>
                          <w:sz w:val="50"/>
                          <w:szCs w:val="50"/>
                        </w:rPr>
                      </w:pPr>
                      <w:r w:rsidRPr="008D6CD5">
                        <w:rPr>
                          <w:b/>
                          <w:bCs/>
                          <w:color w:val="000099"/>
                          <w:sz w:val="50"/>
                          <w:szCs w:val="50"/>
                        </w:rPr>
                        <w:t>NORMA COMPLEMENTARIA</w:t>
                      </w:r>
                    </w:p>
                    <w:p w14:paraId="12C2522A" w14:textId="77777777" w:rsidR="00B46E22" w:rsidRDefault="00B46E22" w:rsidP="00FA6DB8">
                      <w:pPr>
                        <w:spacing w:line="360" w:lineRule="auto"/>
                        <w:jc w:val="center"/>
                        <w:rPr>
                          <w:b/>
                          <w:bCs/>
                          <w:color w:val="000000" w:themeColor="text1"/>
                          <w:sz w:val="50"/>
                          <w:szCs w:val="50"/>
                        </w:rPr>
                      </w:pPr>
                      <w:r w:rsidRPr="008D6CD5">
                        <w:rPr>
                          <w:b/>
                          <w:bCs/>
                          <w:color w:val="000000" w:themeColor="text1"/>
                          <w:sz w:val="50"/>
                          <w:szCs w:val="50"/>
                        </w:rPr>
                        <w:t>SINPE-TP</w:t>
                      </w:r>
                    </w:p>
                    <w:p w14:paraId="43D6BE2B" w14:textId="36C4E1CA" w:rsidR="00B46E22" w:rsidRPr="008D6CD5" w:rsidRDefault="00B46E22" w:rsidP="00FA6DB8">
                      <w:pPr>
                        <w:spacing w:line="360" w:lineRule="auto"/>
                        <w:jc w:val="center"/>
                        <w:rPr>
                          <w:b/>
                          <w:bCs/>
                          <w:color w:val="000099"/>
                          <w:sz w:val="44"/>
                          <w:szCs w:val="44"/>
                        </w:rPr>
                      </w:pPr>
                      <w:r w:rsidRPr="008D6CD5">
                        <w:rPr>
                          <w:b/>
                          <w:bCs/>
                          <w:color w:val="000099"/>
                          <w:sz w:val="44"/>
                          <w:szCs w:val="44"/>
                        </w:rPr>
                        <w:t>SERIE DE NORMAS TÉCNICAS DE SINPE-TP</w:t>
                      </w:r>
                    </w:p>
                  </w:txbxContent>
                </v:textbox>
                <w10:wrap type="square" anchorx="margin"/>
              </v:shape>
            </w:pict>
          </mc:Fallback>
        </mc:AlternateContent>
      </w:r>
      <w:r w:rsidR="00782D76" w:rsidRPr="002F0091">
        <w:rPr>
          <w:noProof/>
          <w:color w:val="FFFFFF" w:themeColor="background1"/>
        </w:rPr>
        <w:drawing>
          <wp:anchor distT="0" distB="0" distL="114300" distR="114300" simplePos="0" relativeHeight="251712000" behindDoc="1" locked="0" layoutInCell="1" allowOverlap="1" wp14:anchorId="6028AF65" wp14:editId="6239D19C">
            <wp:simplePos x="0" y="0"/>
            <wp:positionH relativeFrom="page">
              <wp:align>center</wp:align>
            </wp:positionH>
            <wp:positionV relativeFrom="paragraph">
              <wp:posOffset>3626965</wp:posOffset>
            </wp:positionV>
            <wp:extent cx="3554730" cy="2456180"/>
            <wp:effectExtent l="0" t="0" r="0" b="0"/>
            <wp:wrapTight wrapText="bothSides">
              <wp:wrapPolygon edited="0">
                <wp:start x="13659" y="1005"/>
                <wp:lineTo x="9723" y="1340"/>
                <wp:lineTo x="9723" y="4021"/>
                <wp:lineTo x="7408" y="4021"/>
                <wp:lineTo x="7408" y="6701"/>
                <wp:lineTo x="1389" y="6701"/>
                <wp:lineTo x="1273" y="11057"/>
                <wp:lineTo x="2315" y="12062"/>
                <wp:lineTo x="1736" y="12062"/>
                <wp:lineTo x="1736" y="16418"/>
                <wp:lineTo x="2315" y="17423"/>
                <wp:lineTo x="2315" y="17758"/>
                <wp:lineTo x="12502" y="19768"/>
                <wp:lineTo x="14006" y="20103"/>
                <wp:lineTo x="20026" y="20103"/>
                <wp:lineTo x="20141" y="19768"/>
                <wp:lineTo x="20257" y="17758"/>
                <wp:lineTo x="20257" y="16753"/>
                <wp:lineTo x="19447" y="16083"/>
                <wp:lineTo x="17132" y="14743"/>
                <wp:lineTo x="13428" y="12062"/>
                <wp:lineTo x="15280" y="9549"/>
                <wp:lineTo x="15280" y="6701"/>
                <wp:lineTo x="15743" y="3016"/>
                <wp:lineTo x="14932" y="1340"/>
                <wp:lineTo x="14354" y="1005"/>
                <wp:lineTo x="13659" y="1005"/>
              </wp:wrapPolygon>
            </wp:wrapTight>
            <wp:docPr id="1438530049" name="Imagen 8" descr="Logotipo, nombre de la empresa&#10;&#10;El contenido generado por IA puede ser incorrecto.">
              <a:extLst xmlns:a="http://schemas.openxmlformats.org/drawingml/2006/main">
                <a:ext uri="{FF2B5EF4-FFF2-40B4-BE49-F238E27FC236}">
                  <a16:creationId xmlns:a16="http://schemas.microsoft.com/office/drawing/2014/main" id="{51478104-C37B-4BE6-A57E-334FED26D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30049" name="Imagen 8" descr="Logotipo, nombre de la empresa&#10;&#10;El contenido generado por IA puede ser incorrecto.">
                      <a:extLst>
                        <a:ext uri="{FF2B5EF4-FFF2-40B4-BE49-F238E27FC236}">
                          <a16:creationId xmlns:a16="http://schemas.microsoft.com/office/drawing/2014/main" id="{51478104-C37B-4BE6-A57E-334FED26DEBC}"/>
                        </a:ext>
                      </a:extLst>
                    </pic:cNvPr>
                    <pic:cNvPicPr>
                      <a:picLocks noChangeAspect="1"/>
                    </pic:cNvPicPr>
                  </pic:nvPicPr>
                  <pic:blipFill>
                    <a:blip r:embed="rId11" cstate="print">
                      <a:clrChange>
                        <a:clrFrom>
                          <a:srgbClr val="000000"/>
                        </a:clrFrom>
                        <a:clrTo>
                          <a:srgbClr val="000000">
                            <a:alpha val="0"/>
                          </a:srgbClr>
                        </a:clrTo>
                      </a:clrChange>
                      <a:lum bright="70000" contrast="-70000"/>
                      <a:extLst>
                        <a:ext uri="{28A0092B-C50C-407E-A947-70E740481C1C}">
                          <a14:useLocalDpi xmlns:a14="http://schemas.microsoft.com/office/drawing/2010/main" val="0"/>
                        </a:ext>
                      </a:extLst>
                    </a:blip>
                    <a:stretch>
                      <a:fillRect/>
                    </a:stretch>
                  </pic:blipFill>
                  <pic:spPr>
                    <a:xfrm>
                      <a:off x="0" y="0"/>
                      <a:ext cx="3554730" cy="24561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F52AE">
        <w:rPr>
          <w:noProof/>
        </w:rPr>
        <mc:AlternateContent>
          <mc:Choice Requires="wps">
            <w:drawing>
              <wp:anchor distT="0" distB="0" distL="114300" distR="114300" simplePos="0" relativeHeight="251675136" behindDoc="0" locked="0" layoutInCell="1" allowOverlap="1" wp14:anchorId="7A1FF63C" wp14:editId="1C1D47F9">
                <wp:simplePos x="0" y="0"/>
                <wp:positionH relativeFrom="column">
                  <wp:posOffset>3979545</wp:posOffset>
                </wp:positionH>
                <wp:positionV relativeFrom="paragraph">
                  <wp:posOffset>6808139</wp:posOffset>
                </wp:positionV>
                <wp:extent cx="2444115" cy="685800"/>
                <wp:effectExtent l="0" t="0" r="13335" b="571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685800"/>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780" w:type="dxa"/>
                              <w:tblLook w:val="01E0" w:firstRow="1" w:lastRow="1" w:firstColumn="1" w:lastColumn="1" w:noHBand="0" w:noVBand="0"/>
                            </w:tblPr>
                            <w:tblGrid>
                              <w:gridCol w:w="3780"/>
                            </w:tblGrid>
                            <w:tr w:rsidR="007D2830" w:rsidRPr="0064523C" w14:paraId="5B00AF62" w14:textId="77777777">
                              <w:tc>
                                <w:tcPr>
                                  <w:tcW w:w="3780" w:type="dxa"/>
                                  <w:vAlign w:val="center"/>
                                  <w:hideMark/>
                                </w:tcPr>
                                <w:p w14:paraId="43C79735" w14:textId="4AC7AA24" w:rsidR="007D2830" w:rsidRPr="0064523C" w:rsidRDefault="007D2830" w:rsidP="00161860">
                                  <w:pPr>
                                    <w:pStyle w:val="PortadaCdigo"/>
                                    <w:rPr>
                                      <w:color w:val="D9E2F3" w:themeColor="accent1" w:themeTint="33"/>
                                    </w:rPr>
                                  </w:pPr>
                                  <w:r w:rsidRPr="0064523C">
                                    <w:rPr>
                                      <w:color w:val="D9E2F3" w:themeColor="accent1" w:themeTint="33"/>
                                    </w:rPr>
                                    <w:fldChar w:fldCharType="begin"/>
                                  </w:r>
                                  <w:r w:rsidRPr="0064523C">
                                    <w:rPr>
                                      <w:color w:val="D9E2F3" w:themeColor="accent1" w:themeTint="33"/>
                                    </w:rPr>
                                    <w:instrText xml:space="preserve"> DOCPROPERTY  Código  \* MERGEFORMAT </w:instrText>
                                  </w:r>
                                  <w:r w:rsidRPr="0064523C">
                                    <w:rPr>
                                      <w:color w:val="D9E2F3" w:themeColor="accent1" w:themeTint="33"/>
                                    </w:rPr>
                                    <w:fldChar w:fldCharType="separate"/>
                                  </w:r>
                                  <w:r w:rsidRPr="0064523C">
                                    <w:rPr>
                                      <w:color w:val="D9E2F3" w:themeColor="accent1" w:themeTint="33"/>
                                    </w:rPr>
                                    <w:t>N</w:t>
                                  </w:r>
                                  <w:r w:rsidR="008F52AE" w:rsidRPr="0064523C">
                                    <w:rPr>
                                      <w:color w:val="D9E2F3" w:themeColor="accent1" w:themeTint="33"/>
                                    </w:rPr>
                                    <w:t>C</w:t>
                                  </w:r>
                                  <w:r w:rsidRPr="0064523C">
                                    <w:rPr>
                                      <w:color w:val="D9E2F3" w:themeColor="accent1" w:themeTint="33"/>
                                    </w:rPr>
                                    <w:t>-STP</w:t>
                                  </w:r>
                                  <w:r w:rsidRPr="0064523C">
                                    <w:rPr>
                                      <w:color w:val="D9E2F3" w:themeColor="accent1" w:themeTint="33"/>
                                    </w:rPr>
                                    <w:fldChar w:fldCharType="end"/>
                                  </w:r>
                                </w:p>
                              </w:tc>
                            </w:tr>
                          </w:tbl>
                          <w:p w14:paraId="4455285B" w14:textId="77777777" w:rsidR="007D2830" w:rsidRPr="0064523C" w:rsidRDefault="007D2830" w:rsidP="009F577E">
                            <w:pPr>
                              <w:pStyle w:val="ContraportadaCdigo"/>
                              <w:rPr>
                                <w:color w:val="D9E2F3" w:themeColor="accent1" w:themeTint="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F63C" id="_x0000_s1031" type="#_x0000_t202" style="position:absolute;left:0;text-align:left;margin-left:313.35pt;margin-top:536.05pt;width:192.45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" filled="f" stroked="f">
                <v:shadow on="t" color="black" opacity="26214f" origin="-.5,-.5" offset=".74836mm,.74836mm"/>
                <v:textbox>
                  <w:txbxContent>
                    <w:tbl>
                      <w:tblPr>
                        <w:tblW w:w="3780" w:type="dxa"/>
                        <w:tblLook w:val="01E0" w:firstRow="1" w:lastRow="1" w:firstColumn="1" w:lastColumn="1" w:noHBand="0" w:noVBand="0"/>
                      </w:tblPr>
                      <w:tblGrid>
                        <w:gridCol w:w="3780"/>
                      </w:tblGrid>
                      <w:tr w:rsidR="007D2830" w:rsidRPr="0064523C" w14:paraId="5B00AF62" w14:textId="77777777">
                        <w:tc>
                          <w:tcPr>
                            <w:tcW w:w="3780" w:type="dxa"/>
                            <w:vAlign w:val="center"/>
                            <w:hideMark/>
                          </w:tcPr>
                          <w:p w14:paraId="43C79735" w14:textId="4AC7AA24" w:rsidR="007D2830" w:rsidRPr="0064523C" w:rsidRDefault="007D2830" w:rsidP="00161860">
                            <w:pPr>
                              <w:pStyle w:val="PortadaCdigo"/>
                              <w:rPr>
                                <w:color w:val="D9E2F3" w:themeColor="accent1" w:themeTint="33"/>
                              </w:rPr>
                            </w:pPr>
                            <w:r w:rsidRPr="0064523C">
                              <w:rPr>
                                <w:color w:val="D9E2F3" w:themeColor="accent1" w:themeTint="33"/>
                              </w:rPr>
                              <w:fldChar w:fldCharType="begin"/>
                            </w:r>
                            <w:r w:rsidRPr="0064523C">
                              <w:rPr>
                                <w:color w:val="D9E2F3" w:themeColor="accent1" w:themeTint="33"/>
                              </w:rPr>
                              <w:instrText xml:space="preserve"> DOCPROPERTY  Código  \* MERGEFORMAT </w:instrText>
                            </w:r>
                            <w:r w:rsidRPr="0064523C">
                              <w:rPr>
                                <w:color w:val="D9E2F3" w:themeColor="accent1" w:themeTint="33"/>
                              </w:rPr>
                              <w:fldChar w:fldCharType="separate"/>
                            </w:r>
                            <w:r w:rsidRPr="0064523C">
                              <w:rPr>
                                <w:color w:val="D9E2F3" w:themeColor="accent1" w:themeTint="33"/>
                              </w:rPr>
                              <w:t>N</w:t>
                            </w:r>
                            <w:r w:rsidR="008F52AE" w:rsidRPr="0064523C">
                              <w:rPr>
                                <w:color w:val="D9E2F3" w:themeColor="accent1" w:themeTint="33"/>
                              </w:rPr>
                              <w:t>C</w:t>
                            </w:r>
                            <w:r w:rsidRPr="0064523C">
                              <w:rPr>
                                <w:color w:val="D9E2F3" w:themeColor="accent1" w:themeTint="33"/>
                              </w:rPr>
                              <w:t>-STP</w:t>
                            </w:r>
                            <w:r w:rsidRPr="0064523C">
                              <w:rPr>
                                <w:color w:val="D9E2F3" w:themeColor="accent1" w:themeTint="33"/>
                              </w:rPr>
                              <w:fldChar w:fldCharType="end"/>
                            </w:r>
                          </w:p>
                        </w:tc>
                      </w:tr>
                    </w:tbl>
                    <w:p w14:paraId="4455285B" w14:textId="77777777" w:rsidR="007D2830" w:rsidRPr="0064523C" w:rsidRDefault="007D2830" w:rsidP="009F577E">
                      <w:pPr>
                        <w:pStyle w:val="ContraportadaCdigo"/>
                        <w:rPr>
                          <w:color w:val="D9E2F3" w:themeColor="accent1" w:themeTint="33"/>
                        </w:rPr>
                      </w:pPr>
                    </w:p>
                  </w:txbxContent>
                </v:textbox>
              </v:shape>
            </w:pict>
          </mc:Fallback>
        </mc:AlternateContent>
      </w:r>
      <w:r w:rsidR="00057F9F">
        <w:rPr>
          <w:noProof/>
        </w:rPr>
        <mc:AlternateContent>
          <mc:Choice Requires="wps">
            <w:drawing>
              <wp:anchor distT="0" distB="0" distL="114300" distR="114300" simplePos="0" relativeHeight="251690496" behindDoc="0" locked="0" layoutInCell="1" allowOverlap="1" wp14:anchorId="3736551B" wp14:editId="7F52B49B">
                <wp:simplePos x="0" y="0"/>
                <wp:positionH relativeFrom="page">
                  <wp:align>center</wp:align>
                </wp:positionH>
                <wp:positionV relativeFrom="paragraph">
                  <wp:posOffset>8061850</wp:posOffset>
                </wp:positionV>
                <wp:extent cx="7680960" cy="441960"/>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441960"/>
                        </a:xfrm>
                        <a:prstGeom prst="rect">
                          <a:avLst/>
                        </a:prstGeom>
                        <a:noFill/>
                        <a:ln w="9525">
                          <a:noFill/>
                          <a:miter lim="800000"/>
                          <a:headEnd/>
                          <a:tailEnd/>
                        </a:ln>
                      </wps:spPr>
                      <wps:txbx>
                        <w:txbxContent>
                          <w:p w14:paraId="162FAFE9" w14:textId="77777777" w:rsidR="002A278F" w:rsidRPr="0064523C" w:rsidRDefault="002A278F" w:rsidP="0011799E">
                            <w:pPr>
                              <w:pStyle w:val="PortadaConfidencialidad"/>
                              <w:rPr>
                                <w:color w:val="D9E2F3" w:themeColor="accent1" w:themeTint="33"/>
                                <w:sz w:val="32"/>
                                <w:szCs w:val="32"/>
                              </w:rPr>
                            </w:pPr>
                            <w:r w:rsidRPr="0064523C">
                              <w:rPr>
                                <w:color w:val="D9E2F3" w:themeColor="accent1" w:themeTint="33"/>
                                <w:sz w:val="32"/>
                                <w:szCs w:val="32"/>
                              </w:rPr>
                              <w:fldChar w:fldCharType="begin"/>
                            </w:r>
                            <w:r w:rsidRPr="0064523C">
                              <w:rPr>
                                <w:color w:val="D9E2F3" w:themeColor="accent1" w:themeTint="33"/>
                                <w:sz w:val="32"/>
                                <w:szCs w:val="32"/>
                              </w:rPr>
                              <w:instrText xml:space="preserve"> DOCPROPERTY  Confidencialidad  \* MERGEFORMAT </w:instrText>
                            </w:r>
                            <w:r w:rsidRPr="0064523C">
                              <w:rPr>
                                <w:color w:val="D9E2F3" w:themeColor="accent1" w:themeTint="33"/>
                                <w:sz w:val="32"/>
                                <w:szCs w:val="32"/>
                              </w:rPr>
                              <w:fldChar w:fldCharType="separate"/>
                            </w:r>
                            <w:r w:rsidRPr="0064523C">
                              <w:rPr>
                                <w:color w:val="D9E2F3" w:themeColor="accent1" w:themeTint="33"/>
                                <w:sz w:val="32"/>
                                <w:szCs w:val="32"/>
                              </w:rPr>
                              <w:t>Público</w:t>
                            </w:r>
                            <w:r w:rsidRPr="0064523C">
                              <w:rPr>
                                <w:color w:val="D9E2F3" w:themeColor="accent1" w:themeTint="33"/>
                                <w:sz w:val="32"/>
                                <w:szCs w:val="32"/>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6551B" id="Cuadro de texto 32" o:spid="_x0000_s1032" type="#_x0000_t202" style="position:absolute;left:0;text-align:left;margin-left:0;margin-top:634.8pt;width:604.8pt;height:34.8pt;z-index:251690496;visibility:visible;mso-wrap-style:square;mso-width-percent:0;mso-height-percent:200;mso-wrap-distance-left:9pt;mso-wrap-distance-top:0;mso-wrap-distance-right:9pt;mso-wrap-distance-bottom:0;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" filled="f" stroked="f">
                <v:textbox style="mso-fit-shape-to-text:t">
                  <w:txbxContent>
                    <w:p w14:paraId="162FAFE9" w14:textId="77777777" w:rsidR="002A278F" w:rsidRPr="0064523C" w:rsidRDefault="002A278F" w:rsidP="0011799E">
                      <w:pPr>
                        <w:pStyle w:val="PortadaConfidencialidad"/>
                        <w:rPr>
                          <w:color w:val="D9E2F3" w:themeColor="accent1" w:themeTint="33"/>
                          <w:sz w:val="32"/>
                          <w:szCs w:val="32"/>
                        </w:rPr>
                      </w:pPr>
                      <w:r w:rsidRPr="0064523C">
                        <w:rPr>
                          <w:color w:val="D9E2F3" w:themeColor="accent1" w:themeTint="33"/>
                          <w:sz w:val="32"/>
                          <w:szCs w:val="32"/>
                        </w:rPr>
                        <w:fldChar w:fldCharType="begin"/>
                      </w:r>
                      <w:r w:rsidRPr="0064523C">
                        <w:rPr>
                          <w:color w:val="D9E2F3" w:themeColor="accent1" w:themeTint="33"/>
                          <w:sz w:val="32"/>
                          <w:szCs w:val="32"/>
                        </w:rPr>
                        <w:instrText xml:space="preserve"> DOCPROPERTY  Confidencialidad  \* MERGEFORMAT </w:instrText>
                      </w:r>
                      <w:r w:rsidRPr="0064523C">
                        <w:rPr>
                          <w:color w:val="D9E2F3" w:themeColor="accent1" w:themeTint="33"/>
                          <w:sz w:val="32"/>
                          <w:szCs w:val="32"/>
                        </w:rPr>
                        <w:fldChar w:fldCharType="separate"/>
                      </w:r>
                      <w:r w:rsidRPr="0064523C">
                        <w:rPr>
                          <w:color w:val="D9E2F3" w:themeColor="accent1" w:themeTint="33"/>
                          <w:sz w:val="32"/>
                          <w:szCs w:val="32"/>
                        </w:rPr>
                        <w:t>Público</w:t>
                      </w:r>
                      <w:r w:rsidRPr="0064523C">
                        <w:rPr>
                          <w:color w:val="D9E2F3" w:themeColor="accent1" w:themeTint="33"/>
                          <w:sz w:val="32"/>
                          <w:szCs w:val="32"/>
                        </w:rPr>
                        <w:fldChar w:fldCharType="end"/>
                      </w:r>
                    </w:p>
                  </w:txbxContent>
                </v:textbox>
                <w10:wrap anchorx="page"/>
              </v:shape>
            </w:pict>
          </mc:Fallback>
        </mc:AlternateContent>
      </w:r>
      <w:r w:rsidR="00161860">
        <w:rPr>
          <w:noProof/>
        </w:rPr>
        <mc:AlternateContent>
          <mc:Choice Requires="wps">
            <w:drawing>
              <wp:anchor distT="0" distB="0" distL="114300" distR="114300" simplePos="0" relativeHeight="251670016" behindDoc="0" locked="0" layoutInCell="1" allowOverlap="1" wp14:anchorId="6F3AD78E" wp14:editId="26DC8957">
                <wp:simplePos x="0" y="0"/>
                <wp:positionH relativeFrom="page">
                  <wp:posOffset>7696062</wp:posOffset>
                </wp:positionH>
                <wp:positionV relativeFrom="paragraph">
                  <wp:posOffset>1798016</wp:posOffset>
                </wp:positionV>
                <wp:extent cx="5169618" cy="2178657"/>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618" cy="2178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04BD7A" w14:textId="77777777" w:rsidR="002A278F" w:rsidRDefault="002A278F" w:rsidP="002A278F">
                            <w:pPr>
                              <w:pStyle w:val="PortadaTipoLibro"/>
                            </w:pPr>
                            <w:fldSimple w:instr=" DOCPROPERTY  &quot;Tipo libro&quot;  \* MERGEFORMAT ">
                              <w:r>
                                <w:t>Norma TÉCNICA</w:t>
                              </w:r>
                            </w:fldSimple>
                          </w:p>
                          <w:p w14:paraId="6E7BA0DF" w14:textId="60836BC0" w:rsidR="002A278F" w:rsidRPr="002E152D" w:rsidRDefault="002A278F" w:rsidP="002A278F">
                            <w:pPr>
                              <w:pStyle w:val="PortadaNombreServicio"/>
                              <w:spacing w:after="120"/>
                            </w:pPr>
                            <w:r w:rsidRPr="002E152D">
                              <w:fldChar w:fldCharType="begin"/>
                            </w:r>
                            <w:r w:rsidRPr="002E152D">
                              <w:instrText xml:space="preserve"> DOCPROPERTY  "Nombre servicio"  \* MERGEFORMAT </w:instrText>
                            </w:r>
                            <w:r w:rsidRPr="002E152D">
                              <w:fldChar w:fldCharType="separate"/>
                            </w:r>
                            <w:r>
                              <w:t>OPERACIÓN DEL SERVICIO DE</w:t>
                            </w:r>
                            <w:r w:rsidRPr="002E152D">
                              <w:t xml:space="preserve"> validación </w:t>
                            </w:r>
                            <w:r>
                              <w:t>DE</w:t>
                            </w:r>
                          </w:p>
                          <w:p w14:paraId="17D78393" w14:textId="77777777" w:rsidR="002A278F" w:rsidRDefault="002A278F" w:rsidP="002A278F">
                            <w:pPr>
                              <w:pStyle w:val="PortadaNombreServicio"/>
                              <w:spacing w:after="360"/>
                            </w:pPr>
                            <w:r w:rsidRPr="002E152D">
                              <w:t>sinpe-tp</w:t>
                            </w:r>
                            <w:r w:rsidRPr="002E152D">
                              <w:fldChar w:fldCharType="end"/>
                            </w:r>
                          </w:p>
                          <w:p w14:paraId="41DF5BEB" w14:textId="77777777" w:rsidR="002A278F" w:rsidRDefault="002A278F" w:rsidP="002A278F">
                            <w:pPr>
                              <w:pStyle w:val="PortadaSerieNormas"/>
                            </w:pPr>
                            <w:r>
                              <w:t>SERIE DE NORMAS Y PROCEDIMIENTOS</w:t>
                            </w:r>
                          </w:p>
                          <w:p w14:paraId="30D62515" w14:textId="77777777" w:rsidR="002A278F" w:rsidRDefault="002A278F" w:rsidP="002A278F">
                            <w:pPr>
                              <w:pStyle w:val="PortadaSerieNormas"/>
                            </w:pPr>
                          </w:p>
                          <w:p w14:paraId="225960E3" w14:textId="77777777" w:rsidR="002A278F" w:rsidRDefault="002A278F" w:rsidP="002A278F"/>
                          <w:p w14:paraId="59E6982A" w14:textId="77777777" w:rsidR="002A278F" w:rsidRDefault="002A278F" w:rsidP="002A278F">
                            <w:pPr>
                              <w:pStyle w:val="PortadaTipoLibro"/>
                            </w:pPr>
                            <w:fldSimple w:instr=" DOCPROPERTY  &quot;Tipo libro&quot;  \* MERGEFORMAT ">
                              <w:r>
                                <w:t>Norma complementaria</w:t>
                              </w:r>
                            </w:fldSimple>
                          </w:p>
                          <w:p w14:paraId="7E6869D5" w14:textId="77777777" w:rsidR="002A278F" w:rsidRDefault="002A278F" w:rsidP="002A278F">
                            <w:pPr>
                              <w:pStyle w:val="PortadaNombreServicio"/>
                            </w:pPr>
                            <w:fldSimple w:instr=" DOCPROPERTY  &quot;Nombre servicio&quot;  \* MERGEFORMAT ">
                              <w:r>
                                <w:t>[Nombre servicio o libro]</w:t>
                              </w:r>
                            </w:fldSimple>
                          </w:p>
                          <w:p w14:paraId="06B103C6" w14:textId="77777777" w:rsidR="002A278F" w:rsidRDefault="002A278F" w:rsidP="002A278F">
                            <w:pPr>
                              <w:pStyle w:val="PortadaSerieNormas"/>
                            </w:pPr>
                            <w:r>
                              <w:t>SERIE DE NORMAS Y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AD78E" id="Cuadro de texto 22" o:spid="_x0000_s1033" type="#_x0000_t202" style="position:absolute;left:0;text-align:left;margin-left:606pt;margin-top:141.6pt;width:407.05pt;height:171.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" filled="f" stroked="f">
                <v:textbox>
                  <w:txbxContent>
                    <w:p w14:paraId="4204BD7A" w14:textId="77777777" w:rsidR="002A278F" w:rsidRDefault="002A278F" w:rsidP="002A278F">
                      <w:pPr>
                        <w:pStyle w:val="PortadaTipoLibro"/>
                      </w:pPr>
                      <w:fldSimple w:instr=" DOCPROPERTY  &quot;Tipo libro&quot;  \* MERGEFORMAT ">
                        <w:r>
                          <w:t>Norma TÉCNICA</w:t>
                        </w:r>
                      </w:fldSimple>
                    </w:p>
                    <w:p w14:paraId="6E7BA0DF" w14:textId="60836BC0" w:rsidR="002A278F" w:rsidRPr="002E152D" w:rsidRDefault="002A278F" w:rsidP="002A278F">
                      <w:pPr>
                        <w:pStyle w:val="PortadaNombreServicio"/>
                        <w:spacing w:after="120"/>
                      </w:pPr>
                      <w:r w:rsidRPr="002E152D">
                        <w:fldChar w:fldCharType="begin"/>
                      </w:r>
                      <w:r w:rsidRPr="002E152D">
                        <w:instrText xml:space="preserve"> DOCPROPERTY  "Nombre servicio"  \* MERGEFORMAT </w:instrText>
                      </w:r>
                      <w:r w:rsidRPr="002E152D">
                        <w:fldChar w:fldCharType="separate"/>
                      </w:r>
                      <w:r>
                        <w:t>OPERACIÓN DEL SERVICIO DE</w:t>
                      </w:r>
                      <w:r w:rsidRPr="002E152D">
                        <w:t xml:space="preserve"> validación </w:t>
                      </w:r>
                      <w:r>
                        <w:t>DE</w:t>
                      </w:r>
                    </w:p>
                    <w:p w14:paraId="17D78393" w14:textId="77777777" w:rsidR="002A278F" w:rsidRDefault="002A278F" w:rsidP="002A278F">
                      <w:pPr>
                        <w:pStyle w:val="PortadaNombreServicio"/>
                        <w:spacing w:after="360"/>
                      </w:pPr>
                      <w:r w:rsidRPr="002E152D">
                        <w:t>sinpe-tp</w:t>
                      </w:r>
                      <w:r w:rsidRPr="002E152D">
                        <w:fldChar w:fldCharType="end"/>
                      </w:r>
                    </w:p>
                    <w:p w14:paraId="41DF5BEB" w14:textId="77777777" w:rsidR="002A278F" w:rsidRDefault="002A278F" w:rsidP="002A278F">
                      <w:pPr>
                        <w:pStyle w:val="PortadaSerieNormas"/>
                      </w:pPr>
                      <w:r>
                        <w:t>SERIE DE NORMAS Y PROCEDIMIENTOS</w:t>
                      </w:r>
                    </w:p>
                    <w:p w14:paraId="30D62515" w14:textId="77777777" w:rsidR="002A278F" w:rsidRDefault="002A278F" w:rsidP="002A278F">
                      <w:pPr>
                        <w:pStyle w:val="PortadaSerieNormas"/>
                      </w:pPr>
                    </w:p>
                    <w:p w14:paraId="225960E3" w14:textId="77777777" w:rsidR="002A278F" w:rsidRDefault="002A278F" w:rsidP="002A278F"/>
                    <w:p w14:paraId="59E6982A" w14:textId="77777777" w:rsidR="002A278F" w:rsidRDefault="002A278F" w:rsidP="002A278F">
                      <w:pPr>
                        <w:pStyle w:val="PortadaTipoLibro"/>
                      </w:pPr>
                      <w:fldSimple w:instr=" DOCPROPERTY  &quot;Tipo libro&quot;  \* MERGEFORMAT ">
                        <w:r>
                          <w:t>Norma complementaria</w:t>
                        </w:r>
                      </w:fldSimple>
                    </w:p>
                    <w:p w14:paraId="7E6869D5" w14:textId="77777777" w:rsidR="002A278F" w:rsidRDefault="002A278F" w:rsidP="002A278F">
                      <w:pPr>
                        <w:pStyle w:val="PortadaNombreServicio"/>
                      </w:pPr>
                      <w:fldSimple w:instr=" DOCPROPERTY  &quot;Nombre servicio&quot;  \* MERGEFORMAT ">
                        <w:r>
                          <w:t>[Nombre servicio o libro]</w:t>
                        </w:r>
                      </w:fldSimple>
                    </w:p>
                    <w:p w14:paraId="06B103C6" w14:textId="77777777" w:rsidR="002A278F" w:rsidRDefault="002A278F" w:rsidP="002A278F">
                      <w:pPr>
                        <w:pStyle w:val="PortadaSerieNormas"/>
                      </w:pPr>
                      <w:r>
                        <w:t>SERIE DE NORMAS Y PROCEDIMIENTOS</w:t>
                      </w:r>
                    </w:p>
                  </w:txbxContent>
                </v:textbox>
                <w10:wrap anchorx="page"/>
              </v:shape>
            </w:pict>
          </mc:Fallback>
        </mc:AlternateContent>
      </w:r>
      <w:r w:rsidR="00AC4A4A">
        <w:rPr>
          <w:color w:val="FF0000"/>
        </w:rPr>
        <w:t xml:space="preserve"> </w:t>
      </w:r>
    </w:p>
    <w:p w14:paraId="5875A2DB" w14:textId="3BF46786" w:rsidR="00D87748" w:rsidRDefault="00205BDB" w:rsidP="006C2CA4">
      <w:r>
        <w:rPr>
          <w:noProof/>
        </w:rPr>
        <w:lastRenderedPageBreak/>
        <mc:AlternateContent>
          <mc:Choice Requires="wps">
            <w:drawing>
              <wp:anchor distT="0" distB="0" distL="114300" distR="114300" simplePos="0" relativeHeight="251697664" behindDoc="0" locked="0" layoutInCell="1" allowOverlap="1" wp14:anchorId="0A5F2524" wp14:editId="47E7EF63">
                <wp:simplePos x="0" y="0"/>
                <wp:positionH relativeFrom="column">
                  <wp:posOffset>-1255426</wp:posOffset>
                </wp:positionH>
                <wp:positionV relativeFrom="paragraph">
                  <wp:posOffset>5027837</wp:posOffset>
                </wp:positionV>
                <wp:extent cx="7664605" cy="441960"/>
                <wp:effectExtent l="0" t="0" r="0" b="63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605" cy="441960"/>
                        </a:xfrm>
                        <a:prstGeom prst="rect">
                          <a:avLst/>
                        </a:prstGeom>
                        <a:noFill/>
                        <a:ln w="9525">
                          <a:noFill/>
                          <a:miter lim="800000"/>
                          <a:headEnd/>
                          <a:tailEnd/>
                        </a:ln>
                      </wps:spPr>
                      <wps:txbx>
                        <w:txbxContent>
                          <w:p w14:paraId="3B54233B" w14:textId="77777777" w:rsidR="00955867" w:rsidRDefault="00955867" w:rsidP="00205BDB">
                            <w:pPr>
                              <w:pStyle w:val="PortadaConfidencialidad"/>
                            </w:pPr>
                            <w:fldSimple w:instr=" DOCPROPERTY  Confidencialidad  \* MERGEFORMAT ">
                              <w:r>
                                <w:t>Público</w:t>
                              </w:r>
                            </w:fldSimple>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F2524" id="Cuadro de texto 12" o:spid="_x0000_s1034" type="#_x0000_t202" style="position:absolute;left:0;text-align:left;margin-left:-98.85pt;margin-top:395.9pt;width:603.5pt;height:34.8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" filled="f" stroked="f">
                <v:textbox style="mso-fit-shape-to-text:t">
                  <w:txbxContent>
                    <w:p w14:paraId="3B54233B" w14:textId="77777777" w:rsidR="00955867" w:rsidRDefault="00955867" w:rsidP="00205BDB">
                      <w:pPr>
                        <w:pStyle w:val="PortadaConfidencialidad"/>
                      </w:pPr>
                      <w:fldSimple w:instr=" DOCPROPERTY  Confidencialidad  \* MERGEFORMAT ">
                        <w:r>
                          <w:t>Público</w:t>
                        </w:r>
                      </w:fldSimple>
                    </w:p>
                  </w:txbxContent>
                </v:textbox>
              </v:shape>
            </w:pict>
          </mc:Fallback>
        </mc:AlternateContent>
      </w:r>
      <w:r w:rsidR="002B4A89">
        <w:rPr>
          <w:noProof/>
        </w:rPr>
        <mc:AlternateContent>
          <mc:Choice Requires="wps">
            <w:drawing>
              <wp:anchor distT="45720" distB="45720" distL="114300" distR="114300" simplePos="0" relativeHeight="251709952" behindDoc="0" locked="0" layoutInCell="1" allowOverlap="1" wp14:anchorId="44F2F14E" wp14:editId="79FE375E">
                <wp:simplePos x="0" y="0"/>
                <wp:positionH relativeFrom="page">
                  <wp:posOffset>765175</wp:posOffset>
                </wp:positionH>
                <wp:positionV relativeFrom="paragraph">
                  <wp:posOffset>2901315</wp:posOffset>
                </wp:positionV>
                <wp:extent cx="6302375" cy="2200910"/>
                <wp:effectExtent l="0" t="0" r="3175" b="2540"/>
                <wp:wrapSquare wrapText="bothSides"/>
                <wp:docPr id="16200271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2200910"/>
                        </a:xfrm>
                        <a:prstGeom prst="rect">
                          <a:avLst/>
                        </a:prstGeom>
                        <a:solidFill>
                          <a:srgbClr val="FFFFFF"/>
                        </a:solidFill>
                        <a:ln w="9525">
                          <a:noFill/>
                          <a:miter lim="800000"/>
                          <a:headEnd/>
                          <a:tailEnd/>
                        </a:ln>
                      </wps:spPr>
                      <wps:txbx>
                        <w:txbxContent>
                          <w:p w14:paraId="0FA22DFD" w14:textId="77777777" w:rsidR="00B46E22" w:rsidRPr="00177E0E" w:rsidRDefault="00B46E22" w:rsidP="00205BDB">
                            <w:pPr>
                              <w:jc w:val="center"/>
                              <w:rPr>
                                <w:b/>
                                <w:bCs/>
                                <w:color w:val="000000" w:themeColor="text1"/>
                                <w:sz w:val="36"/>
                                <w:szCs w:val="36"/>
                              </w:rPr>
                            </w:pPr>
                            <w:r w:rsidRPr="00177E0E">
                              <w:rPr>
                                <w:b/>
                                <w:bCs/>
                                <w:color w:val="000000" w:themeColor="text1"/>
                                <w:sz w:val="36"/>
                                <w:szCs w:val="36"/>
                              </w:rPr>
                              <w:t>NORMA COMPLEMENTARIA</w:t>
                            </w:r>
                          </w:p>
                          <w:p w14:paraId="5BCAF58F" w14:textId="77777777" w:rsidR="00B46E22" w:rsidRPr="00177E0E" w:rsidRDefault="00B46E22" w:rsidP="00205BDB">
                            <w:pPr>
                              <w:jc w:val="center"/>
                              <w:rPr>
                                <w:b/>
                                <w:bCs/>
                                <w:color w:val="000000" w:themeColor="text1"/>
                                <w:sz w:val="36"/>
                                <w:szCs w:val="36"/>
                              </w:rPr>
                            </w:pPr>
                            <w:r w:rsidRPr="00177E0E">
                              <w:rPr>
                                <w:b/>
                                <w:bCs/>
                                <w:color w:val="000000" w:themeColor="text1"/>
                                <w:sz w:val="36"/>
                                <w:szCs w:val="36"/>
                              </w:rPr>
                              <w:t>SINPE-TP</w:t>
                            </w:r>
                          </w:p>
                          <w:p w14:paraId="143B6710" w14:textId="093C02E0" w:rsidR="00B46E22" w:rsidRPr="00177E0E" w:rsidRDefault="00B46E22" w:rsidP="00205BDB">
                            <w:pPr>
                              <w:jc w:val="center"/>
                              <w:rPr>
                                <w:b/>
                                <w:bCs/>
                                <w:color w:val="000000" w:themeColor="text1"/>
                                <w:sz w:val="36"/>
                                <w:szCs w:val="36"/>
                              </w:rPr>
                            </w:pPr>
                            <w:r w:rsidRPr="00177E0E">
                              <w:rPr>
                                <w:b/>
                                <w:bCs/>
                                <w:color w:val="000000" w:themeColor="text1"/>
                                <w:sz w:val="36"/>
                                <w:szCs w:val="36"/>
                              </w:rPr>
                              <w:t>SERIE DE NORMAS TÉCNICAS DE SINPE-TP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2F14E" id="_x0000_s1035" type="#_x0000_t202" style="position:absolute;left:0;text-align:left;margin-left:60.25pt;margin-top:228.45pt;width:496.25pt;height:173.3pt;z-index:2517099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" stroked="f">
                <v:textbox style="mso-fit-shape-to-text:t">
                  <w:txbxContent>
                    <w:p w14:paraId="0FA22DFD" w14:textId="77777777" w:rsidR="00B46E22" w:rsidRPr="00177E0E" w:rsidRDefault="00B46E22" w:rsidP="00205BDB">
                      <w:pPr>
                        <w:jc w:val="center"/>
                        <w:rPr>
                          <w:b/>
                          <w:bCs/>
                          <w:color w:val="000000" w:themeColor="text1"/>
                          <w:sz w:val="36"/>
                          <w:szCs w:val="36"/>
                        </w:rPr>
                      </w:pPr>
                      <w:r w:rsidRPr="00177E0E">
                        <w:rPr>
                          <w:b/>
                          <w:bCs/>
                          <w:color w:val="000000" w:themeColor="text1"/>
                          <w:sz w:val="36"/>
                          <w:szCs w:val="36"/>
                        </w:rPr>
                        <w:t>NORMA COMPLEMENTARIA</w:t>
                      </w:r>
                    </w:p>
                    <w:p w14:paraId="5BCAF58F" w14:textId="77777777" w:rsidR="00B46E22" w:rsidRPr="00177E0E" w:rsidRDefault="00B46E22" w:rsidP="00205BDB">
                      <w:pPr>
                        <w:jc w:val="center"/>
                        <w:rPr>
                          <w:b/>
                          <w:bCs/>
                          <w:color w:val="000000" w:themeColor="text1"/>
                          <w:sz w:val="36"/>
                          <w:szCs w:val="36"/>
                        </w:rPr>
                      </w:pPr>
                      <w:r w:rsidRPr="00177E0E">
                        <w:rPr>
                          <w:b/>
                          <w:bCs/>
                          <w:color w:val="000000" w:themeColor="text1"/>
                          <w:sz w:val="36"/>
                          <w:szCs w:val="36"/>
                        </w:rPr>
                        <w:t>SINPE-TP</w:t>
                      </w:r>
                    </w:p>
                    <w:p w14:paraId="143B6710" w14:textId="093C02E0" w:rsidR="00B46E22" w:rsidRPr="00177E0E" w:rsidRDefault="00B46E22" w:rsidP="00205BDB">
                      <w:pPr>
                        <w:jc w:val="center"/>
                        <w:rPr>
                          <w:b/>
                          <w:bCs/>
                          <w:color w:val="000000" w:themeColor="text1"/>
                          <w:sz w:val="36"/>
                          <w:szCs w:val="36"/>
                        </w:rPr>
                      </w:pPr>
                      <w:r w:rsidRPr="00177E0E">
                        <w:rPr>
                          <w:b/>
                          <w:bCs/>
                          <w:color w:val="000000" w:themeColor="text1"/>
                          <w:sz w:val="36"/>
                          <w:szCs w:val="36"/>
                        </w:rPr>
                        <w:t>SERIE DE NORMAS TÉCNICAS DE SINPE-TP</w:t>
                      </w:r>
                    </w:p>
                  </w:txbxContent>
                </v:textbox>
                <w10:wrap type="square" anchorx="page"/>
              </v:shape>
            </w:pict>
          </mc:Fallback>
        </mc:AlternateContent>
      </w:r>
      <w:r w:rsidR="001B2EC9">
        <w:rPr>
          <w:noProof/>
        </w:rPr>
        <w:drawing>
          <wp:anchor distT="0" distB="0" distL="114300" distR="114300" simplePos="0" relativeHeight="251705856" behindDoc="1" locked="0" layoutInCell="1" allowOverlap="1" wp14:anchorId="790E8BD9" wp14:editId="1A6B4CB2">
            <wp:simplePos x="0" y="0"/>
            <wp:positionH relativeFrom="column">
              <wp:posOffset>3397885</wp:posOffset>
            </wp:positionH>
            <wp:positionV relativeFrom="paragraph">
              <wp:posOffset>6434269</wp:posOffset>
            </wp:positionV>
            <wp:extent cx="2405380" cy="1295400"/>
            <wp:effectExtent l="0" t="0" r="0" b="0"/>
            <wp:wrapTight wrapText="bothSides">
              <wp:wrapPolygon edited="0">
                <wp:start x="0" y="0"/>
                <wp:lineTo x="0" y="21282"/>
                <wp:lineTo x="21383" y="21282"/>
                <wp:lineTo x="21383" y="0"/>
                <wp:lineTo x="0" y="0"/>
              </wp:wrapPolygon>
            </wp:wrapTight>
            <wp:docPr id="9219430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5732"/>
                    <a:stretch>
                      <a:fillRect/>
                    </a:stretch>
                  </pic:blipFill>
                  <pic:spPr bwMode="auto">
                    <a:xfrm>
                      <a:off x="0" y="0"/>
                      <a:ext cx="240538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169">
        <w:rPr>
          <w:noProof/>
        </w:rPr>
        <mc:AlternateContent>
          <mc:Choice Requires="wps">
            <w:drawing>
              <wp:anchor distT="0" distB="0" distL="114300" distR="114300" simplePos="0" relativeHeight="251695616" behindDoc="0" locked="0" layoutInCell="1" allowOverlap="1" wp14:anchorId="7A1FF63C" wp14:editId="5E8F67A9">
                <wp:simplePos x="0" y="0"/>
                <wp:positionH relativeFrom="column">
                  <wp:posOffset>4067314</wp:posOffset>
                </wp:positionH>
                <wp:positionV relativeFrom="paragraph">
                  <wp:posOffset>7889426</wp:posOffset>
                </wp:positionV>
                <wp:extent cx="1959610" cy="68580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780" w:type="dxa"/>
                              <w:tblLook w:val="01E0" w:firstRow="1" w:lastRow="1" w:firstColumn="1" w:lastColumn="1" w:noHBand="0" w:noVBand="0"/>
                            </w:tblPr>
                            <w:tblGrid>
                              <w:gridCol w:w="3780"/>
                            </w:tblGrid>
                            <w:tr w:rsidR="002208B4" w14:paraId="3E5C3803" w14:textId="77777777">
                              <w:tc>
                                <w:tcPr>
                                  <w:tcW w:w="3780" w:type="dxa"/>
                                  <w:vAlign w:val="center"/>
                                  <w:hideMark/>
                                </w:tcPr>
                                <w:p w14:paraId="4DCCA17E" w14:textId="4775B20A" w:rsidR="002208B4" w:rsidRDefault="002208B4" w:rsidP="00030834">
                                  <w:pPr>
                                    <w:pStyle w:val="ContraportadaCdigo"/>
                                  </w:pPr>
                                  <w:fldSimple w:instr=" DOCPROPERTY  Código  \* MERGEFORMAT ">
                                    <w:r>
                                      <w:t>N</w:t>
                                    </w:r>
                                    <w:r w:rsidR="009330DB">
                                      <w:t>C</w:t>
                                    </w:r>
                                    <w:r>
                                      <w:t>-STP</w:t>
                                    </w:r>
                                  </w:fldSimple>
                                </w:p>
                              </w:tc>
                            </w:tr>
                          </w:tbl>
                          <w:p w14:paraId="72DDB1BD" w14:textId="77777777" w:rsidR="002208B4" w:rsidRDefault="002208B4" w:rsidP="002208B4">
                            <w:pPr>
                              <w:pStyle w:val="ContraportadaCdig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F63C" id="Cuadro de texto 13" o:spid="_x0000_s1036" type="#_x0000_t202" style="position:absolute;left:0;text-align:left;margin-left:320.25pt;margin-top:621.2pt;width:154.3pt;height: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" filled="f" stroked="f">
                <v:textbox>
                  <w:txbxContent>
                    <w:tbl>
                      <w:tblPr>
                        <w:tblW w:w="3780" w:type="dxa"/>
                        <w:tblLook w:val="01E0" w:firstRow="1" w:lastRow="1" w:firstColumn="1" w:lastColumn="1" w:noHBand="0" w:noVBand="0"/>
                      </w:tblPr>
                      <w:tblGrid>
                        <w:gridCol w:w="3780"/>
                      </w:tblGrid>
                      <w:tr w:rsidR="002208B4" w14:paraId="3E5C3803" w14:textId="77777777">
                        <w:tc>
                          <w:tcPr>
                            <w:tcW w:w="3780" w:type="dxa"/>
                            <w:vAlign w:val="center"/>
                            <w:hideMark/>
                          </w:tcPr>
                          <w:p w14:paraId="4DCCA17E" w14:textId="4775B20A" w:rsidR="002208B4" w:rsidRDefault="002208B4" w:rsidP="00030834">
                            <w:pPr>
                              <w:pStyle w:val="ContraportadaCdigo"/>
                            </w:pPr>
                            <w:fldSimple w:instr=" DOCPROPERTY  Código  \* MERGEFORMAT ">
                              <w:r>
                                <w:t>N</w:t>
                              </w:r>
                              <w:r w:rsidR="009330DB">
                                <w:t>C</w:t>
                              </w:r>
                              <w:r>
                                <w:t>-STP</w:t>
                              </w:r>
                            </w:fldSimple>
                          </w:p>
                        </w:tc>
                      </w:tr>
                    </w:tbl>
                    <w:p w14:paraId="72DDB1BD" w14:textId="77777777" w:rsidR="002208B4" w:rsidRDefault="002208B4" w:rsidP="002208B4">
                      <w:pPr>
                        <w:pStyle w:val="ContraportadaCdigo"/>
                      </w:pPr>
                    </w:p>
                  </w:txbxContent>
                </v:textbox>
              </v:shape>
            </w:pict>
          </mc:Fallback>
        </mc:AlternateContent>
      </w:r>
      <w:r w:rsidR="001C2562">
        <w:rPr>
          <w:noProof/>
        </w:rPr>
        <w:drawing>
          <wp:anchor distT="0" distB="0" distL="114300" distR="114300" simplePos="0" relativeHeight="251659776" behindDoc="1" locked="0" layoutInCell="1" allowOverlap="1" wp14:anchorId="2BB8590E" wp14:editId="06B89F0B">
            <wp:simplePos x="0" y="0"/>
            <wp:positionH relativeFrom="page">
              <wp:posOffset>19050</wp:posOffset>
            </wp:positionH>
            <wp:positionV relativeFrom="paragraph">
              <wp:posOffset>0</wp:posOffset>
            </wp:positionV>
            <wp:extent cx="7749540" cy="9128760"/>
            <wp:effectExtent l="0" t="0" r="3810" b="0"/>
            <wp:wrapTopAndBottom/>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3">
                      <a:extLst>
                        <a:ext uri="{28A0092B-C50C-407E-A947-70E740481C1C}">
                          <a14:useLocalDpi xmlns:a14="http://schemas.microsoft.com/office/drawing/2010/main" val="0"/>
                        </a:ext>
                      </a:extLst>
                    </a:blip>
                    <a:srcRect l="25112" t="10213" b="10623"/>
                    <a:stretch>
                      <a:fillRect/>
                    </a:stretch>
                  </pic:blipFill>
                  <pic:spPr bwMode="auto">
                    <a:xfrm>
                      <a:off x="0" y="0"/>
                      <a:ext cx="7749540" cy="912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D70">
        <w:rPr>
          <w:noProof/>
        </w:rPr>
        <mc:AlternateContent>
          <mc:Choice Requires="wps">
            <w:drawing>
              <wp:anchor distT="0" distB="0" distL="114300" distR="114300" simplePos="0" relativeHeight="251634176" behindDoc="0" locked="0" layoutInCell="1" allowOverlap="1" wp14:anchorId="5A3D3B7C" wp14:editId="02B41A82">
                <wp:simplePos x="0" y="0"/>
                <wp:positionH relativeFrom="column">
                  <wp:posOffset>1784985</wp:posOffset>
                </wp:positionH>
                <wp:positionV relativeFrom="paragraph">
                  <wp:posOffset>-5695315</wp:posOffset>
                </wp:positionV>
                <wp:extent cx="3949065" cy="1696720"/>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169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50D5" w14:textId="3A755470" w:rsidR="007D2830" w:rsidRPr="002255E4" w:rsidRDefault="007D2830" w:rsidP="00D87748">
                            <w:pPr>
                              <w:pStyle w:val="ContraportadaTipoLibro"/>
                            </w:pPr>
                            <w:fldSimple w:instr=" DOCPROPERTY  &quot;Tipo Libro&quot;  \* MERGEFORMAT ">
                              <w:r>
                                <w:t xml:space="preserve">Norma </w:t>
                              </w:r>
                              <w:r w:rsidR="00AF467B">
                                <w:t>TÉCNICA</w:t>
                              </w:r>
                            </w:fldSimple>
                            <w:r w:rsidRPr="002255E4">
                              <w:t xml:space="preserve"> </w:t>
                            </w:r>
                          </w:p>
                          <w:p w14:paraId="60B96096" w14:textId="77777777" w:rsidR="002F50F5" w:rsidRDefault="00AF467B" w:rsidP="002F50F5">
                            <w:pPr>
                              <w:pStyle w:val="ContraportadaNombreServicio"/>
                              <w:spacing w:after="60"/>
                            </w:pPr>
                            <w:r>
                              <w:t>HOMOLOGACIÓN DE</w:t>
                            </w:r>
                            <w:r w:rsidR="002F50F5">
                              <w:t xml:space="preserve"> equipos de</w:t>
                            </w:r>
                            <w:r>
                              <w:t xml:space="preserve"> VALIDA</w:t>
                            </w:r>
                            <w:r w:rsidR="002F50F5">
                              <w:t>ción</w:t>
                            </w:r>
                            <w:r>
                              <w:t xml:space="preserve"> PARA</w:t>
                            </w:r>
                          </w:p>
                          <w:p w14:paraId="1051C509" w14:textId="4C332258" w:rsidR="007D2830" w:rsidRDefault="00AF467B" w:rsidP="002F50F5">
                            <w:pPr>
                              <w:pStyle w:val="ContraportadaNombreServicio"/>
                              <w:spacing w:after="60"/>
                            </w:pPr>
                            <w:r>
                              <w:t>SINPE-TP</w:t>
                            </w:r>
                          </w:p>
                          <w:p w14:paraId="285ECD1B" w14:textId="77777777" w:rsidR="00AF467B" w:rsidRDefault="00AF467B" w:rsidP="006515E2">
                            <w:pPr>
                              <w:pStyle w:val="ContraportadaNombreServicio"/>
                              <w:spacing w:after="120"/>
                            </w:pPr>
                          </w:p>
                          <w:p w14:paraId="2C00B2F4" w14:textId="77777777" w:rsidR="007D2830" w:rsidRDefault="007D2830" w:rsidP="00D87748">
                            <w:pPr>
                              <w:pStyle w:val="ContraportadaSerieNormas"/>
                            </w:pPr>
                            <w:r w:rsidRPr="002255E4">
                              <w:t>SERIE DE NORMAS Y PROCEDIMIENTOS</w:t>
                            </w:r>
                          </w:p>
                          <w:p w14:paraId="31DDF576" w14:textId="77777777" w:rsidR="007D2830" w:rsidRPr="00977F1C" w:rsidRDefault="007D2830" w:rsidP="00D87748"/>
                          <w:p w14:paraId="2B1E79E6" w14:textId="77777777" w:rsidR="007D2830" w:rsidRDefault="007D2830" w:rsidP="00D87748"/>
                          <w:p w14:paraId="4B3731B7" w14:textId="77777777" w:rsidR="007D2830" w:rsidRPr="002255E4" w:rsidRDefault="007D2830" w:rsidP="00D87748">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1F7B060F" w14:textId="77777777" w:rsidR="007D2830" w:rsidRDefault="007D2830" w:rsidP="00D87748">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4DA4395A" w14:textId="77777777" w:rsidR="007D2830" w:rsidRPr="002255E4" w:rsidRDefault="007D2830" w:rsidP="00D87748">
                            <w:pPr>
                              <w:pStyle w:val="ContraportadaSerieNormas"/>
                            </w:pPr>
                            <w:r w:rsidRPr="002255E4">
                              <w:t>SERIE DE NORMAS Y PROCEDIMIENTOS</w:t>
                            </w:r>
                          </w:p>
                          <w:p w14:paraId="30390B9C" w14:textId="77777777" w:rsidR="007D2830" w:rsidRDefault="007D2830" w:rsidP="00D87748"/>
                          <w:p w14:paraId="177F3851" w14:textId="77777777" w:rsidR="007D2830" w:rsidRDefault="007D2830" w:rsidP="00D87748"/>
                          <w:p w14:paraId="06A02A56" w14:textId="77777777" w:rsidR="007D2830" w:rsidRPr="002255E4" w:rsidRDefault="007D2830" w:rsidP="00D87748">
                            <w:pPr>
                              <w:pStyle w:val="ContraportadaTipoLibro"/>
                            </w:pPr>
                            <w:fldSimple w:instr=" DOCPROPERTY  &quot;Tipo Libro&quot;  \* MERGEFORMAT ">
                              <w:r>
                                <w:t>Norma complementaria</w:t>
                              </w:r>
                            </w:fldSimple>
                            <w:r w:rsidRPr="002255E4">
                              <w:t xml:space="preserve"> </w:t>
                            </w:r>
                          </w:p>
                          <w:p w14:paraId="4984CD7A" w14:textId="77777777" w:rsidR="007D2830" w:rsidRDefault="007D2830" w:rsidP="00D87748">
                            <w:pPr>
                              <w:pStyle w:val="ContraportadaNombreServicio"/>
                            </w:pPr>
                            <w:fldSimple w:instr=" DOCPROPERTY  &quot;Nombre Servicio&quot;  \* MERGEFORMAT ">
                              <w:r>
                                <w:t>[Nombre servicio o libro]</w:t>
                              </w:r>
                            </w:fldSimple>
                          </w:p>
                          <w:p w14:paraId="06CBAFEB" w14:textId="77777777" w:rsidR="007D2830" w:rsidRPr="002255E4" w:rsidRDefault="007D2830" w:rsidP="00D87748">
                            <w:pPr>
                              <w:pStyle w:val="ContraportadaSerieNormas"/>
                            </w:pPr>
                            <w:r w:rsidRPr="002255E4">
                              <w:t>SERIE DE NORMAS Y PROCEDIMIENTOS</w:t>
                            </w:r>
                          </w:p>
                          <w:p w14:paraId="4F2881BE" w14:textId="77777777" w:rsidR="007D2830" w:rsidRDefault="007D2830" w:rsidP="00D87748"/>
                          <w:p w14:paraId="600638C7" w14:textId="77777777" w:rsidR="007D2830" w:rsidRDefault="007D2830" w:rsidP="00D87748"/>
                          <w:p w14:paraId="69BD1391" w14:textId="77777777" w:rsidR="007D2830" w:rsidRPr="002255E4" w:rsidRDefault="007D2830" w:rsidP="00D87748">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15A48363" w14:textId="77777777" w:rsidR="007D2830" w:rsidRDefault="007D2830" w:rsidP="00D87748">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63511B0B" w14:textId="77777777" w:rsidR="007D2830" w:rsidRPr="002255E4" w:rsidRDefault="007D2830" w:rsidP="00D87748">
                            <w:pPr>
                              <w:pStyle w:val="ContraportadaSerieNormas"/>
                            </w:pPr>
                            <w:r w:rsidRPr="002255E4">
                              <w:t>SERIE DE NORMAS Y PROCEDIMIENTOS</w:t>
                            </w:r>
                          </w:p>
                          <w:p w14:paraId="39876A09" w14:textId="77777777" w:rsidR="007D2830" w:rsidRDefault="007D2830" w:rsidP="00D87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D3B7C" id="Text Box 4" o:spid="_x0000_s1037" type="#_x0000_t202" style="position:absolute;left:0;text-align:left;margin-left:140.55pt;margin-top:-448.45pt;width:310.95pt;height:13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" filled="f" stroked="f">
                <v:textbox>
                  <w:txbxContent>
                    <w:p w14:paraId="2B4850D5" w14:textId="3A755470" w:rsidR="007D2830" w:rsidRPr="002255E4" w:rsidRDefault="007D2830" w:rsidP="00D87748">
                      <w:pPr>
                        <w:pStyle w:val="ContraportadaTipoLibro"/>
                      </w:pPr>
                      <w:fldSimple w:instr=" DOCPROPERTY  &quot;Tipo Libro&quot;  \* MERGEFORMAT ">
                        <w:r>
                          <w:t xml:space="preserve">Norma </w:t>
                        </w:r>
                        <w:r w:rsidR="00AF467B">
                          <w:t>TÉCNICA</w:t>
                        </w:r>
                      </w:fldSimple>
                      <w:r w:rsidRPr="002255E4">
                        <w:t xml:space="preserve"> </w:t>
                      </w:r>
                    </w:p>
                    <w:p w14:paraId="60B96096" w14:textId="77777777" w:rsidR="002F50F5" w:rsidRDefault="00AF467B" w:rsidP="002F50F5">
                      <w:pPr>
                        <w:pStyle w:val="ContraportadaNombreServicio"/>
                        <w:spacing w:after="60"/>
                      </w:pPr>
                      <w:r>
                        <w:t>HOMOLOGACIÓN DE</w:t>
                      </w:r>
                      <w:r w:rsidR="002F50F5">
                        <w:t xml:space="preserve"> equipos de</w:t>
                      </w:r>
                      <w:r>
                        <w:t xml:space="preserve"> VALIDA</w:t>
                      </w:r>
                      <w:r w:rsidR="002F50F5">
                        <w:t>ción</w:t>
                      </w:r>
                      <w:r>
                        <w:t xml:space="preserve"> PARA</w:t>
                      </w:r>
                    </w:p>
                    <w:p w14:paraId="1051C509" w14:textId="4C332258" w:rsidR="007D2830" w:rsidRDefault="00AF467B" w:rsidP="002F50F5">
                      <w:pPr>
                        <w:pStyle w:val="ContraportadaNombreServicio"/>
                        <w:spacing w:after="60"/>
                      </w:pPr>
                      <w:r>
                        <w:t>SINPE-TP</w:t>
                      </w:r>
                    </w:p>
                    <w:p w14:paraId="285ECD1B" w14:textId="77777777" w:rsidR="00AF467B" w:rsidRDefault="00AF467B" w:rsidP="006515E2">
                      <w:pPr>
                        <w:pStyle w:val="ContraportadaNombreServicio"/>
                        <w:spacing w:after="120"/>
                      </w:pPr>
                    </w:p>
                    <w:p w14:paraId="2C00B2F4" w14:textId="77777777" w:rsidR="007D2830" w:rsidRDefault="007D2830" w:rsidP="00D87748">
                      <w:pPr>
                        <w:pStyle w:val="ContraportadaSerieNormas"/>
                      </w:pPr>
                      <w:r w:rsidRPr="002255E4">
                        <w:t>SERIE DE NORMAS Y PROCEDIMIENTOS</w:t>
                      </w:r>
                    </w:p>
                    <w:p w14:paraId="31DDF576" w14:textId="77777777" w:rsidR="007D2830" w:rsidRPr="00977F1C" w:rsidRDefault="007D2830" w:rsidP="00D87748"/>
                    <w:p w14:paraId="2B1E79E6" w14:textId="77777777" w:rsidR="007D2830" w:rsidRDefault="007D2830" w:rsidP="00D87748"/>
                    <w:p w14:paraId="4B3731B7" w14:textId="77777777" w:rsidR="007D2830" w:rsidRPr="002255E4" w:rsidRDefault="007D2830" w:rsidP="00D87748">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1F7B060F" w14:textId="77777777" w:rsidR="007D2830" w:rsidRDefault="007D2830" w:rsidP="00D87748">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4DA4395A" w14:textId="77777777" w:rsidR="007D2830" w:rsidRPr="002255E4" w:rsidRDefault="007D2830" w:rsidP="00D87748">
                      <w:pPr>
                        <w:pStyle w:val="ContraportadaSerieNormas"/>
                      </w:pPr>
                      <w:r w:rsidRPr="002255E4">
                        <w:t>SERIE DE NORMAS Y PROCEDIMIENTOS</w:t>
                      </w:r>
                    </w:p>
                    <w:p w14:paraId="30390B9C" w14:textId="77777777" w:rsidR="007D2830" w:rsidRDefault="007D2830" w:rsidP="00D87748"/>
                    <w:p w14:paraId="177F3851" w14:textId="77777777" w:rsidR="007D2830" w:rsidRDefault="007D2830" w:rsidP="00D87748"/>
                    <w:p w14:paraId="06A02A56" w14:textId="77777777" w:rsidR="007D2830" w:rsidRPr="002255E4" w:rsidRDefault="007D2830" w:rsidP="00D87748">
                      <w:pPr>
                        <w:pStyle w:val="ContraportadaTipoLibro"/>
                      </w:pPr>
                      <w:fldSimple w:instr=" DOCPROPERTY  &quot;Tipo Libro&quot;  \* MERGEFORMAT ">
                        <w:r>
                          <w:t>Norma complementaria</w:t>
                        </w:r>
                      </w:fldSimple>
                      <w:r w:rsidRPr="002255E4">
                        <w:t xml:space="preserve"> </w:t>
                      </w:r>
                    </w:p>
                    <w:p w14:paraId="4984CD7A" w14:textId="77777777" w:rsidR="007D2830" w:rsidRDefault="007D2830" w:rsidP="00D87748">
                      <w:pPr>
                        <w:pStyle w:val="ContraportadaNombreServicio"/>
                      </w:pPr>
                      <w:fldSimple w:instr=" DOCPROPERTY  &quot;Nombre Servicio&quot;  \* MERGEFORMAT ">
                        <w:r>
                          <w:t>[Nombre servicio o libro]</w:t>
                        </w:r>
                      </w:fldSimple>
                    </w:p>
                    <w:p w14:paraId="06CBAFEB" w14:textId="77777777" w:rsidR="007D2830" w:rsidRPr="002255E4" w:rsidRDefault="007D2830" w:rsidP="00D87748">
                      <w:pPr>
                        <w:pStyle w:val="ContraportadaSerieNormas"/>
                      </w:pPr>
                      <w:r w:rsidRPr="002255E4">
                        <w:t>SERIE DE NORMAS Y PROCEDIMIENTOS</w:t>
                      </w:r>
                    </w:p>
                    <w:p w14:paraId="4F2881BE" w14:textId="77777777" w:rsidR="007D2830" w:rsidRDefault="007D2830" w:rsidP="00D87748"/>
                    <w:p w14:paraId="600638C7" w14:textId="77777777" w:rsidR="007D2830" w:rsidRDefault="007D2830" w:rsidP="00D87748"/>
                    <w:p w14:paraId="69BD1391" w14:textId="77777777" w:rsidR="007D2830" w:rsidRPr="002255E4" w:rsidRDefault="007D2830" w:rsidP="00D87748">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15A48363" w14:textId="77777777" w:rsidR="007D2830" w:rsidRDefault="007D2830" w:rsidP="00D87748">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63511B0B" w14:textId="77777777" w:rsidR="007D2830" w:rsidRPr="002255E4" w:rsidRDefault="007D2830" w:rsidP="00D87748">
                      <w:pPr>
                        <w:pStyle w:val="ContraportadaSerieNormas"/>
                      </w:pPr>
                      <w:r w:rsidRPr="002255E4">
                        <w:t>SERIE DE NORMAS Y PROCEDIMIENTOS</w:t>
                      </w:r>
                    </w:p>
                    <w:p w14:paraId="39876A09" w14:textId="77777777" w:rsidR="007D2830" w:rsidRDefault="007D2830" w:rsidP="00D87748"/>
                  </w:txbxContent>
                </v:textbox>
              </v:shape>
            </w:pict>
          </mc:Fallback>
        </mc:AlternateContent>
      </w:r>
      <w:r w:rsidR="00277D70">
        <w:rPr>
          <w:noProof/>
        </w:rPr>
        <mc:AlternateContent>
          <mc:Choice Requires="wps">
            <w:drawing>
              <wp:anchor distT="0" distB="0" distL="114300" distR="114300" simplePos="0" relativeHeight="251639296" behindDoc="0" locked="0" layoutInCell="1" allowOverlap="1" wp14:anchorId="3736551B" wp14:editId="1C6E675E">
                <wp:simplePos x="0" y="0"/>
                <wp:positionH relativeFrom="column">
                  <wp:posOffset>921385</wp:posOffset>
                </wp:positionH>
                <wp:positionV relativeFrom="paragraph">
                  <wp:posOffset>-3733165</wp:posOffset>
                </wp:positionV>
                <wp:extent cx="4762500" cy="44196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41960"/>
                        </a:xfrm>
                        <a:prstGeom prst="rect">
                          <a:avLst/>
                        </a:prstGeom>
                        <a:noFill/>
                        <a:ln w="9525">
                          <a:noFill/>
                          <a:miter lim="800000"/>
                          <a:headEnd/>
                          <a:tailEnd/>
                        </a:ln>
                      </wps:spPr>
                      <wps:txbx>
                        <w:txbxContent>
                          <w:p w14:paraId="3DB21336" w14:textId="77777777" w:rsidR="007D2830" w:rsidRDefault="007D2830" w:rsidP="00D87748">
                            <w:pPr>
                              <w:pStyle w:val="PortadaConfidencialidad"/>
                            </w:pPr>
                            <w:fldSimple w:instr=" DOCPROPERTY  Confidencialidad  \* MERGEFORMAT ">
                              <w:r>
                                <w:t>Público</w:t>
                              </w:r>
                            </w:fldSimple>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6551B" id="_x0000_s1038" type="#_x0000_t202" style="position:absolute;left:0;text-align:left;margin-left:72.55pt;margin-top:-293.95pt;width:375pt;height:34.8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" filled="f" stroked="f">
                <v:textbox style="mso-fit-shape-to-text:t">
                  <w:txbxContent>
                    <w:p w14:paraId="3DB21336" w14:textId="77777777" w:rsidR="007D2830" w:rsidRDefault="007D2830" w:rsidP="00D87748">
                      <w:pPr>
                        <w:pStyle w:val="PortadaConfidencialidad"/>
                      </w:pPr>
                      <w:fldSimple w:instr=" DOCPROPERTY  Confidencialidad  \* MERGEFORMAT ">
                        <w:r>
                          <w:t>Público</w:t>
                        </w:r>
                      </w:fldSimple>
                    </w:p>
                  </w:txbxContent>
                </v:textbox>
              </v:shape>
            </w:pict>
          </mc:Fallback>
        </mc:AlternateContent>
      </w:r>
      <w:r w:rsidR="00277D70">
        <w:rPr>
          <w:noProof/>
        </w:rPr>
        <mc:AlternateContent>
          <mc:Choice Requires="wps">
            <w:drawing>
              <wp:anchor distT="0" distB="0" distL="114300" distR="114300" simplePos="0" relativeHeight="251623936" behindDoc="0" locked="0" layoutInCell="1" allowOverlap="1" wp14:anchorId="54239ACD" wp14:editId="3445206F">
                <wp:simplePos x="0" y="0"/>
                <wp:positionH relativeFrom="column">
                  <wp:posOffset>3171825</wp:posOffset>
                </wp:positionH>
                <wp:positionV relativeFrom="paragraph">
                  <wp:posOffset>7397750</wp:posOffset>
                </wp:positionV>
                <wp:extent cx="2657475" cy="6858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780" w:type="dxa"/>
                              <w:tblLook w:val="01E0" w:firstRow="1" w:lastRow="1" w:firstColumn="1" w:lastColumn="1" w:noHBand="0" w:noVBand="0"/>
                            </w:tblPr>
                            <w:tblGrid>
                              <w:gridCol w:w="3780"/>
                            </w:tblGrid>
                            <w:tr w:rsidR="007D2830" w:rsidRPr="007C4DA0" w14:paraId="5E8CBE68" w14:textId="77777777" w:rsidTr="00ED3BE1">
                              <w:tc>
                                <w:tcPr>
                                  <w:tcW w:w="3780" w:type="dxa"/>
                                  <w:vAlign w:val="center"/>
                                </w:tcPr>
                                <w:p w14:paraId="6BDB7E64" w14:textId="77777777" w:rsidR="007D2830" w:rsidRPr="009C59FE" w:rsidRDefault="007D2830" w:rsidP="00ED3BE1">
                                  <w:pPr>
                                    <w:pStyle w:val="ContraportadaCdigo"/>
                                  </w:pPr>
                                  <w:r w:rsidRPr="009C59FE">
                                    <w:t>NC-CC</w:t>
                                  </w:r>
                                </w:p>
                              </w:tc>
                            </w:tr>
                          </w:tbl>
                          <w:p w14:paraId="58719431" w14:textId="77777777" w:rsidR="007D2830" w:rsidRPr="00A65D2A" w:rsidRDefault="007D2830" w:rsidP="00D87748"/>
                          <w:p w14:paraId="184EF1AC" w14:textId="77777777" w:rsidR="007D2830" w:rsidRDefault="007D2830" w:rsidP="00D87748"/>
                          <w:tbl>
                            <w:tblPr>
                              <w:tblW w:w="3780" w:type="dxa"/>
                              <w:tblLook w:val="01E0" w:firstRow="1" w:lastRow="1" w:firstColumn="1" w:lastColumn="1" w:noHBand="0" w:noVBand="0"/>
                            </w:tblPr>
                            <w:tblGrid>
                              <w:gridCol w:w="3780"/>
                            </w:tblGrid>
                            <w:tr w:rsidR="007D2830" w:rsidRPr="007C4DA0" w14:paraId="5BF5926F" w14:textId="77777777" w:rsidTr="00ED3BE1">
                              <w:tc>
                                <w:tcPr>
                                  <w:tcW w:w="3780" w:type="dxa"/>
                                  <w:vAlign w:val="center"/>
                                </w:tcPr>
                                <w:p w14:paraId="279A0D1B" w14:textId="77777777" w:rsidR="007D2830" w:rsidRPr="009C59FE" w:rsidRDefault="007D2830" w:rsidP="00ED3BE1">
                                  <w:pPr>
                                    <w:pStyle w:val="ContraportadaCdigo"/>
                                  </w:pPr>
                                  <w:r w:rsidRPr="009C59FE">
                                    <w:t>NC-CC</w:t>
                                  </w:r>
                                </w:p>
                              </w:tc>
                            </w:tr>
                          </w:tbl>
                          <w:p w14:paraId="76FF8D0E" w14:textId="77777777" w:rsidR="007D2830" w:rsidRPr="00A65D2A" w:rsidRDefault="007D2830" w:rsidP="00D87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9ACD" id="Text Box 3" o:spid="_x0000_s1039" type="#_x0000_t202" style="position:absolute;left:0;text-align:left;margin-left:249.75pt;margin-top:582.5pt;width:209.25pt;height:5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" filled="f" stroked="f">
                <v:textbox>
                  <w:txbxContent>
                    <w:tbl>
                      <w:tblPr>
                        <w:tblW w:w="3780" w:type="dxa"/>
                        <w:tblLook w:val="01E0" w:firstRow="1" w:lastRow="1" w:firstColumn="1" w:lastColumn="1" w:noHBand="0" w:noVBand="0"/>
                      </w:tblPr>
                      <w:tblGrid>
                        <w:gridCol w:w="3780"/>
                      </w:tblGrid>
                      <w:tr w:rsidR="007D2830" w:rsidRPr="007C4DA0" w14:paraId="5E8CBE68" w14:textId="77777777" w:rsidTr="00ED3BE1">
                        <w:tc>
                          <w:tcPr>
                            <w:tcW w:w="3780" w:type="dxa"/>
                            <w:vAlign w:val="center"/>
                          </w:tcPr>
                          <w:p w14:paraId="6BDB7E64" w14:textId="77777777" w:rsidR="007D2830" w:rsidRPr="009C59FE" w:rsidRDefault="007D2830" w:rsidP="00ED3BE1">
                            <w:pPr>
                              <w:pStyle w:val="ContraportadaCdigo"/>
                            </w:pPr>
                            <w:r w:rsidRPr="009C59FE">
                              <w:t>NC-CC</w:t>
                            </w:r>
                          </w:p>
                        </w:tc>
                      </w:tr>
                    </w:tbl>
                    <w:p w14:paraId="58719431" w14:textId="77777777" w:rsidR="007D2830" w:rsidRPr="00A65D2A" w:rsidRDefault="007D2830" w:rsidP="00D87748"/>
                    <w:p w14:paraId="184EF1AC" w14:textId="77777777" w:rsidR="007D2830" w:rsidRDefault="007D2830" w:rsidP="00D87748"/>
                    <w:tbl>
                      <w:tblPr>
                        <w:tblW w:w="3780" w:type="dxa"/>
                        <w:tblLook w:val="01E0" w:firstRow="1" w:lastRow="1" w:firstColumn="1" w:lastColumn="1" w:noHBand="0" w:noVBand="0"/>
                      </w:tblPr>
                      <w:tblGrid>
                        <w:gridCol w:w="3780"/>
                      </w:tblGrid>
                      <w:tr w:rsidR="007D2830" w:rsidRPr="007C4DA0" w14:paraId="5BF5926F" w14:textId="77777777" w:rsidTr="00ED3BE1">
                        <w:tc>
                          <w:tcPr>
                            <w:tcW w:w="3780" w:type="dxa"/>
                            <w:vAlign w:val="center"/>
                          </w:tcPr>
                          <w:p w14:paraId="279A0D1B" w14:textId="77777777" w:rsidR="007D2830" w:rsidRPr="009C59FE" w:rsidRDefault="007D2830" w:rsidP="00ED3BE1">
                            <w:pPr>
                              <w:pStyle w:val="ContraportadaCdigo"/>
                            </w:pPr>
                            <w:r w:rsidRPr="009C59FE">
                              <w:t>NC-CC</w:t>
                            </w:r>
                          </w:p>
                        </w:tc>
                      </w:tr>
                    </w:tbl>
                    <w:p w14:paraId="76FF8D0E" w14:textId="77777777" w:rsidR="007D2830" w:rsidRPr="00A65D2A" w:rsidRDefault="007D2830" w:rsidP="00D87748"/>
                  </w:txbxContent>
                </v:textbox>
              </v:shape>
            </w:pict>
          </mc:Fallback>
        </mc:AlternateContent>
      </w:r>
    </w:p>
    <w:p w14:paraId="6E13DFD3" w14:textId="0B54874A" w:rsidR="00D87748" w:rsidRPr="002A2D26" w:rsidRDefault="00D87748" w:rsidP="00BA30B6">
      <w:pPr>
        <w:pStyle w:val="TtuloTablaContenido"/>
        <w:spacing w:after="0"/>
        <w:rPr>
          <w:rFonts w:ascii="Arial" w:hAnsi="Arial" w:cs="Arial"/>
          <w:szCs w:val="36"/>
        </w:rPr>
      </w:pPr>
      <w:r w:rsidRPr="002A2D26">
        <w:rPr>
          <w:rFonts w:ascii="Arial" w:hAnsi="Arial" w:cs="Arial"/>
          <w:szCs w:val="36"/>
        </w:rPr>
        <w:lastRenderedPageBreak/>
        <w:t>Tabla de contenido</w:t>
      </w:r>
    </w:p>
    <w:p w14:paraId="728167FB" w14:textId="77777777" w:rsidR="002A2D26" w:rsidRPr="002A2D26" w:rsidRDefault="002A2D26" w:rsidP="00BA30B6">
      <w:pPr>
        <w:pStyle w:val="TtuloTablaContenido"/>
        <w:spacing w:after="0"/>
        <w:rPr>
          <w:rFonts w:ascii="Arial" w:hAnsi="Arial" w:cs="Arial"/>
          <w:szCs w:val="36"/>
        </w:rPr>
      </w:pPr>
    </w:p>
    <w:bookmarkStart w:id="0" w:name="_Hlk112695910"/>
    <w:p w14:paraId="191DB771" w14:textId="14E077E4" w:rsidR="007F7B8F" w:rsidRDefault="00D87748" w:rsidP="007F7B8F">
      <w:pPr>
        <w:pStyle w:val="TDC1"/>
        <w:spacing w:line="360" w:lineRule="auto"/>
        <w:rPr>
          <w:rFonts w:asciiTheme="minorHAnsi" w:eastAsiaTheme="minorEastAsia" w:hAnsiTheme="minorHAnsi" w:cstheme="minorBidi"/>
          <w:b w:val="0"/>
          <w:noProof/>
          <w:snapToGrid/>
          <w:kern w:val="2"/>
          <w:sz w:val="24"/>
          <w:szCs w:val="24"/>
          <w:lang w:val="es-CR" w:eastAsia="es-CR"/>
          <w14:ligatures w14:val="standardContextual"/>
        </w:rPr>
      </w:pPr>
      <w:r w:rsidRPr="002A2D26">
        <w:rPr>
          <w:rFonts w:ascii="Arial" w:hAnsi="Arial" w:cs="Arial"/>
        </w:rPr>
        <w:fldChar w:fldCharType="begin"/>
      </w:r>
      <w:r w:rsidRPr="002A2D26">
        <w:rPr>
          <w:rFonts w:ascii="Arial" w:hAnsi="Arial" w:cs="Arial"/>
        </w:rPr>
        <w:instrText xml:space="preserve"> TOC \o "1-4" \h \z \u </w:instrText>
      </w:r>
      <w:r w:rsidRPr="002A2D26">
        <w:rPr>
          <w:rFonts w:ascii="Arial" w:hAnsi="Arial" w:cs="Arial"/>
        </w:rPr>
        <w:fldChar w:fldCharType="separate"/>
      </w:r>
      <w:hyperlink w:anchor="_Toc216697932" w:history="1">
        <w:r w:rsidR="007F7B8F" w:rsidRPr="00025C68">
          <w:rPr>
            <w:rStyle w:val="Hipervnculo"/>
            <w:noProof/>
            <w:lang w:val="es-CR"/>
          </w:rPr>
          <w:t>1.</w:t>
        </w:r>
        <w:r w:rsidR="007F7B8F">
          <w:rPr>
            <w:rFonts w:asciiTheme="minorHAnsi" w:eastAsiaTheme="minorEastAsia" w:hAnsiTheme="minorHAnsi" w:cstheme="minorBidi"/>
            <w:b w:val="0"/>
            <w:noProof/>
            <w:snapToGrid/>
            <w:kern w:val="2"/>
            <w:sz w:val="24"/>
            <w:szCs w:val="24"/>
            <w:lang w:val="es-CR" w:eastAsia="es-CR"/>
            <w14:ligatures w14:val="standardContextual"/>
          </w:rPr>
          <w:tab/>
        </w:r>
        <w:r w:rsidR="007F7B8F" w:rsidRPr="00025C68">
          <w:rPr>
            <w:rStyle w:val="Hipervnculo"/>
            <w:noProof/>
          </w:rPr>
          <w:t>Marco introductorio</w:t>
        </w:r>
        <w:r w:rsidR="007F7B8F">
          <w:rPr>
            <w:noProof/>
            <w:webHidden/>
          </w:rPr>
          <w:tab/>
        </w:r>
        <w:r w:rsidR="007F7B8F">
          <w:rPr>
            <w:noProof/>
            <w:webHidden/>
          </w:rPr>
          <w:fldChar w:fldCharType="begin"/>
        </w:r>
        <w:r w:rsidR="007F7B8F">
          <w:rPr>
            <w:noProof/>
            <w:webHidden/>
          </w:rPr>
          <w:instrText xml:space="preserve"> PAGEREF _Toc216697932 \h </w:instrText>
        </w:r>
        <w:r w:rsidR="007F7B8F">
          <w:rPr>
            <w:noProof/>
            <w:webHidden/>
          </w:rPr>
        </w:r>
        <w:r w:rsidR="007F7B8F">
          <w:rPr>
            <w:noProof/>
            <w:webHidden/>
          </w:rPr>
          <w:fldChar w:fldCharType="separate"/>
        </w:r>
        <w:r w:rsidR="00FA10A3">
          <w:rPr>
            <w:noProof/>
            <w:webHidden/>
          </w:rPr>
          <w:t>1</w:t>
        </w:r>
        <w:r w:rsidR="007F7B8F">
          <w:rPr>
            <w:noProof/>
            <w:webHidden/>
          </w:rPr>
          <w:fldChar w:fldCharType="end"/>
        </w:r>
      </w:hyperlink>
    </w:p>
    <w:p w14:paraId="24133774" w14:textId="7E7CC598"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33" w:history="1">
        <w:r w:rsidRPr="00025C68">
          <w:rPr>
            <w:rStyle w:val="Hipervnculo"/>
          </w:rPr>
          <w:t>1.1.</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Alcance</w:t>
        </w:r>
        <w:r>
          <w:rPr>
            <w:webHidden/>
          </w:rPr>
          <w:tab/>
        </w:r>
        <w:r>
          <w:rPr>
            <w:webHidden/>
          </w:rPr>
          <w:fldChar w:fldCharType="begin"/>
        </w:r>
        <w:r>
          <w:rPr>
            <w:webHidden/>
          </w:rPr>
          <w:instrText xml:space="preserve"> PAGEREF _Toc216697933 \h </w:instrText>
        </w:r>
        <w:r>
          <w:rPr>
            <w:webHidden/>
          </w:rPr>
        </w:r>
        <w:r>
          <w:rPr>
            <w:webHidden/>
          </w:rPr>
          <w:fldChar w:fldCharType="separate"/>
        </w:r>
        <w:r w:rsidR="00FA10A3">
          <w:rPr>
            <w:webHidden/>
          </w:rPr>
          <w:t>1</w:t>
        </w:r>
        <w:r>
          <w:rPr>
            <w:webHidden/>
          </w:rPr>
          <w:fldChar w:fldCharType="end"/>
        </w:r>
      </w:hyperlink>
    </w:p>
    <w:p w14:paraId="104328F9" w14:textId="2E0B5302"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34" w:history="1">
        <w:r w:rsidRPr="00025C68">
          <w:rPr>
            <w:rStyle w:val="Hipervnculo"/>
          </w:rPr>
          <w:t>1.2.</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Términos empleados</w:t>
        </w:r>
        <w:r>
          <w:rPr>
            <w:webHidden/>
          </w:rPr>
          <w:tab/>
        </w:r>
        <w:r>
          <w:rPr>
            <w:webHidden/>
          </w:rPr>
          <w:fldChar w:fldCharType="begin"/>
        </w:r>
        <w:r>
          <w:rPr>
            <w:webHidden/>
          </w:rPr>
          <w:instrText xml:space="preserve"> PAGEREF _Toc216697934 \h </w:instrText>
        </w:r>
        <w:r>
          <w:rPr>
            <w:webHidden/>
          </w:rPr>
        </w:r>
        <w:r>
          <w:rPr>
            <w:webHidden/>
          </w:rPr>
          <w:fldChar w:fldCharType="separate"/>
        </w:r>
        <w:r w:rsidR="00FA10A3">
          <w:rPr>
            <w:webHidden/>
          </w:rPr>
          <w:t>1</w:t>
        </w:r>
        <w:r>
          <w:rPr>
            <w:webHidden/>
          </w:rPr>
          <w:fldChar w:fldCharType="end"/>
        </w:r>
      </w:hyperlink>
    </w:p>
    <w:p w14:paraId="7B878509" w14:textId="5111F85C"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35" w:history="1">
        <w:r w:rsidRPr="00025C68">
          <w:rPr>
            <w:rStyle w:val="Hipervnculo"/>
          </w:rPr>
          <w:t>1.3.</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Regulación relacionada</w:t>
        </w:r>
        <w:r>
          <w:rPr>
            <w:webHidden/>
          </w:rPr>
          <w:tab/>
        </w:r>
        <w:r>
          <w:rPr>
            <w:webHidden/>
          </w:rPr>
          <w:fldChar w:fldCharType="begin"/>
        </w:r>
        <w:r>
          <w:rPr>
            <w:webHidden/>
          </w:rPr>
          <w:instrText xml:space="preserve"> PAGEREF _Toc216697935 \h </w:instrText>
        </w:r>
        <w:r>
          <w:rPr>
            <w:webHidden/>
          </w:rPr>
        </w:r>
        <w:r>
          <w:rPr>
            <w:webHidden/>
          </w:rPr>
          <w:fldChar w:fldCharType="separate"/>
        </w:r>
        <w:r w:rsidR="00FA10A3">
          <w:rPr>
            <w:webHidden/>
          </w:rPr>
          <w:t>4</w:t>
        </w:r>
        <w:r>
          <w:rPr>
            <w:webHidden/>
          </w:rPr>
          <w:fldChar w:fldCharType="end"/>
        </w:r>
      </w:hyperlink>
    </w:p>
    <w:p w14:paraId="1907AD66" w14:textId="59E4F9A0" w:rsidR="007F7B8F" w:rsidRDefault="007F7B8F" w:rsidP="007F7B8F">
      <w:pPr>
        <w:pStyle w:val="TDC1"/>
        <w:spacing w:line="360" w:lineRule="auto"/>
        <w:rPr>
          <w:rFonts w:asciiTheme="minorHAnsi" w:eastAsiaTheme="minorEastAsia" w:hAnsiTheme="minorHAnsi" w:cstheme="minorBidi"/>
          <w:b w:val="0"/>
          <w:noProof/>
          <w:snapToGrid/>
          <w:kern w:val="2"/>
          <w:sz w:val="24"/>
          <w:szCs w:val="24"/>
          <w:lang w:val="es-CR" w:eastAsia="es-CR"/>
          <w14:ligatures w14:val="standardContextual"/>
        </w:rPr>
      </w:pPr>
      <w:hyperlink w:anchor="_Toc216697936" w:history="1">
        <w:r w:rsidRPr="00025C68">
          <w:rPr>
            <w:rStyle w:val="Hipervnculo"/>
            <w:noProof/>
            <w:lang w:val="es-CR"/>
          </w:rPr>
          <w:t>2.</w:t>
        </w:r>
        <w:r>
          <w:rPr>
            <w:rFonts w:asciiTheme="minorHAnsi" w:eastAsiaTheme="minorEastAsia" w:hAnsiTheme="minorHAnsi" w:cstheme="minorBidi"/>
            <w:b w:val="0"/>
            <w:noProof/>
            <w:snapToGrid/>
            <w:kern w:val="2"/>
            <w:sz w:val="24"/>
            <w:szCs w:val="24"/>
            <w:lang w:val="es-CR" w:eastAsia="es-CR"/>
            <w14:ligatures w14:val="standardContextual"/>
          </w:rPr>
          <w:tab/>
        </w:r>
        <w:r w:rsidRPr="00025C68">
          <w:rPr>
            <w:rStyle w:val="Hipervnculo"/>
            <w:noProof/>
          </w:rPr>
          <w:t>Aspectos generales</w:t>
        </w:r>
        <w:r>
          <w:rPr>
            <w:noProof/>
            <w:webHidden/>
          </w:rPr>
          <w:tab/>
        </w:r>
        <w:r>
          <w:rPr>
            <w:noProof/>
            <w:webHidden/>
          </w:rPr>
          <w:fldChar w:fldCharType="begin"/>
        </w:r>
        <w:r>
          <w:rPr>
            <w:noProof/>
            <w:webHidden/>
          </w:rPr>
          <w:instrText xml:space="preserve"> PAGEREF _Toc216697936 \h </w:instrText>
        </w:r>
        <w:r>
          <w:rPr>
            <w:noProof/>
            <w:webHidden/>
          </w:rPr>
        </w:r>
        <w:r>
          <w:rPr>
            <w:noProof/>
            <w:webHidden/>
          </w:rPr>
          <w:fldChar w:fldCharType="separate"/>
        </w:r>
        <w:r w:rsidR="00FA10A3">
          <w:rPr>
            <w:noProof/>
            <w:webHidden/>
          </w:rPr>
          <w:t>5</w:t>
        </w:r>
        <w:r>
          <w:rPr>
            <w:noProof/>
            <w:webHidden/>
          </w:rPr>
          <w:fldChar w:fldCharType="end"/>
        </w:r>
      </w:hyperlink>
    </w:p>
    <w:p w14:paraId="5693D0BC" w14:textId="573BD4FF"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37" w:history="1">
        <w:r w:rsidRPr="00025C68">
          <w:rPr>
            <w:rStyle w:val="Hipervnculo"/>
          </w:rPr>
          <w:t>2.1.</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Definición del servicio</w:t>
        </w:r>
        <w:r>
          <w:rPr>
            <w:webHidden/>
          </w:rPr>
          <w:tab/>
        </w:r>
        <w:r>
          <w:rPr>
            <w:webHidden/>
          </w:rPr>
          <w:fldChar w:fldCharType="begin"/>
        </w:r>
        <w:r>
          <w:rPr>
            <w:webHidden/>
          </w:rPr>
          <w:instrText xml:space="preserve"> PAGEREF _Toc216697937 \h </w:instrText>
        </w:r>
        <w:r>
          <w:rPr>
            <w:webHidden/>
          </w:rPr>
        </w:r>
        <w:r>
          <w:rPr>
            <w:webHidden/>
          </w:rPr>
          <w:fldChar w:fldCharType="separate"/>
        </w:r>
        <w:r w:rsidR="00FA10A3">
          <w:rPr>
            <w:webHidden/>
          </w:rPr>
          <w:t>5</w:t>
        </w:r>
        <w:r>
          <w:rPr>
            <w:webHidden/>
          </w:rPr>
          <w:fldChar w:fldCharType="end"/>
        </w:r>
      </w:hyperlink>
    </w:p>
    <w:p w14:paraId="7FBB9C5A" w14:textId="6691FD9A"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38" w:history="1">
        <w:r w:rsidRPr="00025C68">
          <w:rPr>
            <w:rStyle w:val="Hipervnculo"/>
          </w:rPr>
          <w:t>2.2.</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Participantes</w:t>
        </w:r>
        <w:r>
          <w:rPr>
            <w:webHidden/>
          </w:rPr>
          <w:tab/>
        </w:r>
        <w:r>
          <w:rPr>
            <w:webHidden/>
          </w:rPr>
          <w:fldChar w:fldCharType="begin"/>
        </w:r>
        <w:r>
          <w:rPr>
            <w:webHidden/>
          </w:rPr>
          <w:instrText xml:space="preserve"> PAGEREF _Toc216697938 \h </w:instrText>
        </w:r>
        <w:r>
          <w:rPr>
            <w:webHidden/>
          </w:rPr>
        </w:r>
        <w:r>
          <w:rPr>
            <w:webHidden/>
          </w:rPr>
          <w:fldChar w:fldCharType="separate"/>
        </w:r>
        <w:r w:rsidR="00FA10A3">
          <w:rPr>
            <w:webHidden/>
          </w:rPr>
          <w:t>5</w:t>
        </w:r>
        <w:r>
          <w:rPr>
            <w:webHidden/>
          </w:rPr>
          <w:fldChar w:fldCharType="end"/>
        </w:r>
      </w:hyperlink>
    </w:p>
    <w:p w14:paraId="5B6A23A7" w14:textId="63A2E297"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39" w:history="1">
        <w:r w:rsidRPr="00025C68">
          <w:rPr>
            <w:rStyle w:val="Hipervnculo"/>
          </w:rPr>
          <w:t>2.3.</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Dispositivos de pago autorizados</w:t>
        </w:r>
        <w:r>
          <w:rPr>
            <w:webHidden/>
          </w:rPr>
          <w:tab/>
        </w:r>
        <w:r>
          <w:rPr>
            <w:webHidden/>
          </w:rPr>
          <w:fldChar w:fldCharType="begin"/>
        </w:r>
        <w:r>
          <w:rPr>
            <w:webHidden/>
          </w:rPr>
          <w:instrText xml:space="preserve"> PAGEREF _Toc216697939 \h </w:instrText>
        </w:r>
        <w:r>
          <w:rPr>
            <w:webHidden/>
          </w:rPr>
        </w:r>
        <w:r>
          <w:rPr>
            <w:webHidden/>
          </w:rPr>
          <w:fldChar w:fldCharType="separate"/>
        </w:r>
        <w:r w:rsidR="00FA10A3">
          <w:rPr>
            <w:webHidden/>
          </w:rPr>
          <w:t>5</w:t>
        </w:r>
        <w:r>
          <w:rPr>
            <w:webHidden/>
          </w:rPr>
          <w:fldChar w:fldCharType="end"/>
        </w:r>
      </w:hyperlink>
    </w:p>
    <w:p w14:paraId="11E69A5B" w14:textId="56F24AAB"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40" w:history="1">
        <w:r w:rsidRPr="00025C68">
          <w:rPr>
            <w:rStyle w:val="Hipervnculo"/>
          </w:rPr>
          <w:t>2.4.</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Registro de proveedores de servicios</w:t>
        </w:r>
        <w:r>
          <w:rPr>
            <w:webHidden/>
          </w:rPr>
          <w:tab/>
        </w:r>
        <w:r>
          <w:rPr>
            <w:webHidden/>
          </w:rPr>
          <w:fldChar w:fldCharType="begin"/>
        </w:r>
        <w:r>
          <w:rPr>
            <w:webHidden/>
          </w:rPr>
          <w:instrText xml:space="preserve"> PAGEREF _Toc216697940 \h </w:instrText>
        </w:r>
        <w:r>
          <w:rPr>
            <w:webHidden/>
          </w:rPr>
        </w:r>
        <w:r>
          <w:rPr>
            <w:webHidden/>
          </w:rPr>
          <w:fldChar w:fldCharType="separate"/>
        </w:r>
        <w:r w:rsidR="00FA10A3">
          <w:rPr>
            <w:webHidden/>
          </w:rPr>
          <w:t>6</w:t>
        </w:r>
        <w:r>
          <w:rPr>
            <w:webHidden/>
          </w:rPr>
          <w:fldChar w:fldCharType="end"/>
        </w:r>
      </w:hyperlink>
    </w:p>
    <w:p w14:paraId="56BC62FC" w14:textId="0AE8680F"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41" w:history="1">
        <w:r w:rsidRPr="00025C68">
          <w:rPr>
            <w:rStyle w:val="Hipervnculo"/>
          </w:rPr>
          <w:t>2.5.</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Horario de funcionamiento</w:t>
        </w:r>
        <w:r>
          <w:rPr>
            <w:webHidden/>
          </w:rPr>
          <w:tab/>
        </w:r>
        <w:r>
          <w:rPr>
            <w:webHidden/>
          </w:rPr>
          <w:fldChar w:fldCharType="begin"/>
        </w:r>
        <w:r>
          <w:rPr>
            <w:webHidden/>
          </w:rPr>
          <w:instrText xml:space="preserve"> PAGEREF _Toc216697941 \h </w:instrText>
        </w:r>
        <w:r>
          <w:rPr>
            <w:webHidden/>
          </w:rPr>
        </w:r>
        <w:r>
          <w:rPr>
            <w:webHidden/>
          </w:rPr>
          <w:fldChar w:fldCharType="separate"/>
        </w:r>
        <w:r w:rsidR="00FA10A3">
          <w:rPr>
            <w:webHidden/>
          </w:rPr>
          <w:t>6</w:t>
        </w:r>
        <w:r>
          <w:rPr>
            <w:webHidden/>
          </w:rPr>
          <w:fldChar w:fldCharType="end"/>
        </w:r>
      </w:hyperlink>
    </w:p>
    <w:p w14:paraId="142E33CB" w14:textId="633979E0"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42" w:history="1">
        <w:r w:rsidRPr="00025C68">
          <w:rPr>
            <w:rStyle w:val="Hipervnculo"/>
          </w:rPr>
          <w:t>2.6.</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Suscripción al servicio</w:t>
        </w:r>
        <w:r>
          <w:rPr>
            <w:webHidden/>
          </w:rPr>
          <w:tab/>
        </w:r>
        <w:r>
          <w:rPr>
            <w:webHidden/>
          </w:rPr>
          <w:fldChar w:fldCharType="begin"/>
        </w:r>
        <w:r>
          <w:rPr>
            <w:webHidden/>
          </w:rPr>
          <w:instrText xml:space="preserve"> PAGEREF _Toc216697942 \h </w:instrText>
        </w:r>
        <w:r>
          <w:rPr>
            <w:webHidden/>
          </w:rPr>
        </w:r>
        <w:r>
          <w:rPr>
            <w:webHidden/>
          </w:rPr>
          <w:fldChar w:fldCharType="separate"/>
        </w:r>
        <w:r w:rsidR="00FA10A3">
          <w:rPr>
            <w:webHidden/>
          </w:rPr>
          <w:t>6</w:t>
        </w:r>
        <w:r>
          <w:rPr>
            <w:webHidden/>
          </w:rPr>
          <w:fldChar w:fldCharType="end"/>
        </w:r>
      </w:hyperlink>
    </w:p>
    <w:p w14:paraId="4B85A8D8" w14:textId="7C712DD7"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43" w:history="1">
        <w:r w:rsidRPr="00025C68">
          <w:rPr>
            <w:rStyle w:val="Hipervnculo"/>
          </w:rPr>
          <w:t>2.7.</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Designación de enlaces técnicos</w:t>
        </w:r>
        <w:r>
          <w:rPr>
            <w:webHidden/>
          </w:rPr>
          <w:tab/>
        </w:r>
        <w:r>
          <w:rPr>
            <w:webHidden/>
          </w:rPr>
          <w:fldChar w:fldCharType="begin"/>
        </w:r>
        <w:r>
          <w:rPr>
            <w:webHidden/>
          </w:rPr>
          <w:instrText xml:space="preserve"> PAGEREF _Toc216697943 \h </w:instrText>
        </w:r>
        <w:r>
          <w:rPr>
            <w:webHidden/>
          </w:rPr>
        </w:r>
        <w:r>
          <w:rPr>
            <w:webHidden/>
          </w:rPr>
          <w:fldChar w:fldCharType="separate"/>
        </w:r>
        <w:r w:rsidR="00FA10A3">
          <w:rPr>
            <w:webHidden/>
          </w:rPr>
          <w:t>6</w:t>
        </w:r>
        <w:r>
          <w:rPr>
            <w:webHidden/>
          </w:rPr>
          <w:fldChar w:fldCharType="end"/>
        </w:r>
      </w:hyperlink>
    </w:p>
    <w:p w14:paraId="61AB45DA" w14:textId="03F47798"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44" w:history="1">
        <w:r w:rsidRPr="00025C68">
          <w:rPr>
            <w:rStyle w:val="Hipervnculo"/>
          </w:rPr>
          <w:t>2.8.</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Comité Técnico de Operadores</w:t>
        </w:r>
        <w:r>
          <w:rPr>
            <w:webHidden/>
          </w:rPr>
          <w:tab/>
        </w:r>
        <w:r>
          <w:rPr>
            <w:webHidden/>
          </w:rPr>
          <w:fldChar w:fldCharType="begin"/>
        </w:r>
        <w:r>
          <w:rPr>
            <w:webHidden/>
          </w:rPr>
          <w:instrText xml:space="preserve"> PAGEREF _Toc216697944 \h </w:instrText>
        </w:r>
        <w:r>
          <w:rPr>
            <w:webHidden/>
          </w:rPr>
        </w:r>
        <w:r>
          <w:rPr>
            <w:webHidden/>
          </w:rPr>
          <w:fldChar w:fldCharType="separate"/>
        </w:r>
        <w:r w:rsidR="00FA10A3">
          <w:rPr>
            <w:webHidden/>
          </w:rPr>
          <w:t>7</w:t>
        </w:r>
        <w:r>
          <w:rPr>
            <w:webHidden/>
          </w:rPr>
          <w:fldChar w:fldCharType="end"/>
        </w:r>
      </w:hyperlink>
    </w:p>
    <w:p w14:paraId="02A39ECE" w14:textId="183E7E82"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45" w:history="1">
        <w:r w:rsidRPr="00025C68">
          <w:rPr>
            <w:rStyle w:val="Hipervnculo"/>
          </w:rPr>
          <w:t>2.9.</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Procesamiento de transacciones</w:t>
        </w:r>
        <w:r>
          <w:rPr>
            <w:webHidden/>
          </w:rPr>
          <w:tab/>
        </w:r>
        <w:r>
          <w:rPr>
            <w:webHidden/>
          </w:rPr>
          <w:fldChar w:fldCharType="begin"/>
        </w:r>
        <w:r>
          <w:rPr>
            <w:webHidden/>
          </w:rPr>
          <w:instrText xml:space="preserve"> PAGEREF _Toc216697945 \h </w:instrText>
        </w:r>
        <w:r>
          <w:rPr>
            <w:webHidden/>
          </w:rPr>
        </w:r>
        <w:r>
          <w:rPr>
            <w:webHidden/>
          </w:rPr>
          <w:fldChar w:fldCharType="separate"/>
        </w:r>
        <w:r w:rsidR="00FA10A3">
          <w:rPr>
            <w:webHidden/>
          </w:rPr>
          <w:t>8</w:t>
        </w:r>
        <w:r>
          <w:rPr>
            <w:webHidden/>
          </w:rPr>
          <w:fldChar w:fldCharType="end"/>
        </w:r>
      </w:hyperlink>
    </w:p>
    <w:p w14:paraId="5A0FF9CF" w14:textId="6A0E5735"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46" w:history="1">
        <w:r w:rsidRPr="00025C68">
          <w:rPr>
            <w:rStyle w:val="Hipervnculo"/>
          </w:rPr>
          <w:t>2.10.</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Evaluaciones de seguridad</w:t>
        </w:r>
        <w:r>
          <w:rPr>
            <w:webHidden/>
          </w:rPr>
          <w:tab/>
        </w:r>
        <w:r>
          <w:rPr>
            <w:webHidden/>
          </w:rPr>
          <w:fldChar w:fldCharType="begin"/>
        </w:r>
        <w:r>
          <w:rPr>
            <w:webHidden/>
          </w:rPr>
          <w:instrText xml:space="preserve"> PAGEREF _Toc216697946 \h </w:instrText>
        </w:r>
        <w:r>
          <w:rPr>
            <w:webHidden/>
          </w:rPr>
        </w:r>
        <w:r>
          <w:rPr>
            <w:webHidden/>
          </w:rPr>
          <w:fldChar w:fldCharType="separate"/>
        </w:r>
        <w:r w:rsidR="00FA10A3">
          <w:rPr>
            <w:webHidden/>
          </w:rPr>
          <w:t>8</w:t>
        </w:r>
        <w:r>
          <w:rPr>
            <w:webHidden/>
          </w:rPr>
          <w:fldChar w:fldCharType="end"/>
        </w:r>
      </w:hyperlink>
    </w:p>
    <w:p w14:paraId="31EF6427" w14:textId="5095E657"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47" w:history="1">
        <w:r w:rsidRPr="00025C68">
          <w:rPr>
            <w:rStyle w:val="Hipervnculo"/>
          </w:rPr>
          <w:t>2.11.</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Vigilancia</w:t>
        </w:r>
        <w:r>
          <w:rPr>
            <w:webHidden/>
          </w:rPr>
          <w:tab/>
        </w:r>
        <w:r>
          <w:rPr>
            <w:webHidden/>
          </w:rPr>
          <w:fldChar w:fldCharType="begin"/>
        </w:r>
        <w:r>
          <w:rPr>
            <w:webHidden/>
          </w:rPr>
          <w:instrText xml:space="preserve"> PAGEREF _Toc216697947 \h </w:instrText>
        </w:r>
        <w:r>
          <w:rPr>
            <w:webHidden/>
          </w:rPr>
        </w:r>
        <w:r>
          <w:rPr>
            <w:webHidden/>
          </w:rPr>
          <w:fldChar w:fldCharType="separate"/>
        </w:r>
        <w:r w:rsidR="00FA10A3">
          <w:rPr>
            <w:webHidden/>
          </w:rPr>
          <w:t>8</w:t>
        </w:r>
        <w:r>
          <w:rPr>
            <w:webHidden/>
          </w:rPr>
          <w:fldChar w:fldCharType="end"/>
        </w:r>
      </w:hyperlink>
    </w:p>
    <w:p w14:paraId="47E1F081" w14:textId="581B388A" w:rsidR="007F7B8F" w:rsidRDefault="007F7B8F" w:rsidP="007F7B8F">
      <w:pPr>
        <w:pStyle w:val="TDC1"/>
        <w:spacing w:line="360" w:lineRule="auto"/>
        <w:rPr>
          <w:rFonts w:asciiTheme="minorHAnsi" w:eastAsiaTheme="minorEastAsia" w:hAnsiTheme="minorHAnsi" w:cstheme="minorBidi"/>
          <w:b w:val="0"/>
          <w:noProof/>
          <w:snapToGrid/>
          <w:kern w:val="2"/>
          <w:sz w:val="24"/>
          <w:szCs w:val="24"/>
          <w:lang w:val="es-CR" w:eastAsia="es-CR"/>
          <w14:ligatures w14:val="standardContextual"/>
        </w:rPr>
      </w:pPr>
      <w:hyperlink w:anchor="_Toc216697948" w:history="1">
        <w:r w:rsidRPr="00025C68">
          <w:rPr>
            <w:rStyle w:val="Hipervnculo"/>
            <w:noProof/>
            <w:lang w:val="es-CR"/>
          </w:rPr>
          <w:t>3.</w:t>
        </w:r>
        <w:r>
          <w:rPr>
            <w:rFonts w:asciiTheme="minorHAnsi" w:eastAsiaTheme="minorEastAsia" w:hAnsiTheme="minorHAnsi" w:cstheme="minorBidi"/>
            <w:b w:val="0"/>
            <w:noProof/>
            <w:snapToGrid/>
            <w:kern w:val="2"/>
            <w:sz w:val="24"/>
            <w:szCs w:val="24"/>
            <w:lang w:val="es-CR" w:eastAsia="es-CR"/>
            <w14:ligatures w14:val="standardContextual"/>
          </w:rPr>
          <w:tab/>
        </w:r>
        <w:r w:rsidRPr="00025C68">
          <w:rPr>
            <w:rStyle w:val="Hipervnculo"/>
            <w:noProof/>
          </w:rPr>
          <w:t>Gestión Financiera</w:t>
        </w:r>
        <w:r>
          <w:rPr>
            <w:noProof/>
            <w:webHidden/>
          </w:rPr>
          <w:tab/>
        </w:r>
        <w:r>
          <w:rPr>
            <w:noProof/>
            <w:webHidden/>
          </w:rPr>
          <w:fldChar w:fldCharType="begin"/>
        </w:r>
        <w:r>
          <w:rPr>
            <w:noProof/>
            <w:webHidden/>
          </w:rPr>
          <w:instrText xml:space="preserve"> PAGEREF _Toc216697948 \h </w:instrText>
        </w:r>
        <w:r>
          <w:rPr>
            <w:noProof/>
            <w:webHidden/>
          </w:rPr>
        </w:r>
        <w:r>
          <w:rPr>
            <w:noProof/>
            <w:webHidden/>
          </w:rPr>
          <w:fldChar w:fldCharType="separate"/>
        </w:r>
        <w:r w:rsidR="00FA10A3">
          <w:rPr>
            <w:noProof/>
            <w:webHidden/>
          </w:rPr>
          <w:t>9</w:t>
        </w:r>
        <w:r>
          <w:rPr>
            <w:noProof/>
            <w:webHidden/>
          </w:rPr>
          <w:fldChar w:fldCharType="end"/>
        </w:r>
      </w:hyperlink>
    </w:p>
    <w:p w14:paraId="41D45184" w14:textId="7EBF3E03"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49" w:history="1">
        <w:r w:rsidRPr="00025C68">
          <w:rPr>
            <w:rStyle w:val="Hipervnculo"/>
          </w:rPr>
          <w:t>3.1.</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Manejo de riesgo y responsabilidades</w:t>
        </w:r>
        <w:r>
          <w:rPr>
            <w:webHidden/>
          </w:rPr>
          <w:tab/>
        </w:r>
        <w:r>
          <w:rPr>
            <w:webHidden/>
          </w:rPr>
          <w:fldChar w:fldCharType="begin"/>
        </w:r>
        <w:r>
          <w:rPr>
            <w:webHidden/>
          </w:rPr>
          <w:instrText xml:space="preserve"> PAGEREF _Toc216697949 \h </w:instrText>
        </w:r>
        <w:r>
          <w:rPr>
            <w:webHidden/>
          </w:rPr>
        </w:r>
        <w:r>
          <w:rPr>
            <w:webHidden/>
          </w:rPr>
          <w:fldChar w:fldCharType="separate"/>
        </w:r>
        <w:r w:rsidR="00FA10A3">
          <w:rPr>
            <w:webHidden/>
          </w:rPr>
          <w:t>9</w:t>
        </w:r>
        <w:r>
          <w:rPr>
            <w:webHidden/>
          </w:rPr>
          <w:fldChar w:fldCharType="end"/>
        </w:r>
      </w:hyperlink>
    </w:p>
    <w:p w14:paraId="094807D4" w14:textId="65705E9D"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50" w:history="1">
        <w:r w:rsidRPr="00025C68">
          <w:rPr>
            <w:rStyle w:val="Hipervnculo"/>
          </w:rPr>
          <w:t>3.2.</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Del ciclo de operación del servicio</w:t>
        </w:r>
        <w:r>
          <w:rPr>
            <w:webHidden/>
          </w:rPr>
          <w:tab/>
        </w:r>
        <w:r>
          <w:rPr>
            <w:webHidden/>
          </w:rPr>
          <w:fldChar w:fldCharType="begin"/>
        </w:r>
        <w:r>
          <w:rPr>
            <w:webHidden/>
          </w:rPr>
          <w:instrText xml:space="preserve"> PAGEREF _Toc216697950 \h </w:instrText>
        </w:r>
        <w:r>
          <w:rPr>
            <w:webHidden/>
          </w:rPr>
        </w:r>
        <w:r>
          <w:rPr>
            <w:webHidden/>
          </w:rPr>
          <w:fldChar w:fldCharType="separate"/>
        </w:r>
        <w:r w:rsidR="00FA10A3">
          <w:rPr>
            <w:webHidden/>
          </w:rPr>
          <w:t>9</w:t>
        </w:r>
        <w:r>
          <w:rPr>
            <w:webHidden/>
          </w:rPr>
          <w:fldChar w:fldCharType="end"/>
        </w:r>
      </w:hyperlink>
    </w:p>
    <w:p w14:paraId="2B60FF72" w14:textId="1DA08A61"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51" w:history="1">
        <w:r w:rsidRPr="00025C68">
          <w:rPr>
            <w:rStyle w:val="Hipervnculo"/>
          </w:rPr>
          <w:t>3.3.</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Cálculo de la liquidación de los ingresos tarifarios</w:t>
        </w:r>
        <w:r>
          <w:rPr>
            <w:webHidden/>
          </w:rPr>
          <w:tab/>
        </w:r>
        <w:r>
          <w:rPr>
            <w:webHidden/>
          </w:rPr>
          <w:fldChar w:fldCharType="begin"/>
        </w:r>
        <w:r>
          <w:rPr>
            <w:webHidden/>
          </w:rPr>
          <w:instrText xml:space="preserve"> PAGEREF _Toc216697951 \h </w:instrText>
        </w:r>
        <w:r>
          <w:rPr>
            <w:webHidden/>
          </w:rPr>
        </w:r>
        <w:r>
          <w:rPr>
            <w:webHidden/>
          </w:rPr>
          <w:fldChar w:fldCharType="separate"/>
        </w:r>
        <w:r w:rsidR="00FA10A3">
          <w:rPr>
            <w:webHidden/>
          </w:rPr>
          <w:t>10</w:t>
        </w:r>
        <w:r>
          <w:rPr>
            <w:webHidden/>
          </w:rPr>
          <w:fldChar w:fldCharType="end"/>
        </w:r>
      </w:hyperlink>
    </w:p>
    <w:p w14:paraId="4334916E" w14:textId="42E28A9A"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52" w:history="1">
        <w:r w:rsidRPr="00025C68">
          <w:rPr>
            <w:rStyle w:val="Hipervnculo"/>
          </w:rPr>
          <w:t>3.4.</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Morosidad</w:t>
        </w:r>
        <w:r>
          <w:rPr>
            <w:webHidden/>
          </w:rPr>
          <w:tab/>
        </w:r>
        <w:r>
          <w:rPr>
            <w:webHidden/>
          </w:rPr>
          <w:fldChar w:fldCharType="begin"/>
        </w:r>
        <w:r>
          <w:rPr>
            <w:webHidden/>
          </w:rPr>
          <w:instrText xml:space="preserve"> PAGEREF _Toc216697952 \h </w:instrText>
        </w:r>
        <w:r>
          <w:rPr>
            <w:webHidden/>
          </w:rPr>
        </w:r>
        <w:r>
          <w:rPr>
            <w:webHidden/>
          </w:rPr>
          <w:fldChar w:fldCharType="separate"/>
        </w:r>
        <w:r w:rsidR="00FA10A3">
          <w:rPr>
            <w:webHidden/>
          </w:rPr>
          <w:t>11</w:t>
        </w:r>
        <w:r>
          <w:rPr>
            <w:webHidden/>
          </w:rPr>
          <w:fldChar w:fldCharType="end"/>
        </w:r>
      </w:hyperlink>
    </w:p>
    <w:p w14:paraId="52BBFAB5" w14:textId="07377769"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53" w:history="1">
        <w:r w:rsidRPr="00025C68">
          <w:rPr>
            <w:rStyle w:val="Hipervnculo"/>
          </w:rPr>
          <w:t>3.5.</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Incobrabilidad</w:t>
        </w:r>
        <w:r>
          <w:rPr>
            <w:webHidden/>
          </w:rPr>
          <w:tab/>
        </w:r>
        <w:r>
          <w:rPr>
            <w:webHidden/>
          </w:rPr>
          <w:fldChar w:fldCharType="begin"/>
        </w:r>
        <w:r>
          <w:rPr>
            <w:webHidden/>
          </w:rPr>
          <w:instrText xml:space="preserve"> PAGEREF _Toc216697953 \h </w:instrText>
        </w:r>
        <w:r>
          <w:rPr>
            <w:webHidden/>
          </w:rPr>
        </w:r>
        <w:r>
          <w:rPr>
            <w:webHidden/>
          </w:rPr>
          <w:fldChar w:fldCharType="separate"/>
        </w:r>
        <w:r w:rsidR="00FA10A3">
          <w:rPr>
            <w:webHidden/>
          </w:rPr>
          <w:t>11</w:t>
        </w:r>
        <w:r>
          <w:rPr>
            <w:webHidden/>
          </w:rPr>
          <w:fldChar w:fldCharType="end"/>
        </w:r>
      </w:hyperlink>
    </w:p>
    <w:p w14:paraId="108DD21D" w14:textId="121B55CB"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54" w:history="1">
        <w:r w:rsidRPr="00025C68">
          <w:rPr>
            <w:rStyle w:val="Hipervnculo"/>
          </w:rPr>
          <w:t>3.6.</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Procedimiento de recuperación de deudas</w:t>
        </w:r>
        <w:r>
          <w:rPr>
            <w:webHidden/>
          </w:rPr>
          <w:tab/>
        </w:r>
        <w:r>
          <w:rPr>
            <w:webHidden/>
          </w:rPr>
          <w:fldChar w:fldCharType="begin"/>
        </w:r>
        <w:r>
          <w:rPr>
            <w:webHidden/>
          </w:rPr>
          <w:instrText xml:space="preserve"> PAGEREF _Toc216697954 \h </w:instrText>
        </w:r>
        <w:r>
          <w:rPr>
            <w:webHidden/>
          </w:rPr>
        </w:r>
        <w:r>
          <w:rPr>
            <w:webHidden/>
          </w:rPr>
          <w:fldChar w:fldCharType="separate"/>
        </w:r>
        <w:r w:rsidR="00FA10A3">
          <w:rPr>
            <w:webHidden/>
          </w:rPr>
          <w:t>11</w:t>
        </w:r>
        <w:r>
          <w:rPr>
            <w:webHidden/>
          </w:rPr>
          <w:fldChar w:fldCharType="end"/>
        </w:r>
      </w:hyperlink>
    </w:p>
    <w:p w14:paraId="2BC26CA4" w14:textId="3011E212"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55" w:history="1">
        <w:r w:rsidRPr="00025C68">
          <w:rPr>
            <w:rStyle w:val="Hipervnculo"/>
          </w:rPr>
          <w:t>3.7.</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Administración de la lista de denegación</w:t>
        </w:r>
        <w:r>
          <w:rPr>
            <w:webHidden/>
          </w:rPr>
          <w:tab/>
        </w:r>
        <w:r>
          <w:rPr>
            <w:webHidden/>
          </w:rPr>
          <w:fldChar w:fldCharType="begin"/>
        </w:r>
        <w:r>
          <w:rPr>
            <w:webHidden/>
          </w:rPr>
          <w:instrText xml:space="preserve"> PAGEREF _Toc216697955 \h </w:instrText>
        </w:r>
        <w:r>
          <w:rPr>
            <w:webHidden/>
          </w:rPr>
        </w:r>
        <w:r>
          <w:rPr>
            <w:webHidden/>
          </w:rPr>
          <w:fldChar w:fldCharType="separate"/>
        </w:r>
        <w:r w:rsidR="00FA10A3">
          <w:rPr>
            <w:webHidden/>
          </w:rPr>
          <w:t>12</w:t>
        </w:r>
        <w:r>
          <w:rPr>
            <w:webHidden/>
          </w:rPr>
          <w:fldChar w:fldCharType="end"/>
        </w:r>
      </w:hyperlink>
    </w:p>
    <w:p w14:paraId="5CCE9BB4" w14:textId="4CC9FBCB"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56" w:history="1">
        <w:r w:rsidRPr="00025C68">
          <w:rPr>
            <w:rStyle w:val="Hipervnculo"/>
          </w:rPr>
          <w:t>3.8.</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Inspección del pago de pasajes</w:t>
        </w:r>
        <w:r>
          <w:rPr>
            <w:webHidden/>
          </w:rPr>
          <w:tab/>
        </w:r>
        <w:r>
          <w:rPr>
            <w:webHidden/>
          </w:rPr>
          <w:fldChar w:fldCharType="begin"/>
        </w:r>
        <w:r>
          <w:rPr>
            <w:webHidden/>
          </w:rPr>
          <w:instrText xml:space="preserve"> PAGEREF _Toc216697956 \h </w:instrText>
        </w:r>
        <w:r>
          <w:rPr>
            <w:webHidden/>
          </w:rPr>
        </w:r>
        <w:r>
          <w:rPr>
            <w:webHidden/>
          </w:rPr>
          <w:fldChar w:fldCharType="separate"/>
        </w:r>
        <w:r w:rsidR="00FA10A3">
          <w:rPr>
            <w:webHidden/>
          </w:rPr>
          <w:t>12</w:t>
        </w:r>
        <w:r>
          <w:rPr>
            <w:webHidden/>
          </w:rPr>
          <w:fldChar w:fldCharType="end"/>
        </w:r>
      </w:hyperlink>
    </w:p>
    <w:p w14:paraId="7D383735" w14:textId="121B85E5"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57" w:history="1">
        <w:r w:rsidRPr="00025C68">
          <w:rPr>
            <w:rStyle w:val="Hipervnculo"/>
          </w:rPr>
          <w:t>3.9.</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Notificación de transacciones</w:t>
        </w:r>
        <w:r>
          <w:rPr>
            <w:webHidden/>
          </w:rPr>
          <w:tab/>
        </w:r>
        <w:r>
          <w:rPr>
            <w:webHidden/>
          </w:rPr>
          <w:fldChar w:fldCharType="begin"/>
        </w:r>
        <w:r>
          <w:rPr>
            <w:webHidden/>
          </w:rPr>
          <w:instrText xml:space="preserve"> PAGEREF _Toc216697957 \h </w:instrText>
        </w:r>
        <w:r>
          <w:rPr>
            <w:webHidden/>
          </w:rPr>
        </w:r>
        <w:r>
          <w:rPr>
            <w:webHidden/>
          </w:rPr>
          <w:fldChar w:fldCharType="separate"/>
        </w:r>
        <w:r w:rsidR="00FA10A3">
          <w:rPr>
            <w:webHidden/>
          </w:rPr>
          <w:t>12</w:t>
        </w:r>
        <w:r>
          <w:rPr>
            <w:webHidden/>
          </w:rPr>
          <w:fldChar w:fldCharType="end"/>
        </w:r>
      </w:hyperlink>
    </w:p>
    <w:p w14:paraId="70AADEE4" w14:textId="39D8D035" w:rsidR="007F7B8F" w:rsidRDefault="007F7B8F" w:rsidP="007F7B8F">
      <w:pPr>
        <w:pStyle w:val="TDC1"/>
        <w:spacing w:line="360" w:lineRule="auto"/>
        <w:rPr>
          <w:rFonts w:asciiTheme="minorHAnsi" w:eastAsiaTheme="minorEastAsia" w:hAnsiTheme="minorHAnsi" w:cstheme="minorBidi"/>
          <w:b w:val="0"/>
          <w:noProof/>
          <w:snapToGrid/>
          <w:kern w:val="2"/>
          <w:sz w:val="24"/>
          <w:szCs w:val="24"/>
          <w:lang w:val="es-CR" w:eastAsia="es-CR"/>
          <w14:ligatures w14:val="standardContextual"/>
        </w:rPr>
      </w:pPr>
      <w:hyperlink w:anchor="_Toc216697958" w:history="1">
        <w:r w:rsidRPr="00025C68">
          <w:rPr>
            <w:rStyle w:val="Hipervnculo"/>
            <w:noProof/>
            <w:lang w:val="es-CR"/>
          </w:rPr>
          <w:t>4.</w:t>
        </w:r>
        <w:r>
          <w:rPr>
            <w:rFonts w:asciiTheme="minorHAnsi" w:eastAsiaTheme="minorEastAsia" w:hAnsiTheme="minorHAnsi" w:cstheme="minorBidi"/>
            <w:b w:val="0"/>
            <w:noProof/>
            <w:snapToGrid/>
            <w:kern w:val="2"/>
            <w:sz w:val="24"/>
            <w:szCs w:val="24"/>
            <w:lang w:val="es-CR" w:eastAsia="es-CR"/>
            <w14:ligatures w14:val="standardContextual"/>
          </w:rPr>
          <w:tab/>
        </w:r>
        <w:r w:rsidRPr="00025C68">
          <w:rPr>
            <w:rStyle w:val="Hipervnculo"/>
            <w:noProof/>
          </w:rPr>
          <w:t>Manejo de información</w:t>
        </w:r>
        <w:r>
          <w:rPr>
            <w:noProof/>
            <w:webHidden/>
          </w:rPr>
          <w:tab/>
        </w:r>
        <w:r>
          <w:rPr>
            <w:noProof/>
            <w:webHidden/>
          </w:rPr>
          <w:fldChar w:fldCharType="begin"/>
        </w:r>
        <w:r>
          <w:rPr>
            <w:noProof/>
            <w:webHidden/>
          </w:rPr>
          <w:instrText xml:space="preserve"> PAGEREF _Toc216697958 \h </w:instrText>
        </w:r>
        <w:r>
          <w:rPr>
            <w:noProof/>
            <w:webHidden/>
          </w:rPr>
        </w:r>
        <w:r>
          <w:rPr>
            <w:noProof/>
            <w:webHidden/>
          </w:rPr>
          <w:fldChar w:fldCharType="separate"/>
        </w:r>
        <w:r w:rsidR="00FA10A3">
          <w:rPr>
            <w:noProof/>
            <w:webHidden/>
          </w:rPr>
          <w:t>12</w:t>
        </w:r>
        <w:r>
          <w:rPr>
            <w:noProof/>
            <w:webHidden/>
          </w:rPr>
          <w:fldChar w:fldCharType="end"/>
        </w:r>
      </w:hyperlink>
    </w:p>
    <w:p w14:paraId="6635CDBB" w14:textId="339FC3FF"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59" w:history="1">
        <w:r w:rsidRPr="00025C68">
          <w:rPr>
            <w:rStyle w:val="Hipervnculo"/>
          </w:rPr>
          <w:t>4.1.</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Principio registral</w:t>
        </w:r>
        <w:r>
          <w:rPr>
            <w:webHidden/>
          </w:rPr>
          <w:tab/>
        </w:r>
        <w:r>
          <w:rPr>
            <w:webHidden/>
          </w:rPr>
          <w:fldChar w:fldCharType="begin"/>
        </w:r>
        <w:r>
          <w:rPr>
            <w:webHidden/>
          </w:rPr>
          <w:instrText xml:space="preserve"> PAGEREF _Toc216697959 \h </w:instrText>
        </w:r>
        <w:r>
          <w:rPr>
            <w:webHidden/>
          </w:rPr>
        </w:r>
        <w:r>
          <w:rPr>
            <w:webHidden/>
          </w:rPr>
          <w:fldChar w:fldCharType="separate"/>
        </w:r>
        <w:r w:rsidR="00FA10A3">
          <w:rPr>
            <w:webHidden/>
          </w:rPr>
          <w:t>13</w:t>
        </w:r>
        <w:r>
          <w:rPr>
            <w:webHidden/>
          </w:rPr>
          <w:fldChar w:fldCharType="end"/>
        </w:r>
      </w:hyperlink>
    </w:p>
    <w:p w14:paraId="39227758" w14:textId="08481272"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60" w:history="1">
        <w:r w:rsidRPr="00025C68">
          <w:rPr>
            <w:rStyle w:val="Hipervnculo"/>
          </w:rPr>
          <w:t>4.2.</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Información a cargo del CTP</w:t>
        </w:r>
        <w:r>
          <w:rPr>
            <w:webHidden/>
          </w:rPr>
          <w:tab/>
        </w:r>
        <w:r>
          <w:rPr>
            <w:webHidden/>
          </w:rPr>
          <w:fldChar w:fldCharType="begin"/>
        </w:r>
        <w:r>
          <w:rPr>
            <w:webHidden/>
          </w:rPr>
          <w:instrText xml:space="preserve"> PAGEREF _Toc216697960 \h </w:instrText>
        </w:r>
        <w:r>
          <w:rPr>
            <w:webHidden/>
          </w:rPr>
        </w:r>
        <w:r>
          <w:rPr>
            <w:webHidden/>
          </w:rPr>
          <w:fldChar w:fldCharType="separate"/>
        </w:r>
        <w:r w:rsidR="00FA10A3">
          <w:rPr>
            <w:webHidden/>
          </w:rPr>
          <w:t>13</w:t>
        </w:r>
        <w:r>
          <w:rPr>
            <w:webHidden/>
          </w:rPr>
          <w:fldChar w:fldCharType="end"/>
        </w:r>
      </w:hyperlink>
    </w:p>
    <w:p w14:paraId="7A4940D5" w14:textId="057C7BE6"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61" w:history="1">
        <w:r w:rsidRPr="00025C68">
          <w:rPr>
            <w:rStyle w:val="Hipervnculo"/>
          </w:rPr>
          <w:t>4.3.</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Información a cargo de la Aresep</w:t>
        </w:r>
        <w:r>
          <w:rPr>
            <w:webHidden/>
          </w:rPr>
          <w:tab/>
        </w:r>
        <w:r>
          <w:rPr>
            <w:webHidden/>
          </w:rPr>
          <w:fldChar w:fldCharType="begin"/>
        </w:r>
        <w:r>
          <w:rPr>
            <w:webHidden/>
          </w:rPr>
          <w:instrText xml:space="preserve"> PAGEREF _Toc216697961 \h </w:instrText>
        </w:r>
        <w:r>
          <w:rPr>
            <w:webHidden/>
          </w:rPr>
        </w:r>
        <w:r>
          <w:rPr>
            <w:webHidden/>
          </w:rPr>
          <w:fldChar w:fldCharType="separate"/>
        </w:r>
        <w:r w:rsidR="00FA10A3">
          <w:rPr>
            <w:webHidden/>
          </w:rPr>
          <w:t>13</w:t>
        </w:r>
        <w:r>
          <w:rPr>
            <w:webHidden/>
          </w:rPr>
          <w:fldChar w:fldCharType="end"/>
        </w:r>
      </w:hyperlink>
    </w:p>
    <w:p w14:paraId="674931B9" w14:textId="7726AAAD"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62" w:history="1">
        <w:r w:rsidRPr="00025C68">
          <w:rPr>
            <w:rStyle w:val="Hipervnculo"/>
          </w:rPr>
          <w:t>4.4.</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Información a cargo de los operadores del servicio de autobús</w:t>
        </w:r>
        <w:r>
          <w:rPr>
            <w:webHidden/>
          </w:rPr>
          <w:tab/>
        </w:r>
        <w:r>
          <w:rPr>
            <w:webHidden/>
          </w:rPr>
          <w:fldChar w:fldCharType="begin"/>
        </w:r>
        <w:r>
          <w:rPr>
            <w:webHidden/>
          </w:rPr>
          <w:instrText xml:space="preserve"> PAGEREF _Toc216697962 \h </w:instrText>
        </w:r>
        <w:r>
          <w:rPr>
            <w:webHidden/>
          </w:rPr>
        </w:r>
        <w:r>
          <w:rPr>
            <w:webHidden/>
          </w:rPr>
          <w:fldChar w:fldCharType="separate"/>
        </w:r>
        <w:r w:rsidR="00FA10A3">
          <w:rPr>
            <w:webHidden/>
          </w:rPr>
          <w:t>13</w:t>
        </w:r>
        <w:r>
          <w:rPr>
            <w:webHidden/>
          </w:rPr>
          <w:fldChar w:fldCharType="end"/>
        </w:r>
      </w:hyperlink>
    </w:p>
    <w:p w14:paraId="7E057A44" w14:textId="2ED9907D"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63" w:history="1">
        <w:r w:rsidRPr="00025C68">
          <w:rPr>
            <w:rStyle w:val="Hipervnculo"/>
          </w:rPr>
          <w:t>4.5.</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Información a cargo de Incofer</w:t>
        </w:r>
        <w:r>
          <w:rPr>
            <w:webHidden/>
          </w:rPr>
          <w:tab/>
        </w:r>
        <w:r>
          <w:rPr>
            <w:webHidden/>
          </w:rPr>
          <w:fldChar w:fldCharType="begin"/>
        </w:r>
        <w:r>
          <w:rPr>
            <w:webHidden/>
          </w:rPr>
          <w:instrText xml:space="preserve"> PAGEREF _Toc216697963 \h </w:instrText>
        </w:r>
        <w:r>
          <w:rPr>
            <w:webHidden/>
          </w:rPr>
        </w:r>
        <w:r>
          <w:rPr>
            <w:webHidden/>
          </w:rPr>
          <w:fldChar w:fldCharType="separate"/>
        </w:r>
        <w:r w:rsidR="00FA10A3">
          <w:rPr>
            <w:webHidden/>
          </w:rPr>
          <w:t>13</w:t>
        </w:r>
        <w:r>
          <w:rPr>
            <w:webHidden/>
          </w:rPr>
          <w:fldChar w:fldCharType="end"/>
        </w:r>
      </w:hyperlink>
    </w:p>
    <w:p w14:paraId="333090C5" w14:textId="7A2F23B1"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64" w:history="1">
        <w:r w:rsidRPr="00025C68">
          <w:rPr>
            <w:rStyle w:val="Hipervnculo"/>
          </w:rPr>
          <w:t>4.6.</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Información a cargo del BCCR</w:t>
        </w:r>
        <w:r>
          <w:rPr>
            <w:webHidden/>
          </w:rPr>
          <w:tab/>
        </w:r>
        <w:r>
          <w:rPr>
            <w:webHidden/>
          </w:rPr>
          <w:fldChar w:fldCharType="begin"/>
        </w:r>
        <w:r>
          <w:rPr>
            <w:webHidden/>
          </w:rPr>
          <w:instrText xml:space="preserve"> PAGEREF _Toc216697964 \h </w:instrText>
        </w:r>
        <w:r>
          <w:rPr>
            <w:webHidden/>
          </w:rPr>
        </w:r>
        <w:r>
          <w:rPr>
            <w:webHidden/>
          </w:rPr>
          <w:fldChar w:fldCharType="separate"/>
        </w:r>
        <w:r w:rsidR="00FA10A3">
          <w:rPr>
            <w:webHidden/>
          </w:rPr>
          <w:t>14</w:t>
        </w:r>
        <w:r>
          <w:rPr>
            <w:webHidden/>
          </w:rPr>
          <w:fldChar w:fldCharType="end"/>
        </w:r>
      </w:hyperlink>
    </w:p>
    <w:p w14:paraId="692E9807" w14:textId="2D6D644E"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65" w:history="1">
        <w:r w:rsidRPr="00025C68">
          <w:rPr>
            <w:rStyle w:val="Hipervnculo"/>
          </w:rPr>
          <w:t>4.7.</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Suministro automático de datos</w:t>
        </w:r>
        <w:r>
          <w:rPr>
            <w:webHidden/>
          </w:rPr>
          <w:tab/>
        </w:r>
        <w:r>
          <w:rPr>
            <w:webHidden/>
          </w:rPr>
          <w:fldChar w:fldCharType="begin"/>
        </w:r>
        <w:r>
          <w:rPr>
            <w:webHidden/>
          </w:rPr>
          <w:instrText xml:space="preserve"> PAGEREF _Toc216697965 \h </w:instrText>
        </w:r>
        <w:r>
          <w:rPr>
            <w:webHidden/>
          </w:rPr>
        </w:r>
        <w:r>
          <w:rPr>
            <w:webHidden/>
          </w:rPr>
          <w:fldChar w:fldCharType="separate"/>
        </w:r>
        <w:r w:rsidR="00FA10A3">
          <w:rPr>
            <w:webHidden/>
          </w:rPr>
          <w:t>14</w:t>
        </w:r>
        <w:r>
          <w:rPr>
            <w:webHidden/>
          </w:rPr>
          <w:fldChar w:fldCharType="end"/>
        </w:r>
      </w:hyperlink>
    </w:p>
    <w:p w14:paraId="3B8B22CE" w14:textId="1D826071"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66" w:history="1">
        <w:r w:rsidRPr="00025C68">
          <w:rPr>
            <w:rStyle w:val="Hipervnculo"/>
          </w:rPr>
          <w:t>4.8.</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Actualizaciones</w:t>
        </w:r>
        <w:r>
          <w:rPr>
            <w:webHidden/>
          </w:rPr>
          <w:tab/>
        </w:r>
        <w:r>
          <w:rPr>
            <w:webHidden/>
          </w:rPr>
          <w:fldChar w:fldCharType="begin"/>
        </w:r>
        <w:r>
          <w:rPr>
            <w:webHidden/>
          </w:rPr>
          <w:instrText xml:space="preserve"> PAGEREF _Toc216697966 \h </w:instrText>
        </w:r>
        <w:r>
          <w:rPr>
            <w:webHidden/>
          </w:rPr>
        </w:r>
        <w:r>
          <w:rPr>
            <w:webHidden/>
          </w:rPr>
          <w:fldChar w:fldCharType="separate"/>
        </w:r>
        <w:r w:rsidR="00FA10A3">
          <w:rPr>
            <w:webHidden/>
          </w:rPr>
          <w:t>14</w:t>
        </w:r>
        <w:r>
          <w:rPr>
            <w:webHidden/>
          </w:rPr>
          <w:fldChar w:fldCharType="end"/>
        </w:r>
      </w:hyperlink>
    </w:p>
    <w:p w14:paraId="63C2FFA4" w14:textId="6875F7F8"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67" w:history="1">
        <w:r w:rsidRPr="00025C68">
          <w:rPr>
            <w:rStyle w:val="Hipervnculo"/>
          </w:rPr>
          <w:t>4.9.</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Seguridad de la información sensible</w:t>
        </w:r>
        <w:r>
          <w:rPr>
            <w:webHidden/>
          </w:rPr>
          <w:tab/>
        </w:r>
        <w:r>
          <w:rPr>
            <w:webHidden/>
          </w:rPr>
          <w:fldChar w:fldCharType="begin"/>
        </w:r>
        <w:r>
          <w:rPr>
            <w:webHidden/>
          </w:rPr>
          <w:instrText xml:space="preserve"> PAGEREF _Toc216697967 \h </w:instrText>
        </w:r>
        <w:r>
          <w:rPr>
            <w:webHidden/>
          </w:rPr>
        </w:r>
        <w:r>
          <w:rPr>
            <w:webHidden/>
          </w:rPr>
          <w:fldChar w:fldCharType="separate"/>
        </w:r>
        <w:r w:rsidR="00FA10A3">
          <w:rPr>
            <w:webHidden/>
          </w:rPr>
          <w:t>14</w:t>
        </w:r>
        <w:r>
          <w:rPr>
            <w:webHidden/>
          </w:rPr>
          <w:fldChar w:fldCharType="end"/>
        </w:r>
      </w:hyperlink>
    </w:p>
    <w:p w14:paraId="4AD6295E" w14:textId="520BF75A" w:rsidR="007F7B8F" w:rsidRDefault="007F7B8F" w:rsidP="007F7B8F">
      <w:pPr>
        <w:pStyle w:val="TDC1"/>
        <w:spacing w:line="360" w:lineRule="auto"/>
        <w:rPr>
          <w:rFonts w:asciiTheme="minorHAnsi" w:eastAsiaTheme="minorEastAsia" w:hAnsiTheme="minorHAnsi" w:cstheme="minorBidi"/>
          <w:b w:val="0"/>
          <w:noProof/>
          <w:snapToGrid/>
          <w:kern w:val="2"/>
          <w:sz w:val="24"/>
          <w:szCs w:val="24"/>
          <w:lang w:val="es-CR" w:eastAsia="es-CR"/>
          <w14:ligatures w14:val="standardContextual"/>
        </w:rPr>
      </w:pPr>
      <w:hyperlink w:anchor="_Toc216697968" w:history="1">
        <w:r w:rsidRPr="00025C68">
          <w:rPr>
            <w:rStyle w:val="Hipervnculo"/>
            <w:noProof/>
            <w:lang w:val="es-CR"/>
          </w:rPr>
          <w:t>5.</w:t>
        </w:r>
        <w:r>
          <w:rPr>
            <w:rFonts w:asciiTheme="minorHAnsi" w:eastAsiaTheme="minorEastAsia" w:hAnsiTheme="minorHAnsi" w:cstheme="minorBidi"/>
            <w:b w:val="0"/>
            <w:noProof/>
            <w:snapToGrid/>
            <w:kern w:val="2"/>
            <w:sz w:val="24"/>
            <w:szCs w:val="24"/>
            <w:lang w:val="es-CR" w:eastAsia="es-CR"/>
            <w14:ligatures w14:val="standardContextual"/>
          </w:rPr>
          <w:tab/>
        </w:r>
        <w:r w:rsidRPr="00025C68">
          <w:rPr>
            <w:rStyle w:val="Hipervnculo"/>
            <w:noProof/>
          </w:rPr>
          <w:t>Servicios</w:t>
        </w:r>
        <w:r>
          <w:rPr>
            <w:noProof/>
            <w:webHidden/>
          </w:rPr>
          <w:tab/>
        </w:r>
        <w:r>
          <w:rPr>
            <w:noProof/>
            <w:webHidden/>
          </w:rPr>
          <w:fldChar w:fldCharType="begin"/>
        </w:r>
        <w:r>
          <w:rPr>
            <w:noProof/>
            <w:webHidden/>
          </w:rPr>
          <w:instrText xml:space="preserve"> PAGEREF _Toc216697968 \h </w:instrText>
        </w:r>
        <w:r>
          <w:rPr>
            <w:noProof/>
            <w:webHidden/>
          </w:rPr>
        </w:r>
        <w:r>
          <w:rPr>
            <w:noProof/>
            <w:webHidden/>
          </w:rPr>
          <w:fldChar w:fldCharType="separate"/>
        </w:r>
        <w:r w:rsidR="00FA10A3">
          <w:rPr>
            <w:noProof/>
            <w:webHidden/>
          </w:rPr>
          <w:t>15</w:t>
        </w:r>
        <w:r>
          <w:rPr>
            <w:noProof/>
            <w:webHidden/>
          </w:rPr>
          <w:fldChar w:fldCharType="end"/>
        </w:r>
      </w:hyperlink>
    </w:p>
    <w:p w14:paraId="14FDDF7B" w14:textId="672DBB51"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69" w:history="1">
        <w:r w:rsidRPr="00025C68">
          <w:rPr>
            <w:rStyle w:val="Hipervnculo"/>
          </w:rPr>
          <w:t>5.1.</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Servicio de adquirencia</w:t>
        </w:r>
        <w:r>
          <w:rPr>
            <w:webHidden/>
          </w:rPr>
          <w:tab/>
        </w:r>
        <w:r>
          <w:rPr>
            <w:webHidden/>
          </w:rPr>
          <w:fldChar w:fldCharType="begin"/>
        </w:r>
        <w:r>
          <w:rPr>
            <w:webHidden/>
          </w:rPr>
          <w:instrText xml:space="preserve"> PAGEREF _Toc216697969 \h </w:instrText>
        </w:r>
        <w:r>
          <w:rPr>
            <w:webHidden/>
          </w:rPr>
        </w:r>
        <w:r>
          <w:rPr>
            <w:webHidden/>
          </w:rPr>
          <w:fldChar w:fldCharType="separate"/>
        </w:r>
        <w:r w:rsidR="00FA10A3">
          <w:rPr>
            <w:webHidden/>
          </w:rPr>
          <w:t>15</w:t>
        </w:r>
        <w:r>
          <w:rPr>
            <w:webHidden/>
          </w:rPr>
          <w:fldChar w:fldCharType="end"/>
        </w:r>
      </w:hyperlink>
    </w:p>
    <w:p w14:paraId="6A732D79" w14:textId="77FF8CB6" w:rsidR="007F7B8F" w:rsidRDefault="007F7B8F" w:rsidP="007F7B8F">
      <w:pPr>
        <w:pStyle w:val="TDC3"/>
        <w:spacing w:line="360" w:lineRule="auto"/>
        <w:rPr>
          <w:rFonts w:asciiTheme="minorHAnsi" w:eastAsiaTheme="minorEastAsia" w:hAnsiTheme="minorHAnsi" w:cstheme="minorBidi"/>
          <w:snapToGrid/>
          <w:color w:val="auto"/>
          <w:kern w:val="2"/>
          <w:sz w:val="24"/>
          <w:szCs w:val="24"/>
          <w:lang w:val="es-CR" w:eastAsia="es-CR"/>
          <w14:ligatures w14:val="standardContextual"/>
        </w:rPr>
      </w:pPr>
      <w:hyperlink w:anchor="_Toc216697970" w:history="1">
        <w:r w:rsidRPr="00025C68">
          <w:rPr>
            <w:rStyle w:val="Hipervnculo"/>
          </w:rPr>
          <w:t>5.1.1.</w:t>
        </w:r>
        <w:r>
          <w:rPr>
            <w:rFonts w:asciiTheme="minorHAnsi" w:eastAsiaTheme="minorEastAsia" w:hAnsiTheme="minorHAnsi" w:cstheme="minorBidi"/>
            <w:snapToGrid/>
            <w:color w:val="auto"/>
            <w:kern w:val="2"/>
            <w:sz w:val="24"/>
            <w:szCs w:val="24"/>
            <w:lang w:val="es-CR" w:eastAsia="es-CR"/>
            <w14:ligatures w14:val="standardContextual"/>
          </w:rPr>
          <w:tab/>
        </w:r>
        <w:r w:rsidRPr="00025C68">
          <w:rPr>
            <w:rStyle w:val="Hipervnculo"/>
          </w:rPr>
          <w:t>Cobro y liquidación de comisiones</w:t>
        </w:r>
        <w:r>
          <w:rPr>
            <w:webHidden/>
          </w:rPr>
          <w:tab/>
        </w:r>
        <w:r>
          <w:rPr>
            <w:webHidden/>
          </w:rPr>
          <w:fldChar w:fldCharType="begin"/>
        </w:r>
        <w:r>
          <w:rPr>
            <w:webHidden/>
          </w:rPr>
          <w:instrText xml:space="preserve"> PAGEREF _Toc216697970 \h </w:instrText>
        </w:r>
        <w:r>
          <w:rPr>
            <w:webHidden/>
          </w:rPr>
        </w:r>
        <w:r>
          <w:rPr>
            <w:webHidden/>
          </w:rPr>
          <w:fldChar w:fldCharType="separate"/>
        </w:r>
        <w:r w:rsidR="00FA10A3">
          <w:rPr>
            <w:webHidden/>
          </w:rPr>
          <w:t>15</w:t>
        </w:r>
        <w:r>
          <w:rPr>
            <w:webHidden/>
          </w:rPr>
          <w:fldChar w:fldCharType="end"/>
        </w:r>
      </w:hyperlink>
    </w:p>
    <w:p w14:paraId="5FA47936" w14:textId="479E46DE"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71" w:history="1">
        <w:r w:rsidRPr="00025C68">
          <w:rPr>
            <w:rStyle w:val="Hipervnculo"/>
          </w:rPr>
          <w:t>5.2.</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Conservación de datos de la autorización de transacciones</w:t>
        </w:r>
        <w:r>
          <w:rPr>
            <w:webHidden/>
          </w:rPr>
          <w:tab/>
        </w:r>
        <w:r>
          <w:rPr>
            <w:webHidden/>
          </w:rPr>
          <w:fldChar w:fldCharType="begin"/>
        </w:r>
        <w:r>
          <w:rPr>
            <w:webHidden/>
          </w:rPr>
          <w:instrText xml:space="preserve"> PAGEREF _Toc216697971 \h </w:instrText>
        </w:r>
        <w:r>
          <w:rPr>
            <w:webHidden/>
          </w:rPr>
        </w:r>
        <w:r>
          <w:rPr>
            <w:webHidden/>
          </w:rPr>
          <w:fldChar w:fldCharType="separate"/>
        </w:r>
        <w:r w:rsidR="00FA10A3">
          <w:rPr>
            <w:webHidden/>
          </w:rPr>
          <w:t>16</w:t>
        </w:r>
        <w:r>
          <w:rPr>
            <w:webHidden/>
          </w:rPr>
          <w:fldChar w:fldCharType="end"/>
        </w:r>
      </w:hyperlink>
    </w:p>
    <w:p w14:paraId="43CAE8EE" w14:textId="1FC665ED"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72" w:history="1">
        <w:r w:rsidRPr="00025C68">
          <w:rPr>
            <w:rStyle w:val="Hipervnculo"/>
          </w:rPr>
          <w:t>5.3.</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Interoperabilidad de pagos</w:t>
        </w:r>
        <w:r>
          <w:rPr>
            <w:webHidden/>
          </w:rPr>
          <w:tab/>
        </w:r>
        <w:r>
          <w:rPr>
            <w:webHidden/>
          </w:rPr>
          <w:fldChar w:fldCharType="begin"/>
        </w:r>
        <w:r>
          <w:rPr>
            <w:webHidden/>
          </w:rPr>
          <w:instrText xml:space="preserve"> PAGEREF _Toc216697972 \h </w:instrText>
        </w:r>
        <w:r>
          <w:rPr>
            <w:webHidden/>
          </w:rPr>
        </w:r>
        <w:r>
          <w:rPr>
            <w:webHidden/>
          </w:rPr>
          <w:fldChar w:fldCharType="separate"/>
        </w:r>
        <w:r w:rsidR="00FA10A3">
          <w:rPr>
            <w:webHidden/>
          </w:rPr>
          <w:t>16</w:t>
        </w:r>
        <w:r>
          <w:rPr>
            <w:webHidden/>
          </w:rPr>
          <w:fldChar w:fldCharType="end"/>
        </w:r>
      </w:hyperlink>
    </w:p>
    <w:p w14:paraId="5A56C3E8" w14:textId="69D3C4D3"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73" w:history="1">
        <w:r w:rsidRPr="00025C68">
          <w:rPr>
            <w:rStyle w:val="Hipervnculo"/>
          </w:rPr>
          <w:t>5.4.</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Servicio de pasarela de pagos</w:t>
        </w:r>
        <w:r>
          <w:rPr>
            <w:webHidden/>
          </w:rPr>
          <w:tab/>
        </w:r>
        <w:r>
          <w:rPr>
            <w:webHidden/>
          </w:rPr>
          <w:fldChar w:fldCharType="begin"/>
        </w:r>
        <w:r>
          <w:rPr>
            <w:webHidden/>
          </w:rPr>
          <w:instrText xml:space="preserve"> PAGEREF _Toc216697973 \h </w:instrText>
        </w:r>
        <w:r>
          <w:rPr>
            <w:webHidden/>
          </w:rPr>
        </w:r>
        <w:r>
          <w:rPr>
            <w:webHidden/>
          </w:rPr>
          <w:fldChar w:fldCharType="separate"/>
        </w:r>
        <w:r w:rsidR="00FA10A3">
          <w:rPr>
            <w:webHidden/>
          </w:rPr>
          <w:t>16</w:t>
        </w:r>
        <w:r>
          <w:rPr>
            <w:webHidden/>
          </w:rPr>
          <w:fldChar w:fldCharType="end"/>
        </w:r>
      </w:hyperlink>
    </w:p>
    <w:p w14:paraId="4DA68621" w14:textId="3FA88897" w:rsidR="007F7B8F" w:rsidRDefault="007F7B8F" w:rsidP="007F7B8F">
      <w:pPr>
        <w:pStyle w:val="TDC3"/>
        <w:spacing w:line="360" w:lineRule="auto"/>
        <w:rPr>
          <w:rFonts w:asciiTheme="minorHAnsi" w:eastAsiaTheme="minorEastAsia" w:hAnsiTheme="minorHAnsi" w:cstheme="minorBidi"/>
          <w:snapToGrid/>
          <w:color w:val="auto"/>
          <w:kern w:val="2"/>
          <w:sz w:val="24"/>
          <w:szCs w:val="24"/>
          <w:lang w:val="es-CR" w:eastAsia="es-CR"/>
          <w14:ligatures w14:val="standardContextual"/>
        </w:rPr>
      </w:pPr>
      <w:hyperlink w:anchor="_Toc216697974" w:history="1">
        <w:r w:rsidRPr="00025C68">
          <w:rPr>
            <w:rStyle w:val="Hipervnculo"/>
          </w:rPr>
          <w:t>5.4.1.</w:t>
        </w:r>
        <w:r>
          <w:rPr>
            <w:rFonts w:asciiTheme="minorHAnsi" w:eastAsiaTheme="minorEastAsia" w:hAnsiTheme="minorHAnsi" w:cstheme="minorBidi"/>
            <w:snapToGrid/>
            <w:color w:val="auto"/>
            <w:kern w:val="2"/>
            <w:sz w:val="24"/>
            <w:szCs w:val="24"/>
            <w:lang w:val="es-CR" w:eastAsia="es-CR"/>
            <w14:ligatures w14:val="standardContextual"/>
          </w:rPr>
          <w:tab/>
        </w:r>
        <w:r w:rsidRPr="00025C68">
          <w:rPr>
            <w:rStyle w:val="Hipervnculo"/>
          </w:rPr>
          <w:t>Cobro y liquidación de comisiones</w:t>
        </w:r>
        <w:r>
          <w:rPr>
            <w:webHidden/>
          </w:rPr>
          <w:tab/>
        </w:r>
        <w:r>
          <w:rPr>
            <w:webHidden/>
          </w:rPr>
          <w:fldChar w:fldCharType="begin"/>
        </w:r>
        <w:r>
          <w:rPr>
            <w:webHidden/>
          </w:rPr>
          <w:instrText xml:space="preserve"> PAGEREF _Toc216697974 \h </w:instrText>
        </w:r>
        <w:r>
          <w:rPr>
            <w:webHidden/>
          </w:rPr>
        </w:r>
        <w:r>
          <w:rPr>
            <w:webHidden/>
          </w:rPr>
          <w:fldChar w:fldCharType="separate"/>
        </w:r>
        <w:r w:rsidR="00FA10A3">
          <w:rPr>
            <w:webHidden/>
          </w:rPr>
          <w:t>16</w:t>
        </w:r>
        <w:r>
          <w:rPr>
            <w:webHidden/>
          </w:rPr>
          <w:fldChar w:fldCharType="end"/>
        </w:r>
      </w:hyperlink>
    </w:p>
    <w:p w14:paraId="08747A95" w14:textId="1C9684AE"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75" w:history="1">
        <w:r w:rsidRPr="00025C68">
          <w:rPr>
            <w:rStyle w:val="Hipervnculo"/>
          </w:rPr>
          <w:t>5.5.</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Servicio de validación</w:t>
        </w:r>
        <w:r>
          <w:rPr>
            <w:webHidden/>
          </w:rPr>
          <w:tab/>
        </w:r>
        <w:r>
          <w:rPr>
            <w:webHidden/>
          </w:rPr>
          <w:fldChar w:fldCharType="begin"/>
        </w:r>
        <w:r>
          <w:rPr>
            <w:webHidden/>
          </w:rPr>
          <w:instrText xml:space="preserve"> PAGEREF _Toc216697975 \h </w:instrText>
        </w:r>
        <w:r>
          <w:rPr>
            <w:webHidden/>
          </w:rPr>
        </w:r>
        <w:r>
          <w:rPr>
            <w:webHidden/>
          </w:rPr>
          <w:fldChar w:fldCharType="separate"/>
        </w:r>
        <w:r w:rsidR="00FA10A3">
          <w:rPr>
            <w:webHidden/>
          </w:rPr>
          <w:t>16</w:t>
        </w:r>
        <w:r>
          <w:rPr>
            <w:webHidden/>
          </w:rPr>
          <w:fldChar w:fldCharType="end"/>
        </w:r>
      </w:hyperlink>
    </w:p>
    <w:p w14:paraId="778F4A64" w14:textId="4B0E57E6" w:rsidR="007F7B8F" w:rsidRDefault="007F7B8F" w:rsidP="007F7B8F">
      <w:pPr>
        <w:pStyle w:val="TDC3"/>
        <w:spacing w:line="360" w:lineRule="auto"/>
        <w:rPr>
          <w:rFonts w:asciiTheme="minorHAnsi" w:eastAsiaTheme="minorEastAsia" w:hAnsiTheme="minorHAnsi" w:cstheme="minorBidi"/>
          <w:snapToGrid/>
          <w:color w:val="auto"/>
          <w:kern w:val="2"/>
          <w:sz w:val="24"/>
          <w:szCs w:val="24"/>
          <w:lang w:val="es-CR" w:eastAsia="es-CR"/>
          <w14:ligatures w14:val="standardContextual"/>
        </w:rPr>
      </w:pPr>
      <w:hyperlink w:anchor="_Toc216697976" w:history="1">
        <w:r w:rsidRPr="00025C68">
          <w:rPr>
            <w:rStyle w:val="Hipervnculo"/>
          </w:rPr>
          <w:t>5.5.1.</w:t>
        </w:r>
        <w:r>
          <w:rPr>
            <w:rFonts w:asciiTheme="minorHAnsi" w:eastAsiaTheme="minorEastAsia" w:hAnsiTheme="minorHAnsi" w:cstheme="minorBidi"/>
            <w:snapToGrid/>
            <w:color w:val="auto"/>
            <w:kern w:val="2"/>
            <w:sz w:val="24"/>
            <w:szCs w:val="24"/>
            <w:lang w:val="es-CR" w:eastAsia="es-CR"/>
            <w14:ligatures w14:val="standardContextual"/>
          </w:rPr>
          <w:tab/>
        </w:r>
        <w:r w:rsidRPr="00025C68">
          <w:rPr>
            <w:rStyle w:val="Hipervnculo"/>
          </w:rPr>
          <w:t>Configuración de parámetros en los equipos de validación</w:t>
        </w:r>
        <w:r>
          <w:rPr>
            <w:webHidden/>
          </w:rPr>
          <w:tab/>
        </w:r>
        <w:r>
          <w:rPr>
            <w:webHidden/>
          </w:rPr>
          <w:fldChar w:fldCharType="begin"/>
        </w:r>
        <w:r>
          <w:rPr>
            <w:webHidden/>
          </w:rPr>
          <w:instrText xml:space="preserve"> PAGEREF _Toc216697976 \h </w:instrText>
        </w:r>
        <w:r>
          <w:rPr>
            <w:webHidden/>
          </w:rPr>
        </w:r>
        <w:r>
          <w:rPr>
            <w:webHidden/>
          </w:rPr>
          <w:fldChar w:fldCharType="separate"/>
        </w:r>
        <w:r w:rsidR="00FA10A3">
          <w:rPr>
            <w:webHidden/>
          </w:rPr>
          <w:t>17</w:t>
        </w:r>
        <w:r>
          <w:rPr>
            <w:webHidden/>
          </w:rPr>
          <w:fldChar w:fldCharType="end"/>
        </w:r>
      </w:hyperlink>
    </w:p>
    <w:p w14:paraId="4F25DB3C" w14:textId="6CF84592" w:rsidR="007F7B8F" w:rsidRDefault="007F7B8F" w:rsidP="007F7B8F">
      <w:pPr>
        <w:pStyle w:val="TDC3"/>
        <w:spacing w:line="360" w:lineRule="auto"/>
        <w:rPr>
          <w:rFonts w:asciiTheme="minorHAnsi" w:eastAsiaTheme="minorEastAsia" w:hAnsiTheme="minorHAnsi" w:cstheme="minorBidi"/>
          <w:snapToGrid/>
          <w:color w:val="auto"/>
          <w:kern w:val="2"/>
          <w:sz w:val="24"/>
          <w:szCs w:val="24"/>
          <w:lang w:val="es-CR" w:eastAsia="es-CR"/>
          <w14:ligatures w14:val="standardContextual"/>
        </w:rPr>
      </w:pPr>
      <w:hyperlink w:anchor="_Toc216697977" w:history="1">
        <w:r w:rsidRPr="00025C68">
          <w:rPr>
            <w:rStyle w:val="Hipervnculo"/>
          </w:rPr>
          <w:t>5.5.2.</w:t>
        </w:r>
        <w:r>
          <w:rPr>
            <w:rFonts w:asciiTheme="minorHAnsi" w:eastAsiaTheme="minorEastAsia" w:hAnsiTheme="minorHAnsi" w:cstheme="minorBidi"/>
            <w:snapToGrid/>
            <w:color w:val="auto"/>
            <w:kern w:val="2"/>
            <w:sz w:val="24"/>
            <w:szCs w:val="24"/>
            <w:lang w:val="es-CR" w:eastAsia="es-CR"/>
            <w14:ligatures w14:val="standardContextual"/>
          </w:rPr>
          <w:tab/>
        </w:r>
        <w:r w:rsidRPr="00025C68">
          <w:rPr>
            <w:rStyle w:val="Hipervnculo"/>
          </w:rPr>
          <w:t>Certificación de los validadores</w:t>
        </w:r>
        <w:r>
          <w:rPr>
            <w:webHidden/>
          </w:rPr>
          <w:tab/>
        </w:r>
        <w:r>
          <w:rPr>
            <w:webHidden/>
          </w:rPr>
          <w:fldChar w:fldCharType="begin"/>
        </w:r>
        <w:r>
          <w:rPr>
            <w:webHidden/>
          </w:rPr>
          <w:instrText xml:space="preserve"> PAGEREF _Toc216697977 \h </w:instrText>
        </w:r>
        <w:r>
          <w:rPr>
            <w:webHidden/>
          </w:rPr>
        </w:r>
        <w:r>
          <w:rPr>
            <w:webHidden/>
          </w:rPr>
          <w:fldChar w:fldCharType="separate"/>
        </w:r>
        <w:r w:rsidR="00FA10A3">
          <w:rPr>
            <w:webHidden/>
          </w:rPr>
          <w:t>17</w:t>
        </w:r>
        <w:r>
          <w:rPr>
            <w:webHidden/>
          </w:rPr>
          <w:fldChar w:fldCharType="end"/>
        </w:r>
      </w:hyperlink>
    </w:p>
    <w:p w14:paraId="7A585ED7" w14:textId="76C26EC7"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78" w:history="1">
        <w:r w:rsidRPr="00025C68">
          <w:rPr>
            <w:rStyle w:val="Hipervnculo"/>
          </w:rPr>
          <w:t>5.6.</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Servicios de capacitación</w:t>
        </w:r>
        <w:r>
          <w:rPr>
            <w:webHidden/>
          </w:rPr>
          <w:tab/>
        </w:r>
        <w:r>
          <w:rPr>
            <w:webHidden/>
          </w:rPr>
          <w:fldChar w:fldCharType="begin"/>
        </w:r>
        <w:r>
          <w:rPr>
            <w:webHidden/>
          </w:rPr>
          <w:instrText xml:space="preserve"> PAGEREF _Toc216697978 \h </w:instrText>
        </w:r>
        <w:r>
          <w:rPr>
            <w:webHidden/>
          </w:rPr>
        </w:r>
        <w:r>
          <w:rPr>
            <w:webHidden/>
          </w:rPr>
          <w:fldChar w:fldCharType="separate"/>
        </w:r>
        <w:r w:rsidR="00FA10A3">
          <w:rPr>
            <w:webHidden/>
          </w:rPr>
          <w:t>17</w:t>
        </w:r>
        <w:r>
          <w:rPr>
            <w:webHidden/>
          </w:rPr>
          <w:fldChar w:fldCharType="end"/>
        </w:r>
      </w:hyperlink>
    </w:p>
    <w:p w14:paraId="2B3B5A57" w14:textId="2F3FF2C0"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79" w:history="1">
        <w:r w:rsidRPr="00025C68">
          <w:rPr>
            <w:rStyle w:val="Hipervnculo"/>
          </w:rPr>
          <w:t>5.7.</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Servicio de atención a los participantes</w:t>
        </w:r>
        <w:r>
          <w:rPr>
            <w:webHidden/>
          </w:rPr>
          <w:tab/>
        </w:r>
        <w:r>
          <w:rPr>
            <w:webHidden/>
          </w:rPr>
          <w:fldChar w:fldCharType="begin"/>
        </w:r>
        <w:r>
          <w:rPr>
            <w:webHidden/>
          </w:rPr>
          <w:instrText xml:space="preserve"> PAGEREF _Toc216697979 \h </w:instrText>
        </w:r>
        <w:r>
          <w:rPr>
            <w:webHidden/>
          </w:rPr>
        </w:r>
        <w:r>
          <w:rPr>
            <w:webHidden/>
          </w:rPr>
          <w:fldChar w:fldCharType="separate"/>
        </w:r>
        <w:r w:rsidR="00FA10A3">
          <w:rPr>
            <w:webHidden/>
          </w:rPr>
          <w:t>17</w:t>
        </w:r>
        <w:r>
          <w:rPr>
            <w:webHidden/>
          </w:rPr>
          <w:fldChar w:fldCharType="end"/>
        </w:r>
      </w:hyperlink>
    </w:p>
    <w:p w14:paraId="1F057561" w14:textId="04145386" w:rsidR="007F7B8F" w:rsidRDefault="007F7B8F" w:rsidP="007F7B8F">
      <w:pPr>
        <w:pStyle w:val="TDC2"/>
        <w:spacing w:line="360" w:lineRule="auto"/>
        <w:rPr>
          <w:rFonts w:asciiTheme="minorHAnsi" w:eastAsiaTheme="minorEastAsia" w:hAnsiTheme="minorHAnsi" w:cstheme="minorBidi"/>
          <w:snapToGrid/>
          <w:kern w:val="2"/>
          <w:sz w:val="24"/>
          <w:szCs w:val="24"/>
          <w:lang w:val="es-CR" w:eastAsia="es-CR"/>
          <w14:ligatures w14:val="standardContextual"/>
        </w:rPr>
      </w:pPr>
      <w:hyperlink w:anchor="_Toc216697980" w:history="1">
        <w:r w:rsidRPr="00025C68">
          <w:rPr>
            <w:rStyle w:val="Hipervnculo"/>
          </w:rPr>
          <w:t>5.8.</w:t>
        </w:r>
        <w:r>
          <w:rPr>
            <w:rFonts w:asciiTheme="minorHAnsi" w:eastAsiaTheme="minorEastAsia" w:hAnsiTheme="minorHAnsi" w:cstheme="minorBidi"/>
            <w:snapToGrid/>
            <w:kern w:val="2"/>
            <w:sz w:val="24"/>
            <w:szCs w:val="24"/>
            <w:lang w:val="es-CR" w:eastAsia="es-CR"/>
            <w14:ligatures w14:val="standardContextual"/>
          </w:rPr>
          <w:tab/>
        </w:r>
        <w:r w:rsidRPr="00025C68">
          <w:rPr>
            <w:rStyle w:val="Hipervnculo"/>
          </w:rPr>
          <w:t>Aplicaciones móviles del servicio SINPE-TP</w:t>
        </w:r>
        <w:r>
          <w:rPr>
            <w:webHidden/>
          </w:rPr>
          <w:tab/>
        </w:r>
        <w:r>
          <w:rPr>
            <w:webHidden/>
          </w:rPr>
          <w:fldChar w:fldCharType="begin"/>
        </w:r>
        <w:r>
          <w:rPr>
            <w:webHidden/>
          </w:rPr>
          <w:instrText xml:space="preserve"> PAGEREF _Toc216697980 \h </w:instrText>
        </w:r>
        <w:r>
          <w:rPr>
            <w:webHidden/>
          </w:rPr>
        </w:r>
        <w:r>
          <w:rPr>
            <w:webHidden/>
          </w:rPr>
          <w:fldChar w:fldCharType="separate"/>
        </w:r>
        <w:r w:rsidR="00FA10A3">
          <w:rPr>
            <w:webHidden/>
          </w:rPr>
          <w:t>18</w:t>
        </w:r>
        <w:r>
          <w:rPr>
            <w:webHidden/>
          </w:rPr>
          <w:fldChar w:fldCharType="end"/>
        </w:r>
      </w:hyperlink>
    </w:p>
    <w:p w14:paraId="2F74BF70" w14:textId="73F099D5" w:rsidR="007F7B8F" w:rsidRDefault="007F7B8F" w:rsidP="007F7B8F">
      <w:pPr>
        <w:pStyle w:val="TDC1"/>
        <w:spacing w:line="360" w:lineRule="auto"/>
        <w:rPr>
          <w:rFonts w:asciiTheme="minorHAnsi" w:eastAsiaTheme="minorEastAsia" w:hAnsiTheme="minorHAnsi" w:cstheme="minorBidi"/>
          <w:b w:val="0"/>
          <w:noProof/>
          <w:snapToGrid/>
          <w:kern w:val="2"/>
          <w:sz w:val="24"/>
          <w:szCs w:val="24"/>
          <w:lang w:val="es-CR" w:eastAsia="es-CR"/>
          <w14:ligatures w14:val="standardContextual"/>
        </w:rPr>
      </w:pPr>
      <w:hyperlink w:anchor="_Toc216697981" w:history="1">
        <w:r w:rsidRPr="00025C68">
          <w:rPr>
            <w:rStyle w:val="Hipervnculo"/>
            <w:noProof/>
            <w:lang w:val="es-CR"/>
          </w:rPr>
          <w:t>6.</w:t>
        </w:r>
        <w:r>
          <w:rPr>
            <w:rFonts w:asciiTheme="minorHAnsi" w:eastAsiaTheme="minorEastAsia" w:hAnsiTheme="minorHAnsi" w:cstheme="minorBidi"/>
            <w:b w:val="0"/>
            <w:noProof/>
            <w:snapToGrid/>
            <w:kern w:val="2"/>
            <w:sz w:val="24"/>
            <w:szCs w:val="24"/>
            <w:lang w:val="es-CR" w:eastAsia="es-CR"/>
            <w14:ligatures w14:val="standardContextual"/>
          </w:rPr>
          <w:tab/>
        </w:r>
        <w:r w:rsidRPr="00025C68">
          <w:rPr>
            <w:rStyle w:val="Hipervnculo"/>
            <w:noProof/>
          </w:rPr>
          <w:t>Vigencia de la norma</w:t>
        </w:r>
        <w:r>
          <w:rPr>
            <w:noProof/>
            <w:webHidden/>
          </w:rPr>
          <w:tab/>
        </w:r>
        <w:r>
          <w:rPr>
            <w:noProof/>
            <w:webHidden/>
          </w:rPr>
          <w:fldChar w:fldCharType="begin"/>
        </w:r>
        <w:r>
          <w:rPr>
            <w:noProof/>
            <w:webHidden/>
          </w:rPr>
          <w:instrText xml:space="preserve"> PAGEREF _Toc216697981 \h </w:instrText>
        </w:r>
        <w:r>
          <w:rPr>
            <w:noProof/>
            <w:webHidden/>
          </w:rPr>
        </w:r>
        <w:r>
          <w:rPr>
            <w:noProof/>
            <w:webHidden/>
          </w:rPr>
          <w:fldChar w:fldCharType="separate"/>
        </w:r>
        <w:r w:rsidR="00FA10A3">
          <w:rPr>
            <w:noProof/>
            <w:webHidden/>
          </w:rPr>
          <w:t>18</w:t>
        </w:r>
        <w:r>
          <w:rPr>
            <w:noProof/>
            <w:webHidden/>
          </w:rPr>
          <w:fldChar w:fldCharType="end"/>
        </w:r>
      </w:hyperlink>
    </w:p>
    <w:p w14:paraId="2CE1042E" w14:textId="73FA540B" w:rsidR="007F7B8F" w:rsidRDefault="007F7B8F" w:rsidP="007F7B8F">
      <w:pPr>
        <w:pStyle w:val="TDC1"/>
        <w:spacing w:line="360" w:lineRule="auto"/>
        <w:rPr>
          <w:rFonts w:asciiTheme="minorHAnsi" w:eastAsiaTheme="minorEastAsia" w:hAnsiTheme="minorHAnsi" w:cstheme="minorBidi"/>
          <w:b w:val="0"/>
          <w:noProof/>
          <w:snapToGrid/>
          <w:kern w:val="2"/>
          <w:sz w:val="24"/>
          <w:szCs w:val="24"/>
          <w:lang w:val="es-CR" w:eastAsia="es-CR"/>
          <w14:ligatures w14:val="standardContextual"/>
        </w:rPr>
      </w:pPr>
      <w:hyperlink w:anchor="_Toc216697982" w:history="1">
        <w:r w:rsidRPr="00025C68">
          <w:rPr>
            <w:rStyle w:val="Hipervnculo"/>
            <w:noProof/>
            <w:lang w:val="es-CR"/>
          </w:rPr>
          <w:t>7.</w:t>
        </w:r>
        <w:r>
          <w:rPr>
            <w:rFonts w:asciiTheme="minorHAnsi" w:eastAsiaTheme="minorEastAsia" w:hAnsiTheme="minorHAnsi" w:cstheme="minorBidi"/>
            <w:b w:val="0"/>
            <w:noProof/>
            <w:snapToGrid/>
            <w:kern w:val="2"/>
            <w:sz w:val="24"/>
            <w:szCs w:val="24"/>
            <w:lang w:val="es-CR" w:eastAsia="es-CR"/>
            <w14:ligatures w14:val="standardContextual"/>
          </w:rPr>
          <w:tab/>
        </w:r>
        <w:r w:rsidRPr="00025C68">
          <w:rPr>
            <w:rStyle w:val="Hipervnculo"/>
            <w:rFonts w:cs="Arial"/>
            <w:noProof/>
          </w:rPr>
          <w:t>Anexos</w:t>
        </w:r>
        <w:r>
          <w:rPr>
            <w:noProof/>
            <w:webHidden/>
          </w:rPr>
          <w:tab/>
        </w:r>
        <w:r>
          <w:rPr>
            <w:noProof/>
            <w:webHidden/>
          </w:rPr>
          <w:fldChar w:fldCharType="begin"/>
        </w:r>
        <w:r>
          <w:rPr>
            <w:noProof/>
            <w:webHidden/>
          </w:rPr>
          <w:instrText xml:space="preserve"> PAGEREF _Toc216697982 \h </w:instrText>
        </w:r>
        <w:r>
          <w:rPr>
            <w:noProof/>
            <w:webHidden/>
          </w:rPr>
        </w:r>
        <w:r>
          <w:rPr>
            <w:noProof/>
            <w:webHidden/>
          </w:rPr>
          <w:fldChar w:fldCharType="separate"/>
        </w:r>
        <w:r w:rsidR="00FA10A3">
          <w:rPr>
            <w:noProof/>
            <w:webHidden/>
          </w:rPr>
          <w:t>19</w:t>
        </w:r>
        <w:r>
          <w:rPr>
            <w:noProof/>
            <w:webHidden/>
          </w:rPr>
          <w:fldChar w:fldCharType="end"/>
        </w:r>
      </w:hyperlink>
    </w:p>
    <w:p w14:paraId="7C21CDC9" w14:textId="4F6A200B" w:rsidR="00D87748" w:rsidRPr="002A2D26" w:rsidRDefault="00D87748" w:rsidP="007F7B8F">
      <w:pPr>
        <w:pStyle w:val="TDC1"/>
        <w:spacing w:before="0" w:after="0" w:line="360" w:lineRule="auto"/>
        <w:rPr>
          <w:rFonts w:cs="Arial"/>
        </w:rPr>
      </w:pPr>
      <w:r w:rsidRPr="002A2D26">
        <w:rPr>
          <w:rFonts w:cs="Arial"/>
        </w:rPr>
        <w:fldChar w:fldCharType="end"/>
      </w:r>
      <w:bookmarkEnd w:id="0"/>
    </w:p>
    <w:p w14:paraId="1C264284" w14:textId="2183E928" w:rsidR="002A2D26" w:rsidRDefault="002A2D26" w:rsidP="007F7B8F">
      <w:pPr>
        <w:shd w:val="clear" w:color="auto" w:fill="FFFFFF"/>
        <w:spacing w:before="0" w:after="0" w:line="360" w:lineRule="auto"/>
      </w:pPr>
    </w:p>
    <w:p w14:paraId="37E08BA2" w14:textId="77777777" w:rsidR="00D87748" w:rsidRPr="00A067CA" w:rsidRDefault="00D87748" w:rsidP="007F7B8F">
      <w:pPr>
        <w:spacing w:before="0" w:after="0" w:line="360" w:lineRule="auto"/>
        <w:sectPr w:rsidR="00D87748" w:rsidRPr="00A067CA" w:rsidSect="00B21507">
          <w:headerReference w:type="default" r:id="rId14"/>
          <w:footerReference w:type="default" r:id="rId15"/>
          <w:pgSz w:w="12240" w:h="15840"/>
          <w:pgMar w:top="993" w:right="1325" w:bottom="1469" w:left="2059" w:header="720" w:footer="720" w:gutter="0"/>
          <w:pgNumType w:start="2"/>
          <w:cols w:space="720"/>
          <w:docGrid w:linePitch="212"/>
        </w:sectPr>
      </w:pPr>
    </w:p>
    <w:p w14:paraId="3C59AA2E" w14:textId="7864504A" w:rsidR="00D87748" w:rsidRPr="007C189E" w:rsidRDefault="00D87748" w:rsidP="00D87748">
      <w:pPr>
        <w:pStyle w:val="TextoInicial"/>
        <w:rPr>
          <w:sz w:val="24"/>
        </w:rPr>
      </w:pPr>
      <w:r w:rsidRPr="007C189E">
        <w:rPr>
          <w:sz w:val="24"/>
        </w:rPr>
        <w:lastRenderedPageBreak/>
        <w:t xml:space="preserve">Sistema Nacional </w:t>
      </w:r>
      <w:r w:rsidR="007C189E" w:rsidRPr="007C189E">
        <w:rPr>
          <w:sz w:val="24"/>
        </w:rPr>
        <w:t>de Pago Electrónico en el Transporte Público</w:t>
      </w:r>
    </w:p>
    <w:tbl>
      <w:tblPr>
        <w:tblW w:w="0" w:type="auto"/>
        <w:tblBorders>
          <w:top w:val="single" w:sz="8" w:space="0" w:color="auto"/>
          <w:bottom w:val="single" w:sz="8" w:space="0" w:color="auto"/>
        </w:tblBorders>
        <w:tblLook w:val="01E0" w:firstRow="1" w:lastRow="1" w:firstColumn="1" w:lastColumn="1" w:noHBand="0" w:noVBand="0"/>
      </w:tblPr>
      <w:tblGrid>
        <w:gridCol w:w="7797"/>
        <w:gridCol w:w="1275"/>
      </w:tblGrid>
      <w:tr w:rsidR="00D87748" w:rsidRPr="00580676" w14:paraId="414E7E72" w14:textId="77777777" w:rsidTr="008432DD">
        <w:trPr>
          <w:trHeight w:val="465"/>
        </w:trPr>
        <w:tc>
          <w:tcPr>
            <w:tcW w:w="7797" w:type="dxa"/>
          </w:tcPr>
          <w:p w14:paraId="56E288DE" w14:textId="19455130" w:rsidR="00D87748" w:rsidRPr="00580676" w:rsidRDefault="008F2F9C" w:rsidP="00ED3BE1">
            <w:pPr>
              <w:pStyle w:val="TextoIntroductorio"/>
            </w:pPr>
            <w:r>
              <w:t xml:space="preserve">División </w:t>
            </w:r>
            <w:fldSimple w:instr=" DOCPROPERTY  Autor  \* MERGEFORMAT ">
              <w:r w:rsidR="00A607A2">
                <w:t>Sistemas de Pago - BCCR</w:t>
              </w:r>
            </w:fldSimple>
          </w:p>
        </w:tc>
        <w:tc>
          <w:tcPr>
            <w:tcW w:w="1275" w:type="dxa"/>
          </w:tcPr>
          <w:p w14:paraId="4BA9848A" w14:textId="10D731CA" w:rsidR="00D87748" w:rsidRPr="00580676" w:rsidRDefault="00D87748" w:rsidP="002C1131">
            <w:pPr>
              <w:pStyle w:val="TextoIntroductorio"/>
            </w:pPr>
            <w:r w:rsidRPr="00580676">
              <w:t xml:space="preserve">Año </w:t>
            </w:r>
            <w:r w:rsidR="008F2F9C">
              <w:t>202</w:t>
            </w:r>
            <w:r w:rsidR="007C189E">
              <w:t>5</w:t>
            </w:r>
          </w:p>
        </w:tc>
      </w:tr>
    </w:tbl>
    <w:p w14:paraId="640891AF" w14:textId="77777777" w:rsidR="007A7839" w:rsidRDefault="007A7839" w:rsidP="00E23D98">
      <w:pPr>
        <w:pStyle w:val="Ttulo1"/>
        <w:numPr>
          <w:ilvl w:val="0"/>
          <w:numId w:val="3"/>
        </w:numPr>
        <w:tabs>
          <w:tab w:val="clear" w:pos="340"/>
        </w:tabs>
        <w:spacing w:line="276" w:lineRule="auto"/>
        <w:ind w:left="426" w:hanging="426"/>
      </w:pPr>
      <w:bookmarkStart w:id="1" w:name="_Toc213828748"/>
      <w:bookmarkStart w:id="2" w:name="_Toc216697932"/>
      <w:r>
        <w:t>Marco introductorio</w:t>
      </w:r>
      <w:bookmarkEnd w:id="1"/>
      <w:bookmarkEnd w:id="2"/>
    </w:p>
    <w:p w14:paraId="37C9C236" w14:textId="77777777" w:rsidR="007A7839" w:rsidRPr="004676E6" w:rsidRDefault="007A7839" w:rsidP="00E23D98">
      <w:bookmarkStart w:id="3" w:name="OLE_LINK1"/>
      <w:bookmarkStart w:id="4" w:name="OLE_LINK2"/>
      <w:r w:rsidRPr="004676E6">
        <w:t xml:space="preserve">La presente norma </w:t>
      </w:r>
      <w:r>
        <w:t xml:space="preserve">técnica </w:t>
      </w:r>
      <w:r w:rsidRPr="004676E6">
        <w:t xml:space="preserve">establece las disposiciones </w:t>
      </w:r>
      <w:r>
        <w:t xml:space="preserve">operativas que complementan el </w:t>
      </w:r>
      <w:r w:rsidRPr="004676E6">
        <w:t xml:space="preserve">Reglamento del Sistema </w:t>
      </w:r>
      <w:r>
        <w:t xml:space="preserve">Nacional de Pago Electrónico en el Transporte Público </w:t>
      </w:r>
      <w:r w:rsidRPr="004676E6">
        <w:t xml:space="preserve">para </w:t>
      </w:r>
      <w:r>
        <w:t xml:space="preserve">regular </w:t>
      </w:r>
      <w:r w:rsidRPr="004676E6">
        <w:t xml:space="preserve">el servicio SINPE-TP, provisto por el Banco Central de Costa Rica </w:t>
      </w:r>
      <w:r>
        <w:t>para realizar la recaudación electrónica de los ingresos tarifarias del transporte público colectivo de personas.</w:t>
      </w:r>
    </w:p>
    <w:bookmarkEnd w:id="3"/>
    <w:bookmarkEnd w:id="4"/>
    <w:p w14:paraId="522C7113" w14:textId="77777777" w:rsidR="007A7839" w:rsidRDefault="007A7839" w:rsidP="00E23D98">
      <w:r w:rsidRPr="008A0C76">
        <w:t xml:space="preserve">La norma define las condiciones bajo las cuales funciona </w:t>
      </w:r>
      <w:r>
        <w:t xml:space="preserve">la plataforma de pagos de </w:t>
      </w:r>
      <w:r w:rsidRPr="008A0C76">
        <w:t xml:space="preserve">SINPE-TP para el cobro de </w:t>
      </w:r>
      <w:r>
        <w:t xml:space="preserve">las </w:t>
      </w:r>
      <w:r w:rsidRPr="008A0C76">
        <w:t>tarifa</w:t>
      </w:r>
      <w:r>
        <w:t>s</w:t>
      </w:r>
      <w:r w:rsidRPr="008A0C76">
        <w:t xml:space="preserve"> en los servicios de autobús de ruta regular</w:t>
      </w:r>
      <w:r w:rsidRPr="00B64802">
        <w:t xml:space="preserve"> y tren de pasajeros</w:t>
      </w:r>
      <w:r w:rsidRPr="008A0C76">
        <w:t xml:space="preserve">, así como la forma en que se relaciona e interactúa con </w:t>
      </w:r>
      <w:r>
        <w:t xml:space="preserve">sus </w:t>
      </w:r>
      <w:r w:rsidRPr="008A0C76">
        <w:t>participantes</w:t>
      </w:r>
      <w:r>
        <w:t>.</w:t>
      </w:r>
    </w:p>
    <w:p w14:paraId="0DFACF7B" w14:textId="77777777" w:rsidR="007A7839" w:rsidRDefault="007A7839" w:rsidP="00E23D98">
      <w:pPr>
        <w:pStyle w:val="Ttulo2"/>
        <w:numPr>
          <w:ilvl w:val="1"/>
          <w:numId w:val="3"/>
        </w:numPr>
        <w:tabs>
          <w:tab w:val="clear" w:pos="510"/>
        </w:tabs>
        <w:spacing w:line="276" w:lineRule="auto"/>
        <w:ind w:left="567" w:hanging="567"/>
      </w:pPr>
      <w:bookmarkStart w:id="5" w:name="_Toc347829981"/>
      <w:bookmarkStart w:id="6" w:name="_Toc213828749"/>
      <w:bookmarkStart w:id="7" w:name="_Toc216697933"/>
      <w:r>
        <w:t>Alcance</w:t>
      </w:r>
      <w:bookmarkEnd w:id="5"/>
      <w:bookmarkEnd w:id="6"/>
      <w:bookmarkEnd w:id="7"/>
    </w:p>
    <w:p w14:paraId="69F65289" w14:textId="77777777" w:rsidR="007A7839" w:rsidRPr="004676E6" w:rsidRDefault="007A7839" w:rsidP="00E23D98">
      <w:bookmarkStart w:id="8" w:name="_Hlk121209240"/>
      <w:r w:rsidRPr="004676E6">
        <w:t xml:space="preserve">Las disposiciones de la presente norma </w:t>
      </w:r>
      <w:r>
        <w:t xml:space="preserve">complementaria </w:t>
      </w:r>
      <w:r w:rsidRPr="004676E6">
        <w:t xml:space="preserve">son aplicables a las instituciones, empresas, personas e infraestructuras que participan </w:t>
      </w:r>
      <w:r>
        <w:t>o</w:t>
      </w:r>
      <w:r w:rsidRPr="004676E6">
        <w:t xml:space="preserve"> intervienen en el funcionamiento del servicio SINPE</w:t>
      </w:r>
      <w:r w:rsidRPr="004676E6">
        <w:noBreakHyphen/>
        <w:t>TP, como elementos de su ecosistema de pagos.</w:t>
      </w:r>
    </w:p>
    <w:bookmarkEnd w:id="8"/>
    <w:p w14:paraId="29C93C18" w14:textId="77777777" w:rsidR="007A7839" w:rsidRDefault="007A7839" w:rsidP="00E23D98">
      <w:r w:rsidRPr="008A0C76">
        <w:t xml:space="preserve">La norma </w:t>
      </w:r>
      <w:r>
        <w:t>desarrolla</w:t>
      </w:r>
      <w:r w:rsidRPr="008A0C76">
        <w:t xml:space="preserve"> las condiciones y reglas operativas que regulan el funcionamiento de SINPE-TP en los servicios de autobús de ruta regular</w:t>
      </w:r>
      <w:r w:rsidRPr="00B64802">
        <w:t xml:space="preserve"> y tren de pasajeros</w:t>
      </w:r>
      <w:r>
        <w:t>.</w:t>
      </w:r>
    </w:p>
    <w:p w14:paraId="281334E5" w14:textId="77777777" w:rsidR="007A7839" w:rsidRDefault="007A7839" w:rsidP="00E23D98">
      <w:pPr>
        <w:pStyle w:val="Ttulo2"/>
        <w:numPr>
          <w:ilvl w:val="1"/>
          <w:numId w:val="3"/>
        </w:numPr>
        <w:tabs>
          <w:tab w:val="clear" w:pos="510"/>
        </w:tabs>
        <w:spacing w:line="276" w:lineRule="auto"/>
        <w:ind w:left="567" w:hanging="567"/>
      </w:pPr>
      <w:bookmarkStart w:id="9" w:name="_Toc347829982"/>
      <w:bookmarkStart w:id="10" w:name="_Toc213828750"/>
      <w:bookmarkStart w:id="11" w:name="_Toc216697934"/>
      <w:r>
        <w:t>Términos empleados</w:t>
      </w:r>
      <w:bookmarkEnd w:id="9"/>
      <w:bookmarkEnd w:id="10"/>
      <w:bookmarkEnd w:id="11"/>
    </w:p>
    <w:p w14:paraId="03E0F64F" w14:textId="77777777" w:rsidR="007A7839" w:rsidRPr="00C8760F" w:rsidRDefault="007A7839" w:rsidP="00E23D98">
      <w:r w:rsidRPr="00756514">
        <w:t>Para los fines interpretativos de la presente norma complementaria</w:t>
      </w:r>
      <w:r>
        <w:t xml:space="preserve"> </w:t>
      </w:r>
      <w:r w:rsidRPr="00756514">
        <w:t>se entiende por</w:t>
      </w:r>
      <w:r w:rsidRPr="00C8760F">
        <w:t>:</w:t>
      </w:r>
    </w:p>
    <w:p w14:paraId="6855E241" w14:textId="77777777" w:rsidR="007A7839" w:rsidRPr="009B42CB" w:rsidRDefault="007A7839" w:rsidP="00E23D98">
      <w:pPr>
        <w:pStyle w:val="ListaVietas"/>
        <w:tabs>
          <w:tab w:val="clear" w:pos="425"/>
        </w:tabs>
        <w:spacing w:line="276" w:lineRule="auto"/>
        <w:rPr>
          <w:rFonts w:cs="Arial"/>
        </w:rPr>
      </w:pPr>
      <w:r w:rsidRPr="00415EFA">
        <w:t>Adquirente:</w:t>
      </w:r>
      <w:r>
        <w:t xml:space="preserve"> </w:t>
      </w:r>
      <w:bookmarkStart w:id="12" w:name="_Hlk210566864"/>
      <w:r w:rsidRPr="00DF0E20">
        <w:rPr>
          <w:color w:val="000000"/>
        </w:rPr>
        <w:t xml:space="preserve">institución bancaria que provee servicios de aceptación y procesamiento de las transacciones realizadas con dispositivos de pago en la plataforma de </w:t>
      </w:r>
      <w:r w:rsidRPr="00DF0E20">
        <w:rPr>
          <w:rFonts w:cs="Arial"/>
          <w:color w:val="000000"/>
        </w:rPr>
        <w:t>SINPE−TP.</w:t>
      </w:r>
      <w:bookmarkEnd w:id="12"/>
    </w:p>
    <w:p w14:paraId="41D5C23D" w14:textId="77777777" w:rsidR="007A7839" w:rsidRPr="00472856" w:rsidRDefault="007A7839" w:rsidP="00E23D98">
      <w:pPr>
        <w:pStyle w:val="ListaVietas"/>
        <w:tabs>
          <w:tab w:val="clear" w:pos="425"/>
        </w:tabs>
        <w:spacing w:line="276" w:lineRule="auto"/>
      </w:pPr>
      <w:r w:rsidRPr="00472856">
        <w:t>API: siglas</w:t>
      </w:r>
      <w:r w:rsidRPr="00472856">
        <w:rPr>
          <w:rFonts w:eastAsia="Calibri"/>
        </w:rPr>
        <w:t xml:space="preserve"> de “</w:t>
      </w:r>
      <w:r w:rsidRPr="00CF263B">
        <w:rPr>
          <w:rFonts w:eastAsia="Calibri"/>
          <w:i/>
          <w:iCs/>
        </w:rPr>
        <w:t>Application Programming Interface</w:t>
      </w:r>
      <w:r w:rsidRPr="00472856">
        <w:rPr>
          <w:rFonts w:eastAsia="Calibri"/>
        </w:rPr>
        <w:t>” (Interfaz de programación de aplicaciones); es un conjunto de funciones, reglas</w:t>
      </w:r>
      <w:r>
        <w:rPr>
          <w:rFonts w:eastAsia="Calibri"/>
        </w:rPr>
        <w:t xml:space="preserve">, </w:t>
      </w:r>
      <w:r w:rsidRPr="00472856">
        <w:rPr>
          <w:rFonts w:eastAsia="Calibri"/>
        </w:rPr>
        <w:t xml:space="preserve">códigos, procedimientos y especificaciones, que ofrecen una biblioteca de programación (como capa de abstracción) para que sea utilizada por otro programa informático con el fin de </w:t>
      </w:r>
      <w:r w:rsidRPr="001C1C14">
        <w:rPr>
          <w:rFonts w:eastAsia="Calibri"/>
        </w:rPr>
        <w:t>establecer una comunicación</w:t>
      </w:r>
      <w:r w:rsidRPr="00472856">
        <w:rPr>
          <w:rFonts w:eastAsia="Calibri"/>
        </w:rPr>
        <w:t xml:space="preserve"> entre ellos.</w:t>
      </w:r>
    </w:p>
    <w:p w14:paraId="408963D8" w14:textId="77777777" w:rsidR="007A7839" w:rsidRPr="004676E6" w:rsidRDefault="007A7839" w:rsidP="00E23D98">
      <w:pPr>
        <w:pStyle w:val="ListaVietas"/>
        <w:tabs>
          <w:tab w:val="clear" w:pos="425"/>
        </w:tabs>
        <w:spacing w:line="276" w:lineRule="auto"/>
      </w:pPr>
      <w:r w:rsidRPr="004676E6">
        <w:t xml:space="preserve">App: del inglés </w:t>
      </w:r>
      <w:r>
        <w:t>“</w:t>
      </w:r>
      <w:r w:rsidRPr="00CF263B">
        <w:rPr>
          <w:i/>
          <w:iCs/>
        </w:rPr>
        <w:t>application</w:t>
      </w:r>
      <w:r>
        <w:t xml:space="preserve">”. Es una aplicación de software diseñada por el BCCR para ejecutarse en dispositivos móviles, con el propósito de que los pasajeros y </w:t>
      </w:r>
      <w:r w:rsidRPr="004D7550">
        <w:t>los operadores</w:t>
      </w:r>
      <w:r>
        <w:t xml:space="preserve"> de transporte interactúen con el servicio SINPE-TP.</w:t>
      </w:r>
    </w:p>
    <w:p w14:paraId="71C82C75" w14:textId="77777777" w:rsidR="007A7839" w:rsidRPr="004676E6" w:rsidRDefault="007A7839" w:rsidP="00E23D98">
      <w:pPr>
        <w:pStyle w:val="ListaVietas"/>
        <w:tabs>
          <w:tab w:val="clear" w:pos="425"/>
        </w:tabs>
        <w:spacing w:line="276" w:lineRule="auto"/>
      </w:pPr>
      <w:r w:rsidRPr="004676E6">
        <w:t>Aresep: Autoridad Reguladora de los Servicios Públicos</w:t>
      </w:r>
      <w:r>
        <w:t xml:space="preserve">. Es el </w:t>
      </w:r>
      <w:r w:rsidRPr="004676E6">
        <w:t xml:space="preserve">ente competente </w:t>
      </w:r>
      <w:r>
        <w:t>que calcula y autoriza las fijaciones tarifarias de los servicios del transporte público costarricense.</w:t>
      </w:r>
    </w:p>
    <w:p w14:paraId="275E804A" w14:textId="77777777" w:rsidR="007A7839" w:rsidRPr="00630C39" w:rsidRDefault="007A7839" w:rsidP="00E23D98">
      <w:pPr>
        <w:pStyle w:val="ListaVietas"/>
        <w:tabs>
          <w:tab w:val="clear" w:pos="425"/>
        </w:tabs>
        <w:spacing w:line="276" w:lineRule="auto"/>
        <w:rPr>
          <w:rFonts w:cs="Arial"/>
        </w:rPr>
      </w:pPr>
      <w:r>
        <w:t>Autobús: unidad de transporte autorizada por el CTP para operar en una ruta regular del servicio de transporte público remunerado de personas.</w:t>
      </w:r>
    </w:p>
    <w:p w14:paraId="6F6C4D0E" w14:textId="77777777" w:rsidR="007A7839" w:rsidRDefault="007A7839" w:rsidP="00E23D98">
      <w:pPr>
        <w:pStyle w:val="ListaVietas"/>
        <w:tabs>
          <w:tab w:val="clear" w:pos="425"/>
        </w:tabs>
        <w:spacing w:line="276" w:lineRule="auto"/>
        <w:rPr>
          <w:rFonts w:cs="Arial"/>
        </w:rPr>
      </w:pPr>
      <w:r w:rsidRPr="00147E0A">
        <w:rPr>
          <w:rFonts w:cs="Arial"/>
        </w:rPr>
        <w:t>BCCR: Banco Central de Costa Rica</w:t>
      </w:r>
      <w:r>
        <w:rPr>
          <w:rFonts w:cs="Arial"/>
        </w:rPr>
        <w:t xml:space="preserve">. Es </w:t>
      </w:r>
      <w:r w:rsidRPr="00147E0A">
        <w:rPr>
          <w:rFonts w:cs="Arial"/>
        </w:rPr>
        <w:t xml:space="preserve">el ente rector del sistema de pagos costarricense, </w:t>
      </w:r>
      <w:r w:rsidRPr="00AE3F77">
        <w:rPr>
          <w:rFonts w:cs="Arial"/>
        </w:rPr>
        <w:t>el regulador del servicio SINPE−TP y el gestor de su plataforma de pagos</w:t>
      </w:r>
      <w:r w:rsidRPr="00147E0A">
        <w:rPr>
          <w:rFonts w:cs="Arial"/>
        </w:rPr>
        <w:t>.</w:t>
      </w:r>
    </w:p>
    <w:p w14:paraId="28D4F871" w14:textId="77777777" w:rsidR="007A7839" w:rsidRDefault="007A7839" w:rsidP="00E23D98">
      <w:pPr>
        <w:pStyle w:val="ListaVietas"/>
        <w:tabs>
          <w:tab w:val="clear" w:pos="425"/>
        </w:tabs>
        <w:spacing w:line="276" w:lineRule="auto"/>
        <w:rPr>
          <w:rFonts w:cs="Arial"/>
        </w:rPr>
      </w:pPr>
      <w:bookmarkStart w:id="13" w:name="_Hlk134107214"/>
      <w:bookmarkStart w:id="14" w:name="_Hlk134101154"/>
      <w:r>
        <w:rPr>
          <w:rFonts w:cs="Arial"/>
        </w:rPr>
        <w:t>Cobrador: p</w:t>
      </w:r>
      <w:r w:rsidRPr="00CF263B">
        <w:rPr>
          <w:rFonts w:cs="Arial"/>
        </w:rPr>
        <w:t xml:space="preserve">ersona física que labora para un operador </w:t>
      </w:r>
      <w:r>
        <w:rPr>
          <w:rFonts w:cs="Arial"/>
        </w:rPr>
        <w:t xml:space="preserve">de transporte </w:t>
      </w:r>
      <w:r w:rsidRPr="00CF263B">
        <w:rPr>
          <w:rFonts w:cs="Arial"/>
        </w:rPr>
        <w:t xml:space="preserve">en la captura de cobros electrónicos por medio </w:t>
      </w:r>
      <w:r>
        <w:rPr>
          <w:rFonts w:cs="Arial"/>
        </w:rPr>
        <w:t xml:space="preserve">del servicio </w:t>
      </w:r>
      <w:r w:rsidRPr="00CF263B">
        <w:rPr>
          <w:rFonts w:cs="Arial"/>
        </w:rPr>
        <w:t xml:space="preserve">SINPE-TP, a nombre </w:t>
      </w:r>
      <w:r>
        <w:rPr>
          <w:rFonts w:cs="Arial"/>
        </w:rPr>
        <w:t xml:space="preserve">del </w:t>
      </w:r>
      <w:r w:rsidRPr="00CF263B">
        <w:rPr>
          <w:rFonts w:cs="Arial"/>
        </w:rPr>
        <w:t>operador y en virtud de la recaudación de sus ingresos tarifarios.</w:t>
      </w:r>
    </w:p>
    <w:p w14:paraId="0D4BBF53" w14:textId="77777777" w:rsidR="007A7839" w:rsidRDefault="007A7839" w:rsidP="00E23D98">
      <w:pPr>
        <w:pStyle w:val="ListaVietas"/>
        <w:tabs>
          <w:tab w:val="clear" w:pos="425"/>
        </w:tabs>
        <w:spacing w:line="276" w:lineRule="auto"/>
        <w:rPr>
          <w:rFonts w:cs="Arial"/>
        </w:rPr>
      </w:pPr>
      <w:r w:rsidRPr="00543B9B">
        <w:rPr>
          <w:rFonts w:cs="Arial"/>
        </w:rPr>
        <w:lastRenderedPageBreak/>
        <w:t xml:space="preserve">Consola: equipo </w:t>
      </w:r>
      <w:r>
        <w:rPr>
          <w:rFonts w:cs="Arial"/>
        </w:rPr>
        <w:t xml:space="preserve">tecnológico </w:t>
      </w:r>
      <w:r w:rsidRPr="00543B9B">
        <w:rPr>
          <w:rFonts w:cs="Arial"/>
        </w:rPr>
        <w:t>integrado a un validador</w:t>
      </w:r>
      <w:r>
        <w:rPr>
          <w:rFonts w:cs="Arial"/>
        </w:rPr>
        <w:t xml:space="preserve"> de SINPE-TP, por medio del cual se selecciona el tramo efectivo de viaje del pasajero para establecer la tarifa de cobro </w:t>
      </w:r>
      <w:r w:rsidRPr="00543B9B">
        <w:rPr>
          <w:rFonts w:cs="Arial"/>
        </w:rPr>
        <w:t xml:space="preserve">en </w:t>
      </w:r>
      <w:r>
        <w:rPr>
          <w:rFonts w:cs="Arial"/>
        </w:rPr>
        <w:t xml:space="preserve">rutas de </w:t>
      </w:r>
      <w:r w:rsidRPr="00543B9B">
        <w:rPr>
          <w:rFonts w:cs="Arial"/>
        </w:rPr>
        <w:t>tarifa fraccionada</w:t>
      </w:r>
      <w:r>
        <w:rPr>
          <w:rFonts w:cs="Arial"/>
        </w:rPr>
        <w:t>.</w:t>
      </w:r>
    </w:p>
    <w:p w14:paraId="2DF79670" w14:textId="77777777" w:rsidR="007A7839" w:rsidRDefault="007A7839" w:rsidP="00E23D98">
      <w:pPr>
        <w:pStyle w:val="ListaVietas"/>
        <w:tabs>
          <w:tab w:val="clear" w:pos="425"/>
        </w:tabs>
        <w:spacing w:line="276" w:lineRule="auto"/>
        <w:rPr>
          <w:rFonts w:cs="Arial"/>
        </w:rPr>
      </w:pPr>
      <w:r w:rsidRPr="007964FB">
        <w:rPr>
          <w:rFonts w:cs="Arial"/>
        </w:rPr>
        <w:t xml:space="preserve">Contactless: </w:t>
      </w:r>
      <w:r w:rsidRPr="00216007">
        <w:rPr>
          <w:rFonts w:cs="Arial"/>
        </w:rPr>
        <w:t>pago sin contacto o pago por proximidad</w:t>
      </w:r>
      <w:r>
        <w:rPr>
          <w:rFonts w:cs="Arial"/>
        </w:rPr>
        <w:t xml:space="preserve">. Es </w:t>
      </w:r>
      <w:r w:rsidRPr="00216007">
        <w:rPr>
          <w:rFonts w:cs="Arial"/>
        </w:rPr>
        <w:t>un protocolo de comunicación que permite realizar pagos con tarjetas utilizando tecnología de identificación por radiofrecuencia (RFID, por sus siglas en inglés), cumpliendo con la norma ISO 14443, relacionada con las tarjetas inteligentes (</w:t>
      </w:r>
      <w:r w:rsidRPr="00CF263B">
        <w:rPr>
          <w:rFonts w:cs="Arial"/>
          <w:i/>
          <w:iCs/>
        </w:rPr>
        <w:t>SmartCards</w:t>
      </w:r>
      <w:r w:rsidRPr="00216007">
        <w:rPr>
          <w:rFonts w:cs="Arial"/>
        </w:rPr>
        <w:t xml:space="preserve">). </w:t>
      </w:r>
      <w:r>
        <w:rPr>
          <w:rFonts w:cs="Arial"/>
        </w:rPr>
        <w:t xml:space="preserve">Por medio de </w:t>
      </w:r>
      <w:r w:rsidRPr="00216007">
        <w:rPr>
          <w:rFonts w:cs="Arial"/>
        </w:rPr>
        <w:t xml:space="preserve">una antena incorporada en </w:t>
      </w:r>
      <w:r>
        <w:rPr>
          <w:rFonts w:cs="Arial"/>
        </w:rPr>
        <w:t xml:space="preserve">el dispositivo de pago </w:t>
      </w:r>
      <w:r w:rsidRPr="00216007">
        <w:rPr>
          <w:rFonts w:cs="Arial"/>
        </w:rPr>
        <w:t xml:space="preserve">y </w:t>
      </w:r>
      <w:r>
        <w:rPr>
          <w:rFonts w:cs="Arial"/>
        </w:rPr>
        <w:t xml:space="preserve">otra </w:t>
      </w:r>
      <w:r w:rsidRPr="00216007">
        <w:rPr>
          <w:rFonts w:cs="Arial"/>
        </w:rPr>
        <w:t>en el</w:t>
      </w:r>
      <w:r>
        <w:rPr>
          <w:rFonts w:cs="Arial"/>
        </w:rPr>
        <w:t xml:space="preserve"> </w:t>
      </w:r>
      <w:r w:rsidRPr="00216007">
        <w:rPr>
          <w:rFonts w:cs="Arial"/>
        </w:rPr>
        <w:t xml:space="preserve">validador, la comunicación ocurre cuando ambos objetos se encuentran a una distancia máxima de 5 centímetros, </w:t>
      </w:r>
      <w:r>
        <w:rPr>
          <w:rFonts w:cs="Arial"/>
        </w:rPr>
        <w:t xml:space="preserve">con lo cual se agiliza el registro de </w:t>
      </w:r>
      <w:r w:rsidRPr="00216007">
        <w:rPr>
          <w:rFonts w:cs="Arial"/>
        </w:rPr>
        <w:t>las transacciones en la red del transporte público.</w:t>
      </w:r>
      <w:bookmarkEnd w:id="13"/>
    </w:p>
    <w:bookmarkEnd w:id="14"/>
    <w:p w14:paraId="0E5324E0" w14:textId="77777777" w:rsidR="007A7839" w:rsidRDefault="007A7839" w:rsidP="00E23D98">
      <w:pPr>
        <w:pStyle w:val="ListaVietas"/>
        <w:tabs>
          <w:tab w:val="clear" w:pos="425"/>
        </w:tabs>
        <w:spacing w:line="276" w:lineRule="auto"/>
      </w:pPr>
      <w:r w:rsidRPr="00DB60C1">
        <w:rPr>
          <w:rFonts w:cs="Arial"/>
        </w:rPr>
        <w:t xml:space="preserve">CTP: </w:t>
      </w:r>
      <w:r w:rsidRPr="00C70FA8">
        <w:rPr>
          <w:rFonts w:cs="Arial"/>
        </w:rPr>
        <w:t>Consejo de</w:t>
      </w:r>
      <w:r w:rsidRPr="008A0C76">
        <w:rPr>
          <w:rFonts w:cs="Arial"/>
        </w:rPr>
        <w:t xml:space="preserve"> Transporte Público</w:t>
      </w:r>
      <w:r>
        <w:rPr>
          <w:rFonts w:cs="Arial"/>
        </w:rPr>
        <w:t xml:space="preserve">. Es </w:t>
      </w:r>
      <w:r w:rsidRPr="008A0C76">
        <w:rPr>
          <w:rFonts w:cs="Arial"/>
        </w:rPr>
        <w:t>un órgano de desconcentración máxima del MOPT,</w:t>
      </w:r>
      <w:r w:rsidRPr="008A0C76">
        <w:t xml:space="preserve"> responsable de regular, planificar y supervisar la operación de los servicios de transporte en la modalidad </w:t>
      </w:r>
      <w:r>
        <w:t xml:space="preserve">de </w:t>
      </w:r>
      <w:r w:rsidRPr="008A0C76">
        <w:t>autobús de ruta regular.</w:t>
      </w:r>
    </w:p>
    <w:p w14:paraId="26BA6537" w14:textId="77777777" w:rsidR="007A7839" w:rsidRDefault="007A7839" w:rsidP="00E23D98">
      <w:pPr>
        <w:pStyle w:val="ListaVietas"/>
        <w:tabs>
          <w:tab w:val="clear" w:pos="425"/>
        </w:tabs>
        <w:spacing w:line="276" w:lineRule="auto"/>
        <w:rPr>
          <w:rFonts w:cs="Arial"/>
        </w:rPr>
      </w:pPr>
      <w:r>
        <w:rPr>
          <w:rFonts w:cs="Arial"/>
        </w:rPr>
        <w:t>Cuenta SINPE: cuenta de fondos abierta por una entidad financiera en el BCCR para atender la liquidación de sus operaciones en el sistema de pagos.</w:t>
      </w:r>
    </w:p>
    <w:p w14:paraId="57C9BF87" w14:textId="77777777" w:rsidR="007A7839" w:rsidRPr="007C33C8" w:rsidRDefault="007A7839" w:rsidP="00E23D98">
      <w:pPr>
        <w:pStyle w:val="ListaVietas"/>
        <w:tabs>
          <w:tab w:val="clear" w:pos="425"/>
        </w:tabs>
        <w:spacing w:line="276" w:lineRule="auto"/>
        <w:ind w:left="397" w:hanging="340"/>
        <w:rPr>
          <w:rFonts w:cs="Arial"/>
        </w:rPr>
      </w:pPr>
      <w:bookmarkStart w:id="15" w:name="_Hlk134107372"/>
      <w:r>
        <w:rPr>
          <w:rFonts w:cs="Arial"/>
        </w:rPr>
        <w:t xml:space="preserve">Departamento SINPE-TP: </w:t>
      </w:r>
      <w:r w:rsidRPr="00793F98">
        <w:rPr>
          <w:rFonts w:cs="Arial"/>
        </w:rPr>
        <w:t xml:space="preserve">Departamento Sistema </w:t>
      </w:r>
      <w:r>
        <w:rPr>
          <w:rFonts w:cs="Arial"/>
        </w:rPr>
        <w:t xml:space="preserve">Nacional </w:t>
      </w:r>
      <w:r w:rsidRPr="00793F98">
        <w:rPr>
          <w:rFonts w:cs="Arial"/>
        </w:rPr>
        <w:t>de Pago Electrónico en el Transporte Público</w:t>
      </w:r>
      <w:r>
        <w:rPr>
          <w:rFonts w:cs="Arial"/>
        </w:rPr>
        <w:t xml:space="preserve">, </w:t>
      </w:r>
      <w:r w:rsidRPr="009F78D7">
        <w:rPr>
          <w:rFonts w:cs="Arial"/>
          <w:lang w:val="es-ES_tradnl" w:eastAsia="es-ES"/>
        </w:rPr>
        <w:t>adscrito a la División Sistemas de Pago</w:t>
      </w:r>
      <w:r>
        <w:rPr>
          <w:rFonts w:cs="Arial"/>
          <w:lang w:val="es-ES_tradnl" w:eastAsia="es-ES"/>
        </w:rPr>
        <w:t xml:space="preserve"> del BCCR.</w:t>
      </w:r>
    </w:p>
    <w:p w14:paraId="71C581FF" w14:textId="77777777" w:rsidR="007A7839" w:rsidRPr="007964FB" w:rsidRDefault="007A7839" w:rsidP="00E23D98">
      <w:pPr>
        <w:pStyle w:val="ListaVietas"/>
        <w:tabs>
          <w:tab w:val="clear" w:pos="425"/>
        </w:tabs>
        <w:spacing w:line="276" w:lineRule="auto"/>
        <w:rPr>
          <w:rFonts w:cs="Arial"/>
        </w:rPr>
      </w:pPr>
      <w:r>
        <w:t xml:space="preserve">Dispositivo de pago: instrumento de pago </w:t>
      </w:r>
      <w:r w:rsidRPr="00CF263B">
        <w:rPr>
          <w:i/>
          <w:iCs/>
        </w:rPr>
        <w:t>EMV-Contactless</w:t>
      </w:r>
      <w:r>
        <w:t xml:space="preserve"> en sus diferentes presentaciones, tales como: tarjetas de débito, crédito o prepago, así como wearables y cualquier otro tipo de instrumento </w:t>
      </w:r>
      <w:r w:rsidRPr="003A264C">
        <w:t>EMV</w:t>
      </w:r>
      <w:r>
        <w:t xml:space="preserve"> emitido bajo una marca de tarjetas y vinculado a cuentas de débito, crédito o prepago, o cualquier otro tipo de cuenta de fondo de los clientes.</w:t>
      </w:r>
    </w:p>
    <w:p w14:paraId="4118F951" w14:textId="77777777" w:rsidR="007A7839" w:rsidRPr="00A914F9" w:rsidRDefault="007A7839" w:rsidP="00E23D98">
      <w:pPr>
        <w:pStyle w:val="ListaVietas"/>
        <w:tabs>
          <w:tab w:val="clear" w:pos="425"/>
        </w:tabs>
        <w:spacing w:line="276" w:lineRule="auto"/>
        <w:rPr>
          <w:rFonts w:cs="Arial"/>
        </w:rPr>
      </w:pPr>
      <w:r w:rsidRPr="007964FB">
        <w:rPr>
          <w:rFonts w:cs="Arial"/>
          <w:lang w:val="es-ES_tradnl"/>
        </w:rPr>
        <w:t>Emisor</w:t>
      </w:r>
      <w:r w:rsidRPr="00A914F9">
        <w:rPr>
          <w:rFonts w:cs="Arial"/>
        </w:rPr>
        <w:t xml:space="preserve">: entidad financiera que entrega dispositivos de pago </w:t>
      </w:r>
      <w:r w:rsidRPr="00CF263B">
        <w:rPr>
          <w:i/>
          <w:iCs/>
        </w:rPr>
        <w:t>EMV-Contactless</w:t>
      </w:r>
      <w:r w:rsidRPr="00A914F9">
        <w:rPr>
          <w:rFonts w:cs="Arial"/>
        </w:rPr>
        <w:t xml:space="preserve"> a sus clientes, emitidos bajo las franquicias de las marcas </w:t>
      </w:r>
      <w:r>
        <w:rPr>
          <w:rFonts w:cs="Arial"/>
        </w:rPr>
        <w:t>de tarjetas</w:t>
      </w:r>
      <w:r w:rsidRPr="00A914F9">
        <w:rPr>
          <w:rFonts w:cs="Arial"/>
        </w:rPr>
        <w:t xml:space="preserve"> VISA, MasterCard y American Express.</w:t>
      </w:r>
      <w:r>
        <w:rPr>
          <w:rFonts w:cs="Arial"/>
        </w:rPr>
        <w:t xml:space="preserve"> </w:t>
      </w:r>
      <w:r w:rsidRPr="00A914F9">
        <w:rPr>
          <w:rFonts w:cs="Arial"/>
        </w:rPr>
        <w:t xml:space="preserve">Al emisor se le denomina “nacional” cuando se encuentra domiciliado en Costa Rica, e “internacional” cuando </w:t>
      </w:r>
      <w:r>
        <w:rPr>
          <w:rFonts w:cs="Arial"/>
        </w:rPr>
        <w:t>se trata de</w:t>
      </w:r>
      <w:r w:rsidRPr="00A914F9">
        <w:rPr>
          <w:rFonts w:cs="Arial"/>
        </w:rPr>
        <w:t xml:space="preserve"> una entidad del extranjero.</w:t>
      </w:r>
    </w:p>
    <w:p w14:paraId="76215EA1" w14:textId="77777777" w:rsidR="007A7839" w:rsidRPr="00DB60C1" w:rsidRDefault="007A7839" w:rsidP="00E23D98">
      <w:pPr>
        <w:pStyle w:val="ListaVietas"/>
        <w:tabs>
          <w:tab w:val="clear" w:pos="425"/>
        </w:tabs>
        <w:spacing w:line="276" w:lineRule="auto"/>
        <w:rPr>
          <w:rFonts w:cs="Arial"/>
        </w:rPr>
      </w:pPr>
      <w:r w:rsidRPr="00C70FA8">
        <w:rPr>
          <w:rFonts w:cs="Arial"/>
          <w:lang w:val="es-ES_tradnl"/>
        </w:rPr>
        <w:t xml:space="preserve">EMV: siglas de </w:t>
      </w:r>
      <w:r>
        <w:rPr>
          <w:rFonts w:cs="Arial"/>
          <w:lang w:val="es-ES_tradnl"/>
        </w:rPr>
        <w:t>“</w:t>
      </w:r>
      <w:r w:rsidRPr="00CF263B">
        <w:rPr>
          <w:rFonts w:eastAsia="Calibri"/>
          <w:i/>
          <w:iCs/>
        </w:rPr>
        <w:t>Europay-MasterCard-VISA</w:t>
      </w:r>
      <w:r>
        <w:rPr>
          <w:rFonts w:eastAsia="Calibri"/>
        </w:rPr>
        <w:t>”</w:t>
      </w:r>
      <w:r>
        <w:rPr>
          <w:rFonts w:cs="Arial"/>
          <w:lang w:val="es-ES_tradnl"/>
        </w:rPr>
        <w:t xml:space="preserve">. Es </w:t>
      </w:r>
      <w:r w:rsidRPr="00C70FA8">
        <w:rPr>
          <w:rFonts w:cs="Arial"/>
          <w:lang w:val="es-ES_tradnl"/>
        </w:rPr>
        <w:t xml:space="preserve">un estándar de interoperabilidad de </w:t>
      </w:r>
      <w:r>
        <w:rPr>
          <w:rFonts w:cs="Arial"/>
          <w:lang w:val="es-ES_tradnl"/>
        </w:rPr>
        <w:t xml:space="preserve">dispositivos de pago </w:t>
      </w:r>
      <w:r w:rsidRPr="00DF0E20">
        <w:rPr>
          <w:color w:val="000000"/>
        </w:rPr>
        <w:t>con soporte de circuito integrado</w:t>
      </w:r>
      <w:r>
        <w:rPr>
          <w:color w:val="000000"/>
        </w:rPr>
        <w:t xml:space="preserve"> </w:t>
      </w:r>
      <w:r w:rsidRPr="00DF0E20">
        <w:rPr>
          <w:color w:val="000000"/>
        </w:rPr>
        <w:t>IC</w:t>
      </w:r>
      <w:r w:rsidRPr="00C70FA8">
        <w:rPr>
          <w:rFonts w:cs="Arial"/>
          <w:lang w:val="es-ES_tradnl"/>
        </w:rPr>
        <w:t xml:space="preserve">, creado por la firma EMVCo para la autenticación de pagos </w:t>
      </w:r>
      <w:r>
        <w:rPr>
          <w:rFonts w:cs="Arial"/>
          <w:lang w:val="es-ES_tradnl"/>
        </w:rPr>
        <w:t xml:space="preserve">realizados con </w:t>
      </w:r>
      <w:r w:rsidRPr="00C70FA8">
        <w:rPr>
          <w:rFonts w:cs="Arial"/>
          <w:lang w:val="es-ES_tradnl"/>
        </w:rPr>
        <w:t>tarjetas de débito, crédito y prepago</w:t>
      </w:r>
      <w:r>
        <w:rPr>
          <w:rFonts w:cs="Arial"/>
          <w:lang w:val="es-ES_tradnl"/>
        </w:rPr>
        <w:t xml:space="preserve">, así como con sus accesorios o </w:t>
      </w:r>
      <w:r w:rsidRPr="00CF263B">
        <w:rPr>
          <w:rFonts w:cs="Arial"/>
          <w:i/>
          <w:iCs/>
          <w:lang w:val="es-ES_tradnl"/>
        </w:rPr>
        <w:t>wearables</w:t>
      </w:r>
      <w:r>
        <w:rPr>
          <w:rFonts w:cs="Arial"/>
          <w:lang w:val="es-ES_tradnl"/>
        </w:rPr>
        <w:t xml:space="preserve"> vinculados</w:t>
      </w:r>
      <w:r w:rsidRPr="00C70FA8">
        <w:rPr>
          <w:rFonts w:cs="Arial"/>
          <w:lang w:val="es-ES_tradnl"/>
        </w:rPr>
        <w:t>. Mediante</w:t>
      </w:r>
      <w:r w:rsidRPr="00DB60C1">
        <w:rPr>
          <w:rFonts w:cs="Arial"/>
          <w:lang w:val="es-ES_tradnl"/>
        </w:rPr>
        <w:t xml:space="preserve"> el uso de un microprocesador criptográfico (chip), define las condiciones de la interacción entre las tarjetas y los </w:t>
      </w:r>
      <w:r>
        <w:rPr>
          <w:rFonts w:cs="Arial"/>
          <w:lang w:val="es-ES_tradnl"/>
        </w:rPr>
        <w:t xml:space="preserve">validadores </w:t>
      </w:r>
      <w:r w:rsidRPr="00DB60C1">
        <w:rPr>
          <w:rFonts w:cs="Arial"/>
          <w:lang w:val="es-ES_tradnl"/>
        </w:rPr>
        <w:t>para llevar a cabo las transacciones.</w:t>
      </w:r>
      <w:r>
        <w:rPr>
          <w:rFonts w:cs="Arial"/>
          <w:lang w:val="es-ES_tradnl"/>
        </w:rPr>
        <w:t xml:space="preserve"> </w:t>
      </w:r>
      <w:r w:rsidRPr="00DB60C1">
        <w:rPr>
          <w:rFonts w:cs="Arial"/>
          <w:lang w:val="es-ES_tradnl"/>
        </w:rPr>
        <w:t>Una parte de su tecnología está basada en la norma ISO/IEC 7816 para la identificación de tarjetas inteligentes.</w:t>
      </w:r>
    </w:p>
    <w:p w14:paraId="79384E41" w14:textId="77777777" w:rsidR="007A7839" w:rsidRDefault="007A7839" w:rsidP="00E23D98">
      <w:pPr>
        <w:pStyle w:val="ListaVietas"/>
        <w:tabs>
          <w:tab w:val="clear" w:pos="425"/>
        </w:tabs>
        <w:spacing w:line="276" w:lineRule="auto"/>
        <w:rPr>
          <w:rFonts w:cs="Arial"/>
        </w:rPr>
      </w:pPr>
      <w:bookmarkStart w:id="16" w:name="_Hlk134108260"/>
      <w:bookmarkEnd w:id="15"/>
      <w:r w:rsidRPr="008A0C76">
        <w:rPr>
          <w:rFonts w:cs="Arial"/>
        </w:rPr>
        <w:t>Incofer: Instituto Costarricense de Ferrocarriles</w:t>
      </w:r>
      <w:r>
        <w:rPr>
          <w:rFonts w:cs="Arial"/>
        </w:rPr>
        <w:t xml:space="preserve">. Es </w:t>
      </w:r>
      <w:r w:rsidRPr="008A0C76">
        <w:rPr>
          <w:rFonts w:cs="Arial"/>
        </w:rPr>
        <w:t xml:space="preserve">el </w:t>
      </w:r>
      <w:r>
        <w:rPr>
          <w:rFonts w:cs="Arial"/>
        </w:rPr>
        <w:t>ente regulador</w:t>
      </w:r>
      <w:r w:rsidRPr="008A0C76">
        <w:rPr>
          <w:rFonts w:cs="Arial"/>
        </w:rPr>
        <w:t xml:space="preserve"> y operador del servicio de tren de pasajeros.</w:t>
      </w:r>
    </w:p>
    <w:p w14:paraId="001F18EA" w14:textId="77777777" w:rsidR="007A7839" w:rsidRPr="008A0C76" w:rsidRDefault="007A7839" w:rsidP="00E23D98">
      <w:pPr>
        <w:pStyle w:val="ListaVietas"/>
        <w:tabs>
          <w:tab w:val="clear" w:pos="425"/>
        </w:tabs>
        <w:spacing w:line="276" w:lineRule="auto"/>
        <w:rPr>
          <w:rFonts w:cs="Arial"/>
        </w:rPr>
      </w:pPr>
      <w:r>
        <w:rPr>
          <w:rFonts w:cs="Arial"/>
        </w:rPr>
        <w:t>Inspector: p</w:t>
      </w:r>
      <w:r w:rsidRPr="00CF263B">
        <w:rPr>
          <w:rFonts w:cs="Arial"/>
        </w:rPr>
        <w:t>ersona física encargada de verificar el pago correcto de la tarifa</w:t>
      </w:r>
      <w:r>
        <w:rPr>
          <w:rFonts w:cs="Arial"/>
        </w:rPr>
        <w:t xml:space="preserve"> </w:t>
      </w:r>
      <w:r w:rsidRPr="00CF263B">
        <w:rPr>
          <w:rFonts w:cs="Arial"/>
        </w:rPr>
        <w:t>por parte de los pasajeros</w:t>
      </w:r>
      <w:r>
        <w:rPr>
          <w:rFonts w:cs="Arial"/>
        </w:rPr>
        <w:t xml:space="preserve"> (transacciones SINPE-TP)</w:t>
      </w:r>
      <w:r w:rsidRPr="00CF263B">
        <w:rPr>
          <w:rFonts w:cs="Arial"/>
        </w:rPr>
        <w:t>, ya sea en las terminales de abordaje o dentro de las unidades de transporte.</w:t>
      </w:r>
      <w:r>
        <w:rPr>
          <w:rFonts w:cs="Arial"/>
        </w:rPr>
        <w:t xml:space="preserve"> </w:t>
      </w:r>
      <w:r w:rsidRPr="00CF263B">
        <w:rPr>
          <w:rFonts w:cs="Arial"/>
        </w:rPr>
        <w:t>Este rol también puede ser ejecutado por los cobradores.</w:t>
      </w:r>
    </w:p>
    <w:p w14:paraId="440B81E1" w14:textId="77777777" w:rsidR="007A7839" w:rsidRDefault="007A7839" w:rsidP="00E23D98">
      <w:pPr>
        <w:pStyle w:val="ListaVietas"/>
        <w:tabs>
          <w:tab w:val="clear" w:pos="425"/>
        </w:tabs>
        <w:spacing w:line="276" w:lineRule="auto"/>
        <w:rPr>
          <w:rFonts w:cs="Arial"/>
        </w:rPr>
      </w:pPr>
      <w:bookmarkStart w:id="17" w:name="_Hlk134108527"/>
      <w:bookmarkEnd w:id="16"/>
      <w:r w:rsidRPr="00AA4D5B">
        <w:rPr>
          <w:rFonts w:cs="Arial"/>
        </w:rPr>
        <w:t>Lector de dispositivos de</w:t>
      </w:r>
      <w:r w:rsidRPr="00D8448E">
        <w:rPr>
          <w:rFonts w:cs="Arial"/>
        </w:rPr>
        <w:t xml:space="preserve"> pago: equipo tecnológico con la capacidad de procesar pagos</w:t>
      </w:r>
      <w:r>
        <w:rPr>
          <w:rFonts w:cs="Arial"/>
        </w:rPr>
        <w:t xml:space="preserve"> </w:t>
      </w:r>
      <w:r w:rsidRPr="00D8448E">
        <w:rPr>
          <w:rFonts w:cs="Arial"/>
        </w:rPr>
        <w:t xml:space="preserve">con el estándar </w:t>
      </w:r>
      <w:r w:rsidRPr="00C17DA8">
        <w:rPr>
          <w:rFonts w:cs="Arial"/>
          <w:i/>
          <w:iCs/>
        </w:rPr>
        <w:t>EMV</w:t>
      </w:r>
      <w:r>
        <w:rPr>
          <w:rFonts w:cs="Arial"/>
          <w:i/>
          <w:iCs/>
        </w:rPr>
        <w:t>-</w:t>
      </w:r>
      <w:r w:rsidRPr="00C17DA8">
        <w:rPr>
          <w:rFonts w:cs="Arial"/>
          <w:i/>
          <w:iCs/>
        </w:rPr>
        <w:t>Contactless</w:t>
      </w:r>
      <w:r>
        <w:rPr>
          <w:rFonts w:cs="Arial"/>
        </w:rPr>
        <w:t xml:space="preserve"> (</w:t>
      </w:r>
      <w:r w:rsidRPr="00AA4D5B">
        <w:rPr>
          <w:rFonts w:cs="Arial"/>
        </w:rPr>
        <w:t xml:space="preserve">también conocido </w:t>
      </w:r>
      <w:r w:rsidRPr="00D8448E">
        <w:rPr>
          <w:rFonts w:cs="Arial"/>
        </w:rPr>
        <w:t xml:space="preserve">en el mercado como “Lector </w:t>
      </w:r>
      <w:r w:rsidRPr="003A264C">
        <w:rPr>
          <w:rFonts w:cs="Arial"/>
        </w:rPr>
        <w:t>EMV</w:t>
      </w:r>
      <w:r w:rsidRPr="00D8448E">
        <w:rPr>
          <w:rFonts w:cs="Arial"/>
        </w:rPr>
        <w:t>”</w:t>
      </w:r>
      <w:r>
        <w:rPr>
          <w:rFonts w:cs="Arial"/>
        </w:rPr>
        <w:t xml:space="preserve">). Este equipo puede ser </w:t>
      </w:r>
      <w:r w:rsidRPr="00D8448E">
        <w:rPr>
          <w:rFonts w:cs="Arial"/>
        </w:rPr>
        <w:t xml:space="preserve">independiente </w:t>
      </w:r>
      <w:r>
        <w:rPr>
          <w:rFonts w:cs="Arial"/>
        </w:rPr>
        <w:t xml:space="preserve">o </w:t>
      </w:r>
      <w:r w:rsidRPr="00D8448E">
        <w:rPr>
          <w:rFonts w:cs="Arial"/>
        </w:rPr>
        <w:t xml:space="preserve">dependiente. </w:t>
      </w:r>
    </w:p>
    <w:p w14:paraId="0882696A" w14:textId="77777777" w:rsidR="007A7839" w:rsidRPr="00C17DA8" w:rsidRDefault="007A7839" w:rsidP="00E23D98">
      <w:pPr>
        <w:pStyle w:val="ListaVietas"/>
        <w:numPr>
          <w:ilvl w:val="0"/>
          <w:numId w:val="0"/>
        </w:numPr>
        <w:spacing w:line="276" w:lineRule="auto"/>
        <w:ind w:left="369"/>
        <w:rPr>
          <w:rFonts w:cs="Arial"/>
        </w:rPr>
      </w:pPr>
      <w:r w:rsidRPr="00D8448E">
        <w:rPr>
          <w:rFonts w:cs="Arial"/>
        </w:rPr>
        <w:t xml:space="preserve">Un lector </w:t>
      </w:r>
      <w:r>
        <w:rPr>
          <w:rFonts w:cs="Arial"/>
        </w:rPr>
        <w:t xml:space="preserve">es </w:t>
      </w:r>
      <w:r w:rsidRPr="00D8448E">
        <w:rPr>
          <w:rFonts w:cs="Arial"/>
        </w:rPr>
        <w:t xml:space="preserve">independiente </w:t>
      </w:r>
      <w:r>
        <w:rPr>
          <w:rFonts w:cs="Arial"/>
        </w:rPr>
        <w:t xml:space="preserve">cuando posee recursos propios con los que </w:t>
      </w:r>
      <w:r w:rsidRPr="00D8448E">
        <w:rPr>
          <w:rFonts w:cs="Arial"/>
        </w:rPr>
        <w:t xml:space="preserve">corre un </w:t>
      </w:r>
      <w:r w:rsidRPr="00C17DA8">
        <w:rPr>
          <w:rFonts w:cs="Arial"/>
        </w:rPr>
        <w:t xml:space="preserve">sistema operativo y ejecuta programas en él. </w:t>
      </w:r>
      <w:r>
        <w:rPr>
          <w:rFonts w:cs="Arial"/>
        </w:rPr>
        <w:t xml:space="preserve">En contraposición, el </w:t>
      </w:r>
      <w:r w:rsidRPr="00C17DA8">
        <w:rPr>
          <w:rFonts w:cs="Arial"/>
        </w:rPr>
        <w:t xml:space="preserve">lector </w:t>
      </w:r>
      <w:r>
        <w:rPr>
          <w:rFonts w:cs="Arial"/>
        </w:rPr>
        <w:t xml:space="preserve">es </w:t>
      </w:r>
      <w:r w:rsidRPr="00C17DA8">
        <w:rPr>
          <w:rFonts w:cs="Arial"/>
        </w:rPr>
        <w:t xml:space="preserve">dependiente </w:t>
      </w:r>
      <w:r>
        <w:rPr>
          <w:rFonts w:cs="Arial"/>
        </w:rPr>
        <w:t xml:space="preserve">cuando </w:t>
      </w:r>
      <w:r w:rsidRPr="00C17DA8">
        <w:rPr>
          <w:rFonts w:cs="Arial"/>
        </w:rPr>
        <w:t xml:space="preserve">requiere ser operado </w:t>
      </w:r>
      <w:r w:rsidRPr="00C17DA8">
        <w:rPr>
          <w:rFonts w:cs="Arial"/>
        </w:rPr>
        <w:lastRenderedPageBreak/>
        <w:t>por un dispositivo externo como un validador o un computador, y no es posible ejecutar programas en él</w:t>
      </w:r>
      <w:r>
        <w:rPr>
          <w:rFonts w:cs="Arial"/>
        </w:rPr>
        <w:t xml:space="preserve"> de manera autónoma.</w:t>
      </w:r>
    </w:p>
    <w:p w14:paraId="0E12ACC0" w14:textId="77777777" w:rsidR="007A7839" w:rsidRDefault="007A7839" w:rsidP="00E23D98">
      <w:pPr>
        <w:pStyle w:val="ListaVietas"/>
        <w:tabs>
          <w:tab w:val="clear" w:pos="425"/>
        </w:tabs>
        <w:spacing w:line="276" w:lineRule="auto"/>
        <w:rPr>
          <w:rFonts w:cs="Arial"/>
        </w:rPr>
      </w:pPr>
      <w:bookmarkStart w:id="18" w:name="_Hlk178589466"/>
      <w:r>
        <w:rPr>
          <w:rFonts w:cs="Arial"/>
        </w:rPr>
        <w:t xml:space="preserve">Ley 7558: Ley Orgánica del Banco Central de Costa Rica, del 3 de noviembre de 1995. </w:t>
      </w:r>
    </w:p>
    <w:p w14:paraId="7D79FFCA" w14:textId="77777777" w:rsidR="007A7839" w:rsidRPr="00507EF3" w:rsidRDefault="007A7839" w:rsidP="00E23D98">
      <w:pPr>
        <w:pStyle w:val="ListaVietas"/>
        <w:tabs>
          <w:tab w:val="clear" w:pos="425"/>
        </w:tabs>
        <w:spacing w:line="276" w:lineRule="auto"/>
        <w:rPr>
          <w:rFonts w:cs="Arial"/>
        </w:rPr>
      </w:pPr>
      <w:r w:rsidRPr="00CF263B">
        <w:rPr>
          <w:rFonts w:cs="Arial"/>
        </w:rPr>
        <w:t xml:space="preserve">Lista de denegación: registro de dispositivos de pago reportados por los emisores cuando presentan alguna condición temporal o permanente por la que no pueden ser admitidos o utilizados para el pago de viajes </w:t>
      </w:r>
      <w:r>
        <w:rPr>
          <w:rFonts w:cs="Arial"/>
        </w:rPr>
        <w:t xml:space="preserve">mediante el servicio </w:t>
      </w:r>
      <w:r w:rsidRPr="00CF263B">
        <w:rPr>
          <w:rFonts w:cs="Arial"/>
        </w:rPr>
        <w:t>SINPE−TP. Esta lista es administrada por el BCCR como un recurso para la gestión de riesgos.</w:t>
      </w:r>
    </w:p>
    <w:p w14:paraId="4C56D182" w14:textId="77777777" w:rsidR="007A7839" w:rsidRPr="0085276B" w:rsidRDefault="007A7839" w:rsidP="00E23D98">
      <w:pPr>
        <w:pStyle w:val="ListaVietas"/>
        <w:tabs>
          <w:tab w:val="clear" w:pos="425"/>
        </w:tabs>
        <w:spacing w:line="276" w:lineRule="auto"/>
        <w:rPr>
          <w:rFonts w:cs="Arial"/>
        </w:rPr>
      </w:pPr>
      <w:r w:rsidRPr="00793F98">
        <w:rPr>
          <w:rFonts w:cs="Arial"/>
        </w:rPr>
        <w:t xml:space="preserve">Marca: </w:t>
      </w:r>
      <w:r w:rsidRPr="00603C8A">
        <w:rPr>
          <w:rFonts w:cs="Arial"/>
          <w:color w:val="000000"/>
          <w:lang w:eastAsia="es-CR"/>
        </w:rPr>
        <w:t>del inglés “</w:t>
      </w:r>
      <w:r w:rsidRPr="00CF263B">
        <w:rPr>
          <w:rFonts w:cs="Arial"/>
          <w:i/>
          <w:iCs/>
          <w:color w:val="000000"/>
          <w:lang w:eastAsia="es-CR"/>
        </w:rPr>
        <w:t>TAP</w:t>
      </w:r>
      <w:r w:rsidRPr="00603C8A">
        <w:rPr>
          <w:rFonts w:cs="Arial"/>
          <w:color w:val="000000"/>
          <w:lang w:eastAsia="es-CR"/>
        </w:rPr>
        <w:t>” (</w:t>
      </w:r>
      <w:r w:rsidRPr="00603C8A">
        <w:rPr>
          <w:rFonts w:cs="Arial"/>
          <w:i/>
          <w:iCs/>
          <w:color w:val="000000"/>
          <w:lang w:eastAsia="es-CR"/>
        </w:rPr>
        <w:t>Transit Access Pass</w:t>
      </w:r>
      <w:r w:rsidRPr="00603C8A">
        <w:rPr>
          <w:rFonts w:cs="Arial"/>
          <w:color w:val="000000"/>
          <w:lang w:eastAsia="es-CR"/>
        </w:rPr>
        <w:t>)</w:t>
      </w:r>
      <w:r>
        <w:rPr>
          <w:rFonts w:cs="Arial"/>
          <w:color w:val="000000"/>
          <w:lang w:eastAsia="es-CR"/>
        </w:rPr>
        <w:t>. Es</w:t>
      </w:r>
      <w:r w:rsidRPr="00603C8A">
        <w:rPr>
          <w:rFonts w:cs="Arial"/>
          <w:color w:val="000000"/>
          <w:lang w:eastAsia="es-CR"/>
        </w:rPr>
        <w:t xml:space="preserve"> el registro electrónico que realiza el pasajero en un validador de SINPE-TP para pagar la tarifa</w:t>
      </w:r>
      <w:r>
        <w:rPr>
          <w:rFonts w:cs="Arial"/>
          <w:color w:val="000000"/>
          <w:lang w:eastAsia="es-CR"/>
        </w:rPr>
        <w:t xml:space="preserve">. Este registro </w:t>
      </w:r>
      <w:r w:rsidRPr="00603C8A">
        <w:rPr>
          <w:rFonts w:cs="Arial"/>
          <w:color w:val="000000"/>
          <w:lang w:eastAsia="es-CR"/>
        </w:rPr>
        <w:t xml:space="preserve">es enviado </w:t>
      </w:r>
      <w:r>
        <w:rPr>
          <w:rFonts w:cs="Arial"/>
          <w:color w:val="000000"/>
          <w:lang w:eastAsia="es-CR"/>
        </w:rPr>
        <w:t xml:space="preserve">en forma automática </w:t>
      </w:r>
      <w:r w:rsidRPr="00603C8A">
        <w:rPr>
          <w:rFonts w:cs="Arial"/>
          <w:color w:val="000000"/>
          <w:lang w:eastAsia="es-CR"/>
        </w:rPr>
        <w:t xml:space="preserve">por </w:t>
      </w:r>
      <w:r>
        <w:rPr>
          <w:rFonts w:cs="Arial"/>
          <w:color w:val="000000"/>
          <w:lang w:eastAsia="es-CR"/>
        </w:rPr>
        <w:t xml:space="preserve">el validador </w:t>
      </w:r>
      <w:r w:rsidRPr="00603C8A">
        <w:rPr>
          <w:rFonts w:cs="Arial"/>
          <w:color w:val="000000"/>
          <w:lang w:eastAsia="es-CR"/>
        </w:rPr>
        <w:t>al Sistema Central de Recaudo para su procesamiento</w:t>
      </w:r>
      <w:r>
        <w:rPr>
          <w:rFonts w:cs="Arial"/>
          <w:color w:val="000000"/>
          <w:lang w:eastAsia="es-CR"/>
        </w:rPr>
        <w:t xml:space="preserve">, de acuerdo con las reglas de </w:t>
      </w:r>
      <w:r w:rsidRPr="00603C8A">
        <w:rPr>
          <w:rFonts w:cs="Arial"/>
          <w:color w:val="000000"/>
          <w:lang w:eastAsia="es-CR"/>
        </w:rPr>
        <w:t>liquidación</w:t>
      </w:r>
      <w:r>
        <w:rPr>
          <w:rFonts w:cs="Arial"/>
          <w:color w:val="000000"/>
          <w:lang w:eastAsia="es-CR"/>
        </w:rPr>
        <w:t xml:space="preserve"> del servicio SINPE-TP</w:t>
      </w:r>
      <w:r w:rsidRPr="00793F98">
        <w:t>.</w:t>
      </w:r>
    </w:p>
    <w:p w14:paraId="39B03C12" w14:textId="77777777" w:rsidR="007A7839" w:rsidRDefault="007A7839" w:rsidP="00E23D98">
      <w:pPr>
        <w:pStyle w:val="ListaVietas"/>
        <w:tabs>
          <w:tab w:val="clear" w:pos="425"/>
        </w:tabs>
        <w:spacing w:line="276" w:lineRule="auto"/>
        <w:rPr>
          <w:rFonts w:cs="Arial"/>
        </w:rPr>
      </w:pPr>
      <w:bookmarkStart w:id="19" w:name="_Hlk178585165"/>
      <w:bookmarkEnd w:id="17"/>
      <w:bookmarkEnd w:id="18"/>
      <w:r>
        <w:rPr>
          <w:rFonts w:cs="Arial"/>
        </w:rPr>
        <w:t xml:space="preserve">Marca tardía: registro conocido en la industria de pagos abiertos en el transporte público como </w:t>
      </w:r>
      <w:r>
        <w:rPr>
          <w:rFonts w:cs="Arial"/>
          <w:i/>
          <w:iCs/>
        </w:rPr>
        <w:t>late</w:t>
      </w:r>
      <w:r w:rsidRPr="00793F98">
        <w:rPr>
          <w:rFonts w:cs="Arial"/>
          <w:i/>
          <w:iCs/>
        </w:rPr>
        <w:t xml:space="preserve"> tap</w:t>
      </w:r>
      <w:r>
        <w:rPr>
          <w:rFonts w:cs="Arial"/>
          <w:i/>
          <w:iCs/>
        </w:rPr>
        <w:t xml:space="preserve"> </w:t>
      </w:r>
      <w:r w:rsidRPr="00793F98">
        <w:rPr>
          <w:rFonts w:cs="Arial"/>
        </w:rPr>
        <w:t>(tap tardío</w:t>
      </w:r>
      <w:r w:rsidRPr="001C5271">
        <w:rPr>
          <w:rFonts w:cs="Arial"/>
        </w:rPr>
        <w:t>)</w:t>
      </w:r>
      <w:r>
        <w:rPr>
          <w:rFonts w:cs="Arial"/>
        </w:rPr>
        <w:t>. Se refiere a toda transacción reportada al Sistema Central de Recaudo después de cuatro días naturales de haberse registrado en un validador de SINPE</w:t>
      </w:r>
      <w:r>
        <w:rPr>
          <w:rFonts w:cs="Arial"/>
        </w:rPr>
        <w:noBreakHyphen/>
        <w:t xml:space="preserve">TP. </w:t>
      </w:r>
    </w:p>
    <w:bookmarkEnd w:id="19"/>
    <w:p w14:paraId="38FD6232" w14:textId="77777777" w:rsidR="007A7839" w:rsidRDefault="007A7839" w:rsidP="00E23D98">
      <w:pPr>
        <w:pStyle w:val="ListaVietas"/>
        <w:tabs>
          <w:tab w:val="clear" w:pos="425"/>
        </w:tabs>
        <w:spacing w:line="276" w:lineRule="auto"/>
        <w:rPr>
          <w:rFonts w:cs="Arial"/>
        </w:rPr>
      </w:pPr>
      <w:r w:rsidRPr="00DB60C1">
        <w:rPr>
          <w:rFonts w:cs="Arial"/>
        </w:rPr>
        <w:t xml:space="preserve">Marca </w:t>
      </w:r>
      <w:r w:rsidRPr="00CF176E">
        <w:rPr>
          <w:rFonts w:cs="Arial"/>
        </w:rPr>
        <w:t xml:space="preserve">de tarjetas: empresa con operaciones </w:t>
      </w:r>
      <w:r>
        <w:rPr>
          <w:rFonts w:cs="Arial"/>
        </w:rPr>
        <w:t xml:space="preserve">en el ámbito nacional o </w:t>
      </w:r>
      <w:r w:rsidRPr="00CF176E">
        <w:rPr>
          <w:rFonts w:cs="Arial"/>
        </w:rPr>
        <w:t>internacional que facilita su infraestructura tecnológica para registrar, transportar, procesar, almacenar, compensar o liquidar operaciones realizadas por medio del sistema de tarjetas de pago.</w:t>
      </w:r>
      <w:r>
        <w:rPr>
          <w:rFonts w:cs="Arial"/>
        </w:rPr>
        <w:t xml:space="preserve"> </w:t>
      </w:r>
      <w:r w:rsidRPr="00740B4B">
        <w:rPr>
          <w:rFonts w:cs="Arial"/>
        </w:rPr>
        <w:t xml:space="preserve">En la presente norma </w:t>
      </w:r>
      <w:r>
        <w:rPr>
          <w:rFonts w:cs="Arial"/>
        </w:rPr>
        <w:t xml:space="preserve">complementaria </w:t>
      </w:r>
      <w:r w:rsidRPr="00740B4B">
        <w:rPr>
          <w:rFonts w:cs="Arial"/>
        </w:rPr>
        <w:t>se refiere a las marcas VISA, MasterCard y American Express.</w:t>
      </w:r>
    </w:p>
    <w:p w14:paraId="6BACE1F7" w14:textId="77777777" w:rsidR="007A7839" w:rsidRDefault="007A7839" w:rsidP="00E23D98">
      <w:pPr>
        <w:pStyle w:val="ListaVietas"/>
        <w:tabs>
          <w:tab w:val="clear" w:pos="425"/>
        </w:tabs>
        <w:spacing w:line="276" w:lineRule="auto"/>
        <w:rPr>
          <w:rFonts w:cs="Arial"/>
        </w:rPr>
      </w:pPr>
      <w:r>
        <w:rPr>
          <w:rFonts w:cs="Arial"/>
        </w:rPr>
        <w:t>MOPT: Ministerio de Obras Públicas y Transportes. Es el ente rector del transporte público costarricense.</w:t>
      </w:r>
    </w:p>
    <w:p w14:paraId="6265BDB6" w14:textId="77777777" w:rsidR="007A7839" w:rsidRPr="00CC2DCD" w:rsidRDefault="007A7839" w:rsidP="00E23D98">
      <w:pPr>
        <w:pStyle w:val="ListaVietas"/>
        <w:tabs>
          <w:tab w:val="clear" w:pos="425"/>
        </w:tabs>
        <w:spacing w:line="276" w:lineRule="auto"/>
      </w:pPr>
      <w:r w:rsidRPr="00CC2DCD">
        <w:rPr>
          <w:rFonts w:cs="Arial"/>
        </w:rPr>
        <w:t xml:space="preserve">Operador de transporte: </w:t>
      </w:r>
      <w:r w:rsidRPr="00CC2DCD">
        <w:t xml:space="preserve">persona física o jurídica autorizada por el CTP para la prestación del servicio de transporte público de pasajeros mediante la modalidad </w:t>
      </w:r>
      <w:r>
        <w:t xml:space="preserve">de </w:t>
      </w:r>
      <w:r w:rsidRPr="00CC2DCD">
        <w:t>autobús de ruta regular</w:t>
      </w:r>
      <w:r w:rsidRPr="00CC2DCD">
        <w:rPr>
          <w:rFonts w:cs="Arial"/>
        </w:rPr>
        <w:t>.</w:t>
      </w:r>
      <w:r>
        <w:t xml:space="preserve"> </w:t>
      </w:r>
      <w:r w:rsidRPr="00DF0E20">
        <w:rPr>
          <w:color w:val="000000"/>
        </w:rPr>
        <w:t>La definición también contempla a Incofer y a los operadores de estaciones de peaje</w:t>
      </w:r>
      <w:r w:rsidRPr="00CC2DCD">
        <w:t>.</w:t>
      </w:r>
    </w:p>
    <w:p w14:paraId="742BC80E" w14:textId="77777777" w:rsidR="007A7839" w:rsidRPr="00CF263B" w:rsidRDefault="007A7839" w:rsidP="00E23D98">
      <w:pPr>
        <w:pStyle w:val="ListaVietas"/>
        <w:tabs>
          <w:tab w:val="clear" w:pos="425"/>
        </w:tabs>
        <w:spacing w:line="276" w:lineRule="auto"/>
      </w:pPr>
      <w:r>
        <w:t>Pasajero</w:t>
      </w:r>
      <w:r w:rsidRPr="008A0C76">
        <w:t>: persona física (tarjetahabiente)</w:t>
      </w:r>
      <w:r>
        <w:t xml:space="preserve"> </w:t>
      </w:r>
      <w:r w:rsidRPr="008A0C76">
        <w:t xml:space="preserve">que utiliza los servicios de transporte público y paga el costo del </w:t>
      </w:r>
      <w:r>
        <w:t>viaje</w:t>
      </w:r>
      <w:r w:rsidRPr="008A0C76">
        <w:t xml:space="preserve"> </w:t>
      </w:r>
      <w:r>
        <w:t xml:space="preserve">(tarifa) </w:t>
      </w:r>
      <w:r w:rsidRPr="008A0C76">
        <w:t>por medio del servicio SINPE-TP.</w:t>
      </w:r>
    </w:p>
    <w:p w14:paraId="4EA6B23A" w14:textId="77777777" w:rsidR="007A7839" w:rsidRDefault="007A7839" w:rsidP="00E23D98">
      <w:pPr>
        <w:pStyle w:val="ListaVietas"/>
        <w:tabs>
          <w:tab w:val="clear" w:pos="425"/>
        </w:tabs>
        <w:spacing w:line="276" w:lineRule="auto"/>
      </w:pPr>
      <w:r w:rsidRPr="00CF263B">
        <w:t xml:space="preserve">Pasarela de transporte: también “pasarela de pagos” o simplemente “pasarela”. Se refiere a los servicios de procesamiento de pagos abiertos </w:t>
      </w:r>
      <w:r>
        <w:t xml:space="preserve">(con dispositivos de pago) </w:t>
      </w:r>
      <w:r w:rsidRPr="00CF263B">
        <w:t>que integra SINPE-TP, para enlazar los flujos de información de los validadores con el SCR y los servicios de los dispositivos de pago emitidos por la industria financiera.</w:t>
      </w:r>
    </w:p>
    <w:p w14:paraId="6C103FB2" w14:textId="77777777" w:rsidR="007A7839" w:rsidRPr="00CF263B" w:rsidRDefault="007A7839" w:rsidP="00E23D98">
      <w:pPr>
        <w:pStyle w:val="ListaVietas"/>
        <w:tabs>
          <w:tab w:val="clear" w:pos="425"/>
        </w:tabs>
        <w:spacing w:line="276" w:lineRule="auto"/>
      </w:pPr>
      <w:r w:rsidRPr="00CF263B">
        <w:t>Participante: entidad que desempeña un rol particular en el servicio de validación de SINPE</w:t>
      </w:r>
      <w:r w:rsidRPr="00CF263B">
        <w:noBreakHyphen/>
        <w:t>TP, como los operadores de transporte, proveedores de servicio</w:t>
      </w:r>
      <w:r>
        <w:t>s</w:t>
      </w:r>
      <w:r w:rsidRPr="00CF263B">
        <w:t xml:space="preserve">, proveedores tecnológicos y el BCCR. El proveedor tecnológico participa </w:t>
      </w:r>
      <w:r>
        <w:t xml:space="preserve">a nombre y </w:t>
      </w:r>
      <w:r w:rsidRPr="00CF263B">
        <w:t>por cuenta del operador de transporte que lo contrate.</w:t>
      </w:r>
    </w:p>
    <w:p w14:paraId="46688DB2" w14:textId="77777777" w:rsidR="007A7839" w:rsidRPr="00D62B60" w:rsidRDefault="007A7839" w:rsidP="00E23D98">
      <w:pPr>
        <w:pStyle w:val="ListaVietas"/>
        <w:tabs>
          <w:tab w:val="clear" w:pos="425"/>
        </w:tabs>
        <w:spacing w:line="276" w:lineRule="auto"/>
        <w:rPr>
          <w:rFonts w:cs="Arial"/>
        </w:rPr>
      </w:pPr>
      <w:r w:rsidRPr="00CF176E">
        <w:rPr>
          <w:rFonts w:cs="Arial"/>
          <w:lang w:val="es-ES_tradnl"/>
        </w:rPr>
        <w:t>PCI</w:t>
      </w:r>
      <w:r>
        <w:rPr>
          <w:rFonts w:cs="Arial"/>
          <w:lang w:val="es-ES_tradnl"/>
        </w:rPr>
        <w:t xml:space="preserve"> </w:t>
      </w:r>
      <w:r w:rsidRPr="00CF176E">
        <w:rPr>
          <w:rFonts w:cs="Arial"/>
          <w:lang w:val="es-ES_tradnl"/>
        </w:rPr>
        <w:t xml:space="preserve">DSS: </w:t>
      </w:r>
      <w:r w:rsidRPr="00547ED3">
        <w:rPr>
          <w:rFonts w:cs="Arial"/>
          <w:color w:val="000000"/>
          <w:lang w:eastAsia="es-CR"/>
        </w:rPr>
        <w:t xml:space="preserve">siglas de </w:t>
      </w:r>
      <w:r>
        <w:rPr>
          <w:rFonts w:cs="Arial"/>
          <w:color w:val="000000"/>
          <w:lang w:eastAsia="es-CR"/>
        </w:rPr>
        <w:t>“</w:t>
      </w:r>
      <w:r w:rsidRPr="00CF263B">
        <w:rPr>
          <w:rFonts w:cs="Arial"/>
          <w:i/>
          <w:iCs/>
          <w:color w:val="000000"/>
          <w:lang w:eastAsia="es-CR"/>
        </w:rPr>
        <w:t>Payment Card Industry Data Security Standard</w:t>
      </w:r>
      <w:r>
        <w:rPr>
          <w:rFonts w:cs="Arial"/>
          <w:color w:val="000000"/>
          <w:lang w:eastAsia="es-CR"/>
        </w:rPr>
        <w:t>”</w:t>
      </w:r>
      <w:r w:rsidRPr="00547ED3">
        <w:rPr>
          <w:rFonts w:cs="Arial"/>
          <w:color w:val="000000"/>
          <w:lang w:eastAsia="es-CR"/>
        </w:rPr>
        <w:t xml:space="preserve"> (Estándar de Seguridad de Datos para la Industria de Tarjeta de Pago)</w:t>
      </w:r>
      <w:r>
        <w:rPr>
          <w:rFonts w:cs="Arial"/>
          <w:color w:val="000000"/>
          <w:lang w:eastAsia="es-CR"/>
        </w:rPr>
        <w:t xml:space="preserve">. Es </w:t>
      </w:r>
      <w:r w:rsidRPr="00547ED3">
        <w:rPr>
          <w:rFonts w:cs="Arial"/>
          <w:color w:val="000000"/>
          <w:lang w:eastAsia="es-CR"/>
        </w:rPr>
        <w:t xml:space="preserve">un estándar internacional </w:t>
      </w:r>
      <w:r w:rsidRPr="008B403F">
        <w:rPr>
          <w:rFonts w:cs="Arial"/>
          <w:color w:val="000000"/>
          <w:lang w:eastAsia="es-CR"/>
        </w:rPr>
        <w:t xml:space="preserve">de seguridad de datos </w:t>
      </w:r>
      <w:r w:rsidRPr="00D62B60">
        <w:rPr>
          <w:rFonts w:cs="Arial"/>
          <w:color w:val="000000"/>
          <w:lang w:eastAsia="es-CR"/>
        </w:rPr>
        <w:t>desarrollado para la industria de tarjetas de pago</w:t>
      </w:r>
      <w:r w:rsidRPr="00D62B60">
        <w:rPr>
          <w:rFonts w:cs="Arial"/>
          <w:lang w:val="es-ES_tradnl"/>
        </w:rPr>
        <w:t>.</w:t>
      </w:r>
    </w:p>
    <w:p w14:paraId="3410AD39" w14:textId="77777777" w:rsidR="007A7839" w:rsidRPr="00CF263B" w:rsidRDefault="007A7839" w:rsidP="00E23D98">
      <w:pPr>
        <w:pStyle w:val="ListaVietas"/>
        <w:tabs>
          <w:tab w:val="clear" w:pos="425"/>
        </w:tabs>
        <w:spacing w:line="276" w:lineRule="auto"/>
        <w:rPr>
          <w:rFonts w:cs="Arial"/>
        </w:rPr>
      </w:pPr>
      <w:r w:rsidRPr="00D62B60">
        <w:rPr>
          <w:rFonts w:cs="Arial"/>
        </w:rPr>
        <w:t xml:space="preserve">Proveedor de </w:t>
      </w:r>
      <w:r w:rsidRPr="00D62B60">
        <w:rPr>
          <w:rFonts w:cs="Arial"/>
          <w:lang w:val="es-ES_tradnl"/>
        </w:rPr>
        <w:t>servicios: persona jurídica, pública o privada, que presta algún tipo de servicio como parte de la infraestructura tecnológica y operativa de SINPE-TP.</w:t>
      </w:r>
    </w:p>
    <w:p w14:paraId="7ED22916" w14:textId="77777777" w:rsidR="007A7839" w:rsidRPr="00BD2B5E" w:rsidRDefault="007A7839" w:rsidP="00E23D98">
      <w:pPr>
        <w:pStyle w:val="ListaVietas"/>
        <w:tabs>
          <w:tab w:val="clear" w:pos="425"/>
        </w:tabs>
        <w:spacing w:line="276" w:lineRule="auto"/>
        <w:rPr>
          <w:rFonts w:cs="Arial"/>
        </w:rPr>
      </w:pPr>
      <w:r w:rsidRPr="00CF263B">
        <w:rPr>
          <w:rFonts w:cs="Arial"/>
        </w:rPr>
        <w:t xml:space="preserve">Proveedor tecnológico: empresa autorizada por un fabricante de equipos de validación homologados por el BCCR, para ofrecer en el país </w:t>
      </w:r>
      <w:r>
        <w:rPr>
          <w:rFonts w:cs="Arial"/>
        </w:rPr>
        <w:t>esos</w:t>
      </w:r>
      <w:r w:rsidRPr="00CF263B">
        <w:rPr>
          <w:rFonts w:cs="Arial"/>
        </w:rPr>
        <w:t xml:space="preserve"> equipos a los operadores de transporte, así como servicios de soporte y mantenimiento</w:t>
      </w:r>
      <w:r>
        <w:rPr>
          <w:rFonts w:cs="Arial"/>
        </w:rPr>
        <w:t xml:space="preserve"> relacionados</w:t>
      </w:r>
      <w:r w:rsidRPr="00CF263B">
        <w:rPr>
          <w:rFonts w:cs="Arial"/>
        </w:rPr>
        <w:t>. También puede asesorar a los operadores de transporte en el funcionamiento del servicio de validación de SINPE−TP.</w:t>
      </w:r>
    </w:p>
    <w:p w14:paraId="5F7F38D6" w14:textId="77777777" w:rsidR="007A7839" w:rsidRPr="00266938" w:rsidRDefault="007A7839" w:rsidP="00E23D98">
      <w:pPr>
        <w:pStyle w:val="ListaVietas"/>
        <w:tabs>
          <w:tab w:val="clear" w:pos="425"/>
        </w:tabs>
        <w:spacing w:line="276" w:lineRule="auto"/>
      </w:pPr>
      <w:r w:rsidRPr="00266938">
        <w:rPr>
          <w:rFonts w:cs="Arial"/>
        </w:rPr>
        <w:lastRenderedPageBreak/>
        <w:t xml:space="preserve">Reglamento del Sistema de Pagos: instrumento regulatorio </w:t>
      </w:r>
      <w:r>
        <w:rPr>
          <w:rFonts w:cs="Arial"/>
        </w:rPr>
        <w:t xml:space="preserve">emitido </w:t>
      </w:r>
      <w:r w:rsidRPr="00266938">
        <w:rPr>
          <w:rFonts w:cs="Arial"/>
        </w:rPr>
        <w:t xml:space="preserve">por </w:t>
      </w:r>
      <w:r w:rsidRPr="009237DA">
        <w:rPr>
          <w:rFonts w:cs="Arial"/>
        </w:rPr>
        <w:t xml:space="preserve">la Junta Directiva del </w:t>
      </w:r>
      <w:r w:rsidRPr="00266938">
        <w:rPr>
          <w:rFonts w:cs="Arial"/>
        </w:rPr>
        <w:t>BCCR</w:t>
      </w:r>
      <w:r>
        <w:rPr>
          <w:rFonts w:cs="Arial"/>
        </w:rPr>
        <w:t>, de conformidad con las potestades regulatorias que le confiere el artículo 69 de la ley 7558.</w:t>
      </w:r>
    </w:p>
    <w:p w14:paraId="2EB44FB9" w14:textId="77777777" w:rsidR="007A7839" w:rsidRDefault="007A7839" w:rsidP="00E23D98">
      <w:pPr>
        <w:pStyle w:val="ListaVietas"/>
        <w:tabs>
          <w:tab w:val="clear" w:pos="425"/>
        </w:tabs>
        <w:spacing w:line="276" w:lineRule="auto"/>
      </w:pPr>
      <w:r>
        <w:t xml:space="preserve">Reglamento de SINPE-TP: Reglamento del Sistema Nacional de Pago Electrónico en el Transporte Público, </w:t>
      </w:r>
      <w:r w:rsidRPr="00DD112F">
        <w:rPr>
          <w:rFonts w:cs="Arial"/>
        </w:rPr>
        <w:t>emitido por la Junta Directiva del BCCR</w:t>
      </w:r>
      <w:r>
        <w:rPr>
          <w:rFonts w:cs="Arial"/>
        </w:rPr>
        <w:t xml:space="preserve"> </w:t>
      </w:r>
      <w:r w:rsidRPr="00DD112F">
        <w:rPr>
          <w:rFonts w:cs="Arial"/>
        </w:rPr>
        <w:t>de conformidad con las potestades regulatorias que le confiere el artículo 69 de la ley 7558.</w:t>
      </w:r>
      <w:r>
        <w:t xml:space="preserve"> </w:t>
      </w:r>
    </w:p>
    <w:p w14:paraId="566327D9" w14:textId="77777777" w:rsidR="007A7839" w:rsidRPr="00CF176E" w:rsidRDefault="007A7839" w:rsidP="00E23D98">
      <w:pPr>
        <w:pStyle w:val="ListaVietas"/>
        <w:tabs>
          <w:tab w:val="clear" w:pos="425"/>
        </w:tabs>
        <w:spacing w:line="276" w:lineRule="auto"/>
      </w:pPr>
      <w:r w:rsidRPr="00266938">
        <w:t xml:space="preserve">SINPE: </w:t>
      </w:r>
      <w:bookmarkStart w:id="20" w:name="_Hlk134107763"/>
      <w:r>
        <w:t xml:space="preserve">acrónimo del </w:t>
      </w:r>
      <w:r w:rsidRPr="00266938">
        <w:t>Sistema Nacional de Pagos Electrónicos</w:t>
      </w:r>
      <w:r>
        <w:t xml:space="preserve">. Es </w:t>
      </w:r>
      <w:r w:rsidRPr="00266938">
        <w:t>una plataforma de servicios financieros de</w:t>
      </w:r>
      <w:r w:rsidRPr="00432E74">
        <w:t xml:space="preserve"> pago para la movilización interbancaria de fondos, establecida, regulada y operada por el BCCR</w:t>
      </w:r>
      <w:r>
        <w:t>.</w:t>
      </w:r>
      <w:bookmarkEnd w:id="20"/>
    </w:p>
    <w:p w14:paraId="34FCA027" w14:textId="77777777" w:rsidR="007A7839" w:rsidRDefault="007A7839" w:rsidP="00E23D98">
      <w:pPr>
        <w:pStyle w:val="ListaVietas"/>
        <w:tabs>
          <w:tab w:val="clear" w:pos="425"/>
        </w:tabs>
        <w:spacing w:line="276" w:lineRule="auto"/>
      </w:pPr>
      <w:bookmarkStart w:id="21" w:name="_Hlk134107784"/>
      <w:bookmarkStart w:id="22" w:name="_Hlk134104039"/>
      <w:r w:rsidRPr="00432E74">
        <w:t xml:space="preserve">SINPE-TP: </w:t>
      </w:r>
      <w:r>
        <w:t xml:space="preserve">acrónimo del </w:t>
      </w:r>
      <w:r w:rsidRPr="00432E74">
        <w:t>Sistema Nacional de Pagos Electrónicos en el Transporte Público.</w:t>
      </w:r>
    </w:p>
    <w:bookmarkEnd w:id="21"/>
    <w:p w14:paraId="5A98B65B" w14:textId="77777777" w:rsidR="007A7839" w:rsidRPr="00DB60C1" w:rsidRDefault="007A7839" w:rsidP="00E23D98">
      <w:pPr>
        <w:pStyle w:val="ListaVietas"/>
        <w:tabs>
          <w:tab w:val="clear" w:pos="425"/>
        </w:tabs>
        <w:spacing w:line="276" w:lineRule="auto"/>
      </w:pPr>
      <w:r w:rsidRPr="00CF176E">
        <w:t>Sistema Central de Recaudo</w:t>
      </w:r>
      <w:r>
        <w:t xml:space="preserve"> (SCR)</w:t>
      </w:r>
      <w:r w:rsidRPr="00CF176E">
        <w:t xml:space="preserve">: </w:t>
      </w:r>
      <w:r w:rsidRPr="002140E3">
        <w:t xml:space="preserve">componente de </w:t>
      </w:r>
      <w:r w:rsidRPr="00CF263B">
        <w:rPr>
          <w:i/>
          <w:iCs/>
        </w:rPr>
        <w:t>back office</w:t>
      </w:r>
      <w:r w:rsidRPr="002140E3">
        <w:t xml:space="preserve"> de</w:t>
      </w:r>
      <w:r>
        <w:t>l</w:t>
      </w:r>
      <w:r w:rsidRPr="002140E3">
        <w:t xml:space="preserve"> SINPE-TP que aplica las reglas de transporte en el procesamiento de pagos.</w:t>
      </w:r>
      <w:r>
        <w:t xml:space="preserve"> </w:t>
      </w:r>
      <w:r w:rsidRPr="002140E3">
        <w:t>El SCR funciona integrado a la pasarela de transporte para aplicar las reglas de pagos agregados</w:t>
      </w:r>
      <w:r w:rsidRPr="00DB60C1">
        <w:t>.</w:t>
      </w:r>
    </w:p>
    <w:p w14:paraId="2F98B81F" w14:textId="77777777" w:rsidR="007A7839" w:rsidRPr="00A66BF3" w:rsidRDefault="007A7839" w:rsidP="00E23D98">
      <w:pPr>
        <w:pStyle w:val="ListaVietas"/>
        <w:tabs>
          <w:tab w:val="clear" w:pos="425"/>
        </w:tabs>
        <w:spacing w:line="276" w:lineRule="auto"/>
      </w:pPr>
      <w:bookmarkStart w:id="23" w:name="_Hlk134107869"/>
      <w:bookmarkEnd w:id="22"/>
      <w:r w:rsidRPr="00CF263B">
        <w:t>Transacción</w:t>
      </w:r>
      <w:r w:rsidRPr="00CF263B">
        <w:rPr>
          <w:rFonts w:cs="Arial"/>
          <w:lang w:eastAsia="es-CR"/>
        </w:rPr>
        <w:t>: pago de la tarifa que realiza un pasajero con el uso del mecanismo de SINPE-TP en los servicios de transporte público.</w:t>
      </w:r>
    </w:p>
    <w:p w14:paraId="10DC48CB" w14:textId="77777777" w:rsidR="007A7839" w:rsidRPr="008A0C76" w:rsidRDefault="007A7839" w:rsidP="00E23D98">
      <w:pPr>
        <w:pStyle w:val="ListaVietas"/>
        <w:tabs>
          <w:tab w:val="clear" w:pos="425"/>
        </w:tabs>
        <w:spacing w:line="276" w:lineRule="auto"/>
      </w:pPr>
      <w:r w:rsidRPr="00DB60C1">
        <w:t xml:space="preserve">Transporte público: servicio de transporte </w:t>
      </w:r>
      <w:r>
        <w:t>remunerado</w:t>
      </w:r>
      <w:r w:rsidRPr="00DB60C1">
        <w:t xml:space="preserve"> de </w:t>
      </w:r>
      <w:r>
        <w:t>person</w:t>
      </w:r>
      <w:r w:rsidRPr="008A0C76">
        <w:t xml:space="preserve">as en las modalidades </w:t>
      </w:r>
      <w:r>
        <w:t xml:space="preserve">de </w:t>
      </w:r>
      <w:r w:rsidRPr="008A0C76">
        <w:t>autobús de ruta regular</w:t>
      </w:r>
      <w:r w:rsidRPr="00B64802">
        <w:t xml:space="preserve"> y tren de pasajeros</w:t>
      </w:r>
      <w:r w:rsidRPr="008A0C76">
        <w:t>.</w:t>
      </w:r>
    </w:p>
    <w:bookmarkEnd w:id="23"/>
    <w:p w14:paraId="6DE14AD1" w14:textId="77777777" w:rsidR="007A7839" w:rsidRPr="008A0C76" w:rsidRDefault="007A7839" w:rsidP="00E23D98">
      <w:pPr>
        <w:pStyle w:val="ListaVietas"/>
        <w:tabs>
          <w:tab w:val="clear" w:pos="425"/>
        </w:tabs>
        <w:spacing w:line="276" w:lineRule="auto"/>
      </w:pPr>
      <w:r w:rsidRPr="008A0C76">
        <w:t>Unidad de transporte: autobús o tren ferroviario de pasajeros con sus respectivos vagones</w:t>
      </w:r>
      <w:r w:rsidRPr="00B64802">
        <w:t>, según corresponda para</w:t>
      </w:r>
      <w:r>
        <w:t xml:space="preserve"> </w:t>
      </w:r>
      <w:r w:rsidRPr="00B64802">
        <w:t xml:space="preserve">las modalidades de transporte público en las que funciona la plataforma de </w:t>
      </w:r>
      <w:r>
        <w:t xml:space="preserve">pagos de </w:t>
      </w:r>
      <w:r w:rsidRPr="00B64802">
        <w:t>SINPE-TP.</w:t>
      </w:r>
    </w:p>
    <w:p w14:paraId="7700212B" w14:textId="77777777" w:rsidR="007A7839" w:rsidRDefault="007A7839" w:rsidP="00E23D98">
      <w:pPr>
        <w:pStyle w:val="ListaVietas"/>
        <w:tabs>
          <w:tab w:val="clear" w:pos="425"/>
        </w:tabs>
        <w:spacing w:line="276" w:lineRule="auto"/>
      </w:pPr>
      <w:bookmarkStart w:id="24" w:name="_Hlk134104820"/>
      <w:r w:rsidRPr="007964FB">
        <w:t xml:space="preserve">Validador: </w:t>
      </w:r>
      <w:bookmarkStart w:id="25" w:name="_Hlk214538032"/>
      <w:r w:rsidRPr="004D7401">
        <w:rPr>
          <w:rFonts w:cs="Arial"/>
        </w:rPr>
        <w:t>equipo de validación homologado por el BCCR, configurado y acoplado para operar en la plataforma tecnológica de SINPE-TP.</w:t>
      </w:r>
      <w:r w:rsidRPr="004D7401">
        <w:rPr>
          <w:rFonts w:cs="Arial"/>
          <w:lang w:eastAsia="es-CR"/>
        </w:rPr>
        <w:t xml:space="preserve"> Un validador está integrado por un lector independiente de dispositivos de pago </w:t>
      </w:r>
      <w:r w:rsidRPr="004D7401">
        <w:rPr>
          <w:rFonts w:cs="Arial"/>
          <w:i/>
          <w:iCs/>
          <w:lang w:eastAsia="es-CR"/>
        </w:rPr>
        <w:t>EMV-Contactless</w:t>
      </w:r>
      <w:r w:rsidRPr="004D7401">
        <w:rPr>
          <w:rFonts w:cs="Arial"/>
          <w:lang w:eastAsia="es-CR"/>
        </w:rPr>
        <w:t xml:space="preserve">, así como por elementos periféricos tales como pantalla, bocina, </w:t>
      </w:r>
      <w:r>
        <w:rPr>
          <w:rFonts w:cs="Arial"/>
          <w:lang w:eastAsia="es-CR"/>
        </w:rPr>
        <w:t xml:space="preserve">dispositivo </w:t>
      </w:r>
      <w:r w:rsidRPr="004D7401">
        <w:rPr>
          <w:rFonts w:cs="Arial"/>
          <w:lang w:eastAsia="es-CR"/>
        </w:rPr>
        <w:t>GPS</w:t>
      </w:r>
      <w:r>
        <w:rPr>
          <w:rFonts w:cs="Arial"/>
          <w:lang w:eastAsia="es-CR"/>
        </w:rPr>
        <w:t xml:space="preserve"> </w:t>
      </w:r>
      <w:r w:rsidRPr="004D7401">
        <w:rPr>
          <w:rFonts w:cs="Arial"/>
          <w:lang w:eastAsia="es-CR"/>
        </w:rPr>
        <w:t>u otros, y es utilizado para registrar y enviar transacciones al Sistema Central de Recaudo</w:t>
      </w:r>
      <w:bookmarkEnd w:id="25"/>
      <w:r w:rsidRPr="004D7401">
        <w:rPr>
          <w:rFonts w:cs="Arial"/>
          <w:lang w:eastAsia="es-CR"/>
        </w:rPr>
        <w:t>.</w:t>
      </w:r>
      <w:r>
        <w:rPr>
          <w:rFonts w:cs="Arial"/>
          <w:lang w:eastAsia="es-CR"/>
        </w:rPr>
        <w:t xml:space="preserve"> En rutas de tarifa fraccionada, el validador también integra una consola</w:t>
      </w:r>
      <w:r w:rsidRPr="007964FB">
        <w:t>.</w:t>
      </w:r>
    </w:p>
    <w:bookmarkEnd w:id="24"/>
    <w:p w14:paraId="5B056887" w14:textId="77777777" w:rsidR="007A7839" w:rsidRPr="00DB60C1" w:rsidRDefault="007A7839" w:rsidP="00E23D98">
      <w:pPr>
        <w:pStyle w:val="ListaVietas"/>
        <w:tabs>
          <w:tab w:val="clear" w:pos="425"/>
        </w:tabs>
        <w:spacing w:line="276" w:lineRule="auto"/>
      </w:pPr>
      <w:r w:rsidRPr="00DB60C1">
        <w:t xml:space="preserve">Wearable: dispositivo </w:t>
      </w:r>
      <w:r>
        <w:t xml:space="preserve">tecnológico </w:t>
      </w:r>
      <w:r w:rsidRPr="00DB60C1">
        <w:t xml:space="preserve">como teléfono celular, tableta, brazalete, reloj, anillo y cualquier otro objeto que pueda contener un microprocesador criptográfico con el estándar </w:t>
      </w:r>
      <w:r w:rsidRPr="003A264C">
        <w:t>EMV</w:t>
      </w:r>
      <w:r w:rsidRPr="00DB60C1">
        <w:t xml:space="preserve"> y que cumpl</w:t>
      </w:r>
      <w:r w:rsidRPr="00FF34FD">
        <w:t>e</w:t>
      </w:r>
      <w:r w:rsidRPr="00DB60C1">
        <w:t xml:space="preserve"> con las mismas funciones de una tarjeta de pago</w:t>
      </w:r>
      <w:r>
        <w:t xml:space="preserve"> sin contacto</w:t>
      </w:r>
      <w:r w:rsidRPr="00DB60C1">
        <w:t>.</w:t>
      </w:r>
    </w:p>
    <w:p w14:paraId="7987F142" w14:textId="77777777" w:rsidR="007A7839" w:rsidRDefault="007A7839" w:rsidP="00E23D98">
      <w:pPr>
        <w:pStyle w:val="ListaVietas"/>
        <w:numPr>
          <w:ilvl w:val="0"/>
          <w:numId w:val="0"/>
        </w:numPr>
        <w:spacing w:line="276" w:lineRule="auto"/>
        <w:ind w:left="57"/>
      </w:pPr>
      <w:r w:rsidRPr="00DB60C1">
        <w:t xml:space="preserve">Otros términos relacionados con el sistema de pagos nacional pueden consultarse en la </w:t>
      </w:r>
      <w:r w:rsidRPr="00756514">
        <w:t>“Norma Complementaria - Glosario General”</w:t>
      </w:r>
      <w:r w:rsidRPr="00DB60C1">
        <w:t>, de la Serie de Normas y Procedimientos del SINPE</w:t>
      </w:r>
      <w:r w:rsidRPr="00564794">
        <w:t>.</w:t>
      </w:r>
    </w:p>
    <w:p w14:paraId="6F3F7898" w14:textId="77777777" w:rsidR="007A7839" w:rsidRPr="00E71D76" w:rsidRDefault="007A7839" w:rsidP="00E23D98">
      <w:pPr>
        <w:pStyle w:val="Ttulo2"/>
        <w:numPr>
          <w:ilvl w:val="1"/>
          <w:numId w:val="3"/>
        </w:numPr>
        <w:tabs>
          <w:tab w:val="clear" w:pos="510"/>
        </w:tabs>
        <w:spacing w:line="276" w:lineRule="auto"/>
        <w:ind w:left="567" w:hanging="567"/>
      </w:pPr>
      <w:bookmarkStart w:id="26" w:name="_Toc213828751"/>
      <w:bookmarkStart w:id="27" w:name="_Toc216697935"/>
      <w:r>
        <w:t>Regulación relacionada</w:t>
      </w:r>
      <w:bookmarkEnd w:id="26"/>
      <w:bookmarkEnd w:id="27"/>
    </w:p>
    <w:tbl>
      <w:tblPr>
        <w:tblW w:w="8554" w:type="dxa"/>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1467"/>
        <w:gridCol w:w="7087"/>
      </w:tblGrid>
      <w:tr w:rsidR="007A7839" w14:paraId="26D3194D" w14:textId="77777777" w:rsidTr="00C91541">
        <w:trPr>
          <w:cantSplit/>
          <w:tblHeader/>
        </w:trPr>
        <w:tc>
          <w:tcPr>
            <w:tcW w:w="1467" w:type="dxa"/>
            <w:shd w:val="clear" w:color="auto" w:fill="44546A" w:themeFill="text2"/>
            <w:vAlign w:val="center"/>
          </w:tcPr>
          <w:p w14:paraId="710256BA" w14:textId="77777777" w:rsidR="007A7839" w:rsidRPr="00CF263B" w:rsidRDefault="007A7839" w:rsidP="00E23D98">
            <w:pPr>
              <w:pStyle w:val="TtuloTabla"/>
              <w:spacing w:line="276" w:lineRule="auto"/>
              <w:rPr>
                <w:rFonts w:ascii="Arial" w:hAnsi="Arial" w:cs="Arial"/>
                <w:color w:val="FFFFFF"/>
                <w:sz w:val="20"/>
                <w:szCs w:val="20"/>
              </w:rPr>
            </w:pPr>
            <w:r w:rsidRPr="00CF263B">
              <w:rPr>
                <w:rFonts w:ascii="Arial" w:hAnsi="Arial" w:cs="Arial"/>
                <w:color w:val="FFFFFF"/>
                <w:sz w:val="20"/>
                <w:szCs w:val="20"/>
              </w:rPr>
              <w:t>Referencias</w:t>
            </w:r>
          </w:p>
        </w:tc>
        <w:tc>
          <w:tcPr>
            <w:tcW w:w="7087" w:type="dxa"/>
            <w:shd w:val="clear" w:color="auto" w:fill="44546A" w:themeFill="text2"/>
            <w:vAlign w:val="center"/>
          </w:tcPr>
          <w:p w14:paraId="01C612FD" w14:textId="77777777" w:rsidR="007A7839" w:rsidRPr="00CF263B" w:rsidRDefault="007A7839" w:rsidP="00E23D98">
            <w:pPr>
              <w:pStyle w:val="TtuloTabla"/>
              <w:spacing w:line="276" w:lineRule="auto"/>
              <w:rPr>
                <w:rFonts w:ascii="Arial" w:hAnsi="Arial" w:cs="Arial"/>
                <w:color w:val="FFFFFF"/>
                <w:sz w:val="20"/>
                <w:szCs w:val="20"/>
              </w:rPr>
            </w:pPr>
            <w:r w:rsidRPr="00CF263B">
              <w:rPr>
                <w:rFonts w:ascii="Arial" w:hAnsi="Arial" w:cs="Arial"/>
                <w:color w:val="FFFFFF"/>
                <w:sz w:val="20"/>
                <w:szCs w:val="20"/>
              </w:rPr>
              <w:t>Nombre del documento</w:t>
            </w:r>
          </w:p>
        </w:tc>
      </w:tr>
      <w:tr w:rsidR="007A7839" w:rsidRPr="00297035" w14:paraId="4112EAB6" w14:textId="77777777" w:rsidTr="005243DB">
        <w:trPr>
          <w:cantSplit/>
        </w:trPr>
        <w:tc>
          <w:tcPr>
            <w:tcW w:w="1467" w:type="dxa"/>
            <w:shd w:val="clear" w:color="auto" w:fill="F2F2F2"/>
            <w:vAlign w:val="center"/>
          </w:tcPr>
          <w:p w14:paraId="0B7E6AF5" w14:textId="77777777" w:rsidR="007A7839" w:rsidRPr="00197317" w:rsidRDefault="007A7839" w:rsidP="00E23D98">
            <w:pPr>
              <w:pStyle w:val="TextoTablaCentrado"/>
              <w:spacing w:before="40" w:after="40" w:line="276" w:lineRule="auto"/>
              <w:rPr>
                <w:rFonts w:ascii="Arial" w:hAnsi="Arial" w:cs="Arial"/>
                <w:sz w:val="20"/>
                <w:szCs w:val="20"/>
              </w:rPr>
            </w:pPr>
            <w:r w:rsidRPr="00197317">
              <w:rPr>
                <w:rFonts w:ascii="Arial" w:hAnsi="Arial" w:cs="Arial"/>
                <w:sz w:val="20"/>
                <w:szCs w:val="20"/>
              </w:rPr>
              <w:t>RS</w:t>
            </w:r>
            <w:r w:rsidRPr="00CF263B">
              <w:rPr>
                <w:rFonts w:ascii="Arial" w:hAnsi="Arial" w:cs="Arial"/>
                <w:sz w:val="20"/>
                <w:szCs w:val="20"/>
              </w:rPr>
              <w:t>T</w:t>
            </w:r>
            <w:r w:rsidRPr="00197317">
              <w:rPr>
                <w:rFonts w:ascii="Arial" w:hAnsi="Arial" w:cs="Arial"/>
                <w:sz w:val="20"/>
                <w:szCs w:val="20"/>
              </w:rPr>
              <w:t>P</w:t>
            </w:r>
          </w:p>
        </w:tc>
        <w:tc>
          <w:tcPr>
            <w:tcW w:w="7087" w:type="dxa"/>
            <w:shd w:val="clear" w:color="auto" w:fill="F2F2F2"/>
            <w:vAlign w:val="center"/>
          </w:tcPr>
          <w:p w14:paraId="0BD9E42B" w14:textId="77777777" w:rsidR="007A7839" w:rsidRPr="00197317" w:rsidRDefault="007A7839" w:rsidP="00E23D98">
            <w:pPr>
              <w:pStyle w:val="TextoTablaJustificado"/>
              <w:spacing w:before="40" w:after="40" w:line="276" w:lineRule="auto"/>
              <w:ind w:left="144" w:right="149" w:hanging="2"/>
              <w:rPr>
                <w:rFonts w:ascii="Arial" w:hAnsi="Arial" w:cs="Arial"/>
                <w:sz w:val="20"/>
                <w:szCs w:val="20"/>
              </w:rPr>
            </w:pPr>
            <w:r w:rsidRPr="00197317">
              <w:rPr>
                <w:rFonts w:ascii="Arial" w:hAnsi="Arial" w:cs="Arial"/>
                <w:sz w:val="20"/>
                <w:szCs w:val="20"/>
              </w:rPr>
              <w:t xml:space="preserve">Reglamento </w:t>
            </w:r>
            <w:r w:rsidRPr="00CF263B">
              <w:rPr>
                <w:rFonts w:ascii="Arial" w:hAnsi="Arial" w:cs="Arial"/>
                <w:sz w:val="20"/>
                <w:szCs w:val="20"/>
              </w:rPr>
              <w:t xml:space="preserve">del Sistema de Pago Electrónico en el Transporte Público </w:t>
            </w:r>
            <w:r w:rsidRPr="00197317">
              <w:rPr>
                <w:rFonts w:ascii="Arial" w:hAnsi="Arial" w:cs="Arial"/>
                <w:sz w:val="20"/>
                <w:szCs w:val="20"/>
              </w:rPr>
              <w:t>SINPE-TP</w:t>
            </w:r>
            <w:r w:rsidRPr="00CF263B">
              <w:rPr>
                <w:rFonts w:ascii="Arial" w:hAnsi="Arial" w:cs="Arial"/>
                <w:sz w:val="20"/>
                <w:szCs w:val="20"/>
              </w:rPr>
              <w:t>.</w:t>
            </w:r>
          </w:p>
        </w:tc>
      </w:tr>
      <w:tr w:rsidR="007A7839" w:rsidRPr="00297035" w14:paraId="70867A28" w14:textId="77777777" w:rsidTr="005243DB">
        <w:trPr>
          <w:cantSplit/>
        </w:trPr>
        <w:tc>
          <w:tcPr>
            <w:tcW w:w="1467" w:type="dxa"/>
            <w:shd w:val="clear" w:color="auto" w:fill="F2F2F2"/>
            <w:vAlign w:val="center"/>
          </w:tcPr>
          <w:p w14:paraId="0DC31E96" w14:textId="77777777" w:rsidR="007A7839" w:rsidRPr="00197317" w:rsidRDefault="007A7839" w:rsidP="00E23D98">
            <w:pPr>
              <w:pStyle w:val="TextoTablaCentrado"/>
              <w:spacing w:before="40" w:after="40" w:line="276" w:lineRule="auto"/>
              <w:rPr>
                <w:rFonts w:ascii="Arial" w:hAnsi="Arial" w:cs="Arial"/>
                <w:sz w:val="20"/>
                <w:szCs w:val="20"/>
              </w:rPr>
            </w:pPr>
            <w:r w:rsidRPr="00197317">
              <w:rPr>
                <w:rFonts w:ascii="Arial" w:hAnsi="Arial" w:cs="Arial"/>
                <w:sz w:val="20"/>
                <w:szCs w:val="20"/>
              </w:rPr>
              <w:t>RSP</w:t>
            </w:r>
          </w:p>
        </w:tc>
        <w:tc>
          <w:tcPr>
            <w:tcW w:w="7087" w:type="dxa"/>
            <w:shd w:val="clear" w:color="auto" w:fill="F2F2F2"/>
            <w:vAlign w:val="center"/>
          </w:tcPr>
          <w:p w14:paraId="11792B80" w14:textId="77777777" w:rsidR="007A7839" w:rsidRPr="00197317" w:rsidRDefault="007A7839" w:rsidP="00E23D98">
            <w:pPr>
              <w:pStyle w:val="TextoTablaJustificado"/>
              <w:spacing w:before="40" w:after="40" w:line="276" w:lineRule="auto"/>
              <w:ind w:left="144" w:right="149" w:hanging="2"/>
              <w:rPr>
                <w:rFonts w:ascii="Arial" w:hAnsi="Arial" w:cs="Arial"/>
                <w:sz w:val="20"/>
                <w:szCs w:val="20"/>
              </w:rPr>
            </w:pPr>
            <w:r w:rsidRPr="00197317">
              <w:rPr>
                <w:rFonts w:ascii="Arial" w:hAnsi="Arial" w:cs="Arial"/>
                <w:sz w:val="20"/>
                <w:szCs w:val="20"/>
              </w:rPr>
              <w:t>Reglamento del Sistema de Pagos.</w:t>
            </w:r>
          </w:p>
        </w:tc>
      </w:tr>
      <w:tr w:rsidR="007A7839" w:rsidRPr="00297035" w14:paraId="77816DF9" w14:textId="77777777" w:rsidTr="005243DB">
        <w:trPr>
          <w:cantSplit/>
        </w:trPr>
        <w:tc>
          <w:tcPr>
            <w:tcW w:w="1467" w:type="dxa"/>
            <w:shd w:val="clear" w:color="auto" w:fill="F2F2F2"/>
            <w:vAlign w:val="center"/>
          </w:tcPr>
          <w:p w14:paraId="72093442" w14:textId="77777777" w:rsidR="007A7839" w:rsidRPr="00197317" w:rsidRDefault="007A7839" w:rsidP="00E23D98">
            <w:pPr>
              <w:pStyle w:val="TextoTablaCentrado"/>
              <w:spacing w:before="40" w:after="40" w:line="276" w:lineRule="auto"/>
              <w:rPr>
                <w:rFonts w:ascii="Arial" w:hAnsi="Arial" w:cs="Arial"/>
                <w:sz w:val="20"/>
                <w:szCs w:val="20"/>
              </w:rPr>
            </w:pPr>
            <w:r w:rsidRPr="00197317">
              <w:rPr>
                <w:rFonts w:ascii="Arial" w:hAnsi="Arial" w:cs="Arial"/>
                <w:sz w:val="20"/>
                <w:szCs w:val="20"/>
              </w:rPr>
              <w:t>RST</w:t>
            </w:r>
          </w:p>
        </w:tc>
        <w:tc>
          <w:tcPr>
            <w:tcW w:w="7087" w:type="dxa"/>
            <w:shd w:val="clear" w:color="auto" w:fill="F2F2F2"/>
            <w:vAlign w:val="center"/>
          </w:tcPr>
          <w:p w14:paraId="6626BF2F" w14:textId="77777777" w:rsidR="007A7839" w:rsidRPr="00197317" w:rsidRDefault="007A7839" w:rsidP="00E23D98">
            <w:pPr>
              <w:pStyle w:val="TextoTablaJustificado"/>
              <w:spacing w:before="40" w:after="40" w:line="276" w:lineRule="auto"/>
              <w:ind w:left="144" w:right="149" w:hanging="2"/>
              <w:rPr>
                <w:rFonts w:ascii="Arial" w:hAnsi="Arial" w:cs="Arial"/>
                <w:sz w:val="20"/>
                <w:szCs w:val="20"/>
              </w:rPr>
            </w:pPr>
            <w:r w:rsidRPr="00197317">
              <w:rPr>
                <w:rFonts w:ascii="Arial" w:hAnsi="Arial" w:cs="Arial"/>
                <w:sz w:val="20"/>
                <w:szCs w:val="20"/>
              </w:rPr>
              <w:t>Reglamento del Sistema de Tarjetas de Pago.</w:t>
            </w:r>
          </w:p>
        </w:tc>
      </w:tr>
      <w:tr w:rsidR="007A7839" w:rsidRPr="00297035" w14:paraId="753559EA" w14:textId="77777777" w:rsidTr="005243DB">
        <w:trPr>
          <w:cantSplit/>
        </w:trPr>
        <w:tc>
          <w:tcPr>
            <w:tcW w:w="1467" w:type="dxa"/>
            <w:shd w:val="clear" w:color="auto" w:fill="F2F2F2"/>
            <w:vAlign w:val="center"/>
          </w:tcPr>
          <w:p w14:paraId="3B64EBFC" w14:textId="77777777" w:rsidR="007A7839" w:rsidRPr="00197317" w:rsidRDefault="007A7839" w:rsidP="00E23D98">
            <w:pPr>
              <w:pStyle w:val="TextoTablaCentrado"/>
              <w:spacing w:before="40" w:after="40" w:line="276" w:lineRule="auto"/>
              <w:rPr>
                <w:rFonts w:ascii="Arial" w:hAnsi="Arial" w:cs="Arial"/>
                <w:sz w:val="20"/>
                <w:szCs w:val="20"/>
              </w:rPr>
            </w:pPr>
            <w:r w:rsidRPr="00197317">
              <w:rPr>
                <w:rFonts w:ascii="Arial" w:hAnsi="Arial" w:cs="Arial"/>
                <w:sz w:val="20"/>
                <w:szCs w:val="20"/>
              </w:rPr>
              <w:t>NT-STP</w:t>
            </w:r>
          </w:p>
        </w:tc>
        <w:tc>
          <w:tcPr>
            <w:tcW w:w="7087" w:type="dxa"/>
            <w:shd w:val="clear" w:color="auto" w:fill="F2F2F2"/>
            <w:vAlign w:val="center"/>
          </w:tcPr>
          <w:p w14:paraId="29BDE635" w14:textId="77777777" w:rsidR="007A7839" w:rsidRPr="00197317" w:rsidRDefault="007A7839" w:rsidP="00E23D98">
            <w:pPr>
              <w:pStyle w:val="TextoTablaJustificado"/>
              <w:spacing w:before="40" w:after="40" w:line="276" w:lineRule="auto"/>
              <w:ind w:left="144" w:right="149" w:hanging="2"/>
              <w:rPr>
                <w:rFonts w:ascii="Arial" w:hAnsi="Arial" w:cs="Arial"/>
                <w:sz w:val="20"/>
                <w:szCs w:val="20"/>
              </w:rPr>
            </w:pPr>
            <w:r w:rsidRPr="00197317">
              <w:rPr>
                <w:rFonts w:ascii="Arial" w:hAnsi="Arial" w:cs="Arial"/>
                <w:sz w:val="20"/>
                <w:szCs w:val="20"/>
              </w:rPr>
              <w:t xml:space="preserve">Norma Técnica </w:t>
            </w:r>
            <w:r>
              <w:rPr>
                <w:rFonts w:ascii="Arial" w:hAnsi="Arial" w:cs="Arial"/>
                <w:sz w:val="20"/>
                <w:szCs w:val="20"/>
              </w:rPr>
              <w:t>-</w:t>
            </w:r>
            <w:r w:rsidRPr="00197317">
              <w:rPr>
                <w:rFonts w:ascii="Arial" w:hAnsi="Arial" w:cs="Arial"/>
                <w:sz w:val="20"/>
                <w:szCs w:val="20"/>
              </w:rPr>
              <w:t xml:space="preserve"> Homologación de Validadores para SINPE-TP.</w:t>
            </w:r>
          </w:p>
        </w:tc>
      </w:tr>
      <w:tr w:rsidR="007A7839" w:rsidRPr="00297035" w14:paraId="00E50B2D" w14:textId="77777777" w:rsidTr="005243DB">
        <w:trPr>
          <w:cantSplit/>
        </w:trPr>
        <w:tc>
          <w:tcPr>
            <w:tcW w:w="1467" w:type="dxa"/>
            <w:shd w:val="clear" w:color="auto" w:fill="F2F2F2"/>
            <w:vAlign w:val="center"/>
          </w:tcPr>
          <w:p w14:paraId="1AC75DF8" w14:textId="77777777" w:rsidR="007A7839" w:rsidRPr="00197317" w:rsidRDefault="007A7839" w:rsidP="00E23D98">
            <w:pPr>
              <w:pStyle w:val="TextoTablaCentrado"/>
              <w:spacing w:before="40" w:after="40" w:line="276" w:lineRule="auto"/>
              <w:rPr>
                <w:rFonts w:ascii="Arial" w:hAnsi="Arial" w:cs="Arial"/>
                <w:sz w:val="20"/>
                <w:szCs w:val="20"/>
              </w:rPr>
            </w:pPr>
            <w:r w:rsidRPr="00197317">
              <w:rPr>
                <w:rFonts w:ascii="Arial" w:hAnsi="Arial" w:cs="Arial"/>
                <w:sz w:val="20"/>
                <w:szCs w:val="20"/>
              </w:rPr>
              <w:t>NT-STP</w:t>
            </w:r>
          </w:p>
        </w:tc>
        <w:tc>
          <w:tcPr>
            <w:tcW w:w="7087" w:type="dxa"/>
            <w:shd w:val="clear" w:color="auto" w:fill="F2F2F2"/>
            <w:vAlign w:val="center"/>
          </w:tcPr>
          <w:p w14:paraId="6D6CC596" w14:textId="77777777" w:rsidR="007A7839" w:rsidRPr="00197317" w:rsidRDefault="007A7839" w:rsidP="00E23D98">
            <w:pPr>
              <w:pStyle w:val="TextoTablaJustificado"/>
              <w:spacing w:before="40" w:after="40" w:line="276" w:lineRule="auto"/>
              <w:ind w:left="144" w:right="149" w:hanging="2"/>
              <w:rPr>
                <w:rFonts w:ascii="Arial" w:hAnsi="Arial" w:cs="Arial"/>
                <w:sz w:val="20"/>
                <w:szCs w:val="20"/>
              </w:rPr>
            </w:pPr>
            <w:r w:rsidRPr="00197317">
              <w:rPr>
                <w:rFonts w:ascii="Arial" w:hAnsi="Arial" w:cs="Arial"/>
                <w:sz w:val="20"/>
                <w:szCs w:val="20"/>
              </w:rPr>
              <w:t xml:space="preserve">Norma Técnica </w:t>
            </w:r>
            <w:r>
              <w:rPr>
                <w:rFonts w:ascii="Arial" w:hAnsi="Arial" w:cs="Arial"/>
                <w:sz w:val="20"/>
                <w:szCs w:val="20"/>
              </w:rPr>
              <w:t>-</w:t>
            </w:r>
            <w:r w:rsidRPr="00197317">
              <w:rPr>
                <w:rFonts w:ascii="Arial" w:hAnsi="Arial" w:cs="Arial"/>
                <w:sz w:val="20"/>
                <w:szCs w:val="20"/>
              </w:rPr>
              <w:t xml:space="preserve"> Operación del Servicio de Validación de SINPE-TP.</w:t>
            </w:r>
          </w:p>
        </w:tc>
      </w:tr>
      <w:tr w:rsidR="007A7839" w:rsidRPr="00297035" w14:paraId="30696033" w14:textId="77777777" w:rsidTr="005243DB">
        <w:trPr>
          <w:cantSplit/>
        </w:trPr>
        <w:tc>
          <w:tcPr>
            <w:tcW w:w="1467" w:type="dxa"/>
            <w:shd w:val="clear" w:color="auto" w:fill="F2F2F2"/>
            <w:vAlign w:val="center"/>
          </w:tcPr>
          <w:p w14:paraId="6DEA5E3D" w14:textId="77777777" w:rsidR="007A7839" w:rsidRPr="00197317" w:rsidRDefault="007A7839" w:rsidP="00E23D98">
            <w:pPr>
              <w:pStyle w:val="TextoTablaCentrado"/>
              <w:spacing w:before="40" w:after="40" w:line="276" w:lineRule="auto"/>
              <w:rPr>
                <w:rFonts w:ascii="Arial" w:hAnsi="Arial" w:cs="Arial"/>
                <w:sz w:val="20"/>
                <w:szCs w:val="20"/>
              </w:rPr>
            </w:pPr>
            <w:r w:rsidRPr="00197317">
              <w:rPr>
                <w:rFonts w:ascii="Arial" w:hAnsi="Arial" w:cs="Arial"/>
                <w:sz w:val="20"/>
                <w:szCs w:val="20"/>
              </w:rPr>
              <w:t>NT-STP</w:t>
            </w:r>
          </w:p>
        </w:tc>
        <w:tc>
          <w:tcPr>
            <w:tcW w:w="7087" w:type="dxa"/>
            <w:shd w:val="clear" w:color="auto" w:fill="F2F2F2"/>
            <w:vAlign w:val="center"/>
          </w:tcPr>
          <w:p w14:paraId="532E4066" w14:textId="77777777" w:rsidR="007A7839" w:rsidRPr="00197317" w:rsidRDefault="007A7839" w:rsidP="00E23D98">
            <w:pPr>
              <w:pStyle w:val="TextoTablaJustificado"/>
              <w:spacing w:before="40" w:after="40" w:line="276" w:lineRule="auto"/>
              <w:ind w:left="144" w:right="149" w:hanging="2"/>
              <w:rPr>
                <w:rFonts w:ascii="Arial" w:hAnsi="Arial" w:cs="Arial"/>
                <w:sz w:val="20"/>
                <w:szCs w:val="20"/>
              </w:rPr>
            </w:pPr>
            <w:r w:rsidRPr="00197317">
              <w:rPr>
                <w:rFonts w:ascii="Arial" w:hAnsi="Arial" w:cs="Arial"/>
                <w:sz w:val="20"/>
                <w:szCs w:val="20"/>
              </w:rPr>
              <w:t>Norma Técnica - Estándar Electrónico para la Comunicación con Adquirentes.</w:t>
            </w:r>
          </w:p>
        </w:tc>
      </w:tr>
      <w:tr w:rsidR="007A7839" w:rsidRPr="00297035" w14:paraId="6582CAC5" w14:textId="77777777" w:rsidTr="005243DB">
        <w:trPr>
          <w:cantSplit/>
        </w:trPr>
        <w:tc>
          <w:tcPr>
            <w:tcW w:w="1467" w:type="dxa"/>
            <w:shd w:val="clear" w:color="auto" w:fill="F2F2F2"/>
            <w:vAlign w:val="center"/>
          </w:tcPr>
          <w:p w14:paraId="559C4185" w14:textId="77777777" w:rsidR="007A7839" w:rsidRPr="00197317" w:rsidRDefault="007A7839" w:rsidP="00E23D98">
            <w:pPr>
              <w:pStyle w:val="TextoTablaCentrado"/>
              <w:spacing w:before="40" w:after="40" w:line="276" w:lineRule="auto"/>
              <w:rPr>
                <w:rFonts w:ascii="Arial" w:hAnsi="Arial" w:cs="Arial"/>
                <w:sz w:val="20"/>
                <w:szCs w:val="20"/>
              </w:rPr>
            </w:pPr>
            <w:r w:rsidRPr="00197317">
              <w:rPr>
                <w:rFonts w:ascii="Arial" w:hAnsi="Arial" w:cs="Arial"/>
                <w:sz w:val="20"/>
                <w:szCs w:val="20"/>
              </w:rPr>
              <w:lastRenderedPageBreak/>
              <w:t>NT-STP</w:t>
            </w:r>
          </w:p>
        </w:tc>
        <w:tc>
          <w:tcPr>
            <w:tcW w:w="7087" w:type="dxa"/>
            <w:shd w:val="clear" w:color="auto" w:fill="F2F2F2"/>
            <w:vAlign w:val="center"/>
          </w:tcPr>
          <w:p w14:paraId="668A5F9C" w14:textId="77777777" w:rsidR="007A7839" w:rsidRPr="00197317" w:rsidRDefault="007A7839" w:rsidP="00E23D98">
            <w:pPr>
              <w:pStyle w:val="TextoTablaJustificado"/>
              <w:spacing w:before="40" w:after="40" w:line="276" w:lineRule="auto"/>
              <w:ind w:left="144" w:right="149" w:hanging="2"/>
              <w:rPr>
                <w:rFonts w:ascii="Arial" w:hAnsi="Arial" w:cs="Arial"/>
                <w:sz w:val="20"/>
                <w:szCs w:val="20"/>
              </w:rPr>
            </w:pPr>
            <w:r w:rsidRPr="00197317">
              <w:rPr>
                <w:rFonts w:ascii="Arial" w:hAnsi="Arial" w:cs="Arial"/>
                <w:sz w:val="20"/>
                <w:szCs w:val="20"/>
              </w:rPr>
              <w:t>Norma Técnica - Estándar Electrónico para la Comunicación con Operadores.</w:t>
            </w:r>
          </w:p>
        </w:tc>
      </w:tr>
      <w:tr w:rsidR="007A7839" w:rsidRPr="00297035" w14:paraId="1485BB0D" w14:textId="77777777" w:rsidTr="005243DB">
        <w:trPr>
          <w:cantSplit/>
        </w:trPr>
        <w:tc>
          <w:tcPr>
            <w:tcW w:w="1467" w:type="dxa"/>
            <w:shd w:val="clear" w:color="auto" w:fill="F2F2F2"/>
            <w:vAlign w:val="center"/>
          </w:tcPr>
          <w:p w14:paraId="65A9E55E" w14:textId="77777777" w:rsidR="007A7839" w:rsidRPr="00C53771" w:rsidRDefault="007A7839" w:rsidP="00E23D98">
            <w:pPr>
              <w:pStyle w:val="TextoTablaCentrado"/>
              <w:spacing w:before="40" w:after="40" w:line="276" w:lineRule="auto"/>
              <w:rPr>
                <w:rFonts w:ascii="Arial" w:hAnsi="Arial" w:cs="Arial"/>
                <w:sz w:val="20"/>
                <w:szCs w:val="20"/>
              </w:rPr>
            </w:pPr>
            <w:r w:rsidRPr="00C53771">
              <w:rPr>
                <w:rFonts w:ascii="Arial" w:hAnsi="Arial" w:cs="Arial"/>
                <w:sz w:val="20"/>
                <w:szCs w:val="20"/>
              </w:rPr>
              <w:t>NT-STP</w:t>
            </w:r>
          </w:p>
        </w:tc>
        <w:tc>
          <w:tcPr>
            <w:tcW w:w="7087" w:type="dxa"/>
            <w:shd w:val="clear" w:color="auto" w:fill="F2F2F2"/>
            <w:vAlign w:val="center"/>
          </w:tcPr>
          <w:p w14:paraId="41D14660" w14:textId="77777777" w:rsidR="007A7839" w:rsidRPr="00793F98" w:rsidRDefault="007A7839" w:rsidP="00E23D98">
            <w:pPr>
              <w:pStyle w:val="TextoTablaJustificado"/>
              <w:spacing w:before="40" w:after="40" w:line="276" w:lineRule="auto"/>
              <w:ind w:left="144" w:right="149" w:hanging="2"/>
              <w:rPr>
                <w:rFonts w:ascii="Arial" w:hAnsi="Arial" w:cs="Arial"/>
                <w:sz w:val="20"/>
                <w:szCs w:val="20"/>
              </w:rPr>
            </w:pPr>
            <w:r w:rsidRPr="00C53771">
              <w:rPr>
                <w:rFonts w:ascii="Arial" w:hAnsi="Arial" w:cs="Arial"/>
                <w:sz w:val="20"/>
                <w:szCs w:val="20"/>
              </w:rPr>
              <w:t>Norma Técnica - Estándar Electrónico para el Registro de Tarjetas Monedero SINPE-TP</w:t>
            </w:r>
          </w:p>
        </w:tc>
      </w:tr>
      <w:tr w:rsidR="004F29F5" w:rsidRPr="00297035" w14:paraId="75153992" w14:textId="77777777" w:rsidTr="005243DB">
        <w:trPr>
          <w:cantSplit/>
        </w:trPr>
        <w:tc>
          <w:tcPr>
            <w:tcW w:w="1467" w:type="dxa"/>
            <w:shd w:val="clear" w:color="auto" w:fill="F2F2F2"/>
            <w:vAlign w:val="center"/>
          </w:tcPr>
          <w:p w14:paraId="3874AB73" w14:textId="63F24100" w:rsidR="004F29F5" w:rsidRPr="00C53771" w:rsidRDefault="004F29F5" w:rsidP="00E23D98">
            <w:pPr>
              <w:pStyle w:val="TextoTablaCentrado"/>
              <w:spacing w:before="40" w:after="40" w:line="276" w:lineRule="auto"/>
              <w:rPr>
                <w:rFonts w:ascii="Arial" w:hAnsi="Arial" w:cs="Arial"/>
                <w:sz w:val="20"/>
                <w:szCs w:val="20"/>
              </w:rPr>
            </w:pPr>
            <w:r w:rsidRPr="00C53771">
              <w:rPr>
                <w:rFonts w:ascii="Arial" w:hAnsi="Arial" w:cs="Arial"/>
                <w:sz w:val="20"/>
                <w:szCs w:val="20"/>
              </w:rPr>
              <w:t>NT-STP</w:t>
            </w:r>
          </w:p>
        </w:tc>
        <w:tc>
          <w:tcPr>
            <w:tcW w:w="7087" w:type="dxa"/>
            <w:shd w:val="clear" w:color="auto" w:fill="F2F2F2"/>
            <w:vAlign w:val="center"/>
          </w:tcPr>
          <w:p w14:paraId="6EE22794" w14:textId="42864BC7" w:rsidR="004F29F5" w:rsidRPr="00C53771" w:rsidRDefault="004F29F5" w:rsidP="00E23D98">
            <w:pPr>
              <w:pStyle w:val="TextoTablaJustificado"/>
              <w:spacing w:before="40" w:after="40" w:line="276" w:lineRule="auto"/>
              <w:ind w:left="144" w:right="149" w:hanging="2"/>
              <w:rPr>
                <w:rFonts w:ascii="Arial" w:hAnsi="Arial" w:cs="Arial"/>
                <w:sz w:val="20"/>
                <w:szCs w:val="20"/>
              </w:rPr>
            </w:pPr>
            <w:r w:rsidRPr="004F29F5">
              <w:rPr>
                <w:rFonts w:ascii="Arial" w:hAnsi="Arial" w:cs="Arial"/>
                <w:sz w:val="20"/>
                <w:szCs w:val="20"/>
              </w:rPr>
              <w:t xml:space="preserve">Norma Técnica - Estándar Electrónico para </w:t>
            </w:r>
            <w:r w:rsidR="003E7AD9">
              <w:rPr>
                <w:rFonts w:ascii="Arial" w:hAnsi="Arial" w:cs="Arial"/>
                <w:sz w:val="20"/>
                <w:szCs w:val="20"/>
              </w:rPr>
              <w:t xml:space="preserve">la Activación </w:t>
            </w:r>
            <w:r w:rsidRPr="004F29F5">
              <w:rPr>
                <w:rFonts w:ascii="Arial" w:hAnsi="Arial" w:cs="Arial"/>
                <w:sz w:val="20"/>
                <w:szCs w:val="20"/>
              </w:rPr>
              <w:t>de Tarjetas Monedero SINPE-TP en la Aplicación SINPE-TP Pasajero</w:t>
            </w:r>
          </w:p>
        </w:tc>
      </w:tr>
    </w:tbl>
    <w:p w14:paraId="6965A3F5" w14:textId="77777777" w:rsidR="007A7839" w:rsidRDefault="007A7839" w:rsidP="00E23D98">
      <w:pPr>
        <w:pStyle w:val="Ttulo1"/>
        <w:numPr>
          <w:ilvl w:val="0"/>
          <w:numId w:val="3"/>
        </w:numPr>
        <w:tabs>
          <w:tab w:val="clear" w:pos="340"/>
        </w:tabs>
        <w:spacing w:line="276" w:lineRule="auto"/>
        <w:ind w:left="426" w:hanging="426"/>
      </w:pPr>
      <w:bookmarkStart w:id="28" w:name="_Toc213828752"/>
      <w:bookmarkStart w:id="29" w:name="_Toc216697936"/>
      <w:bookmarkStart w:id="30" w:name="_Toc347829984"/>
      <w:bookmarkStart w:id="31" w:name="_Toc536265254"/>
      <w:bookmarkStart w:id="32" w:name="_Toc682475"/>
      <w:bookmarkStart w:id="33" w:name="_Toc682900"/>
      <w:r>
        <w:t>Aspectos generales</w:t>
      </w:r>
      <w:bookmarkEnd w:id="28"/>
      <w:bookmarkEnd w:id="29"/>
    </w:p>
    <w:p w14:paraId="7B4FDDB8" w14:textId="77777777" w:rsidR="007A7839" w:rsidRDefault="007A7839" w:rsidP="00E23D98">
      <w:pPr>
        <w:pStyle w:val="Ttulo2"/>
        <w:numPr>
          <w:ilvl w:val="1"/>
          <w:numId w:val="3"/>
        </w:numPr>
        <w:tabs>
          <w:tab w:val="clear" w:pos="510"/>
        </w:tabs>
        <w:spacing w:line="276" w:lineRule="auto"/>
        <w:ind w:left="567" w:hanging="567"/>
      </w:pPr>
      <w:bookmarkStart w:id="34" w:name="_Toc213828753"/>
      <w:bookmarkStart w:id="35" w:name="_Toc216697937"/>
      <w:r>
        <w:t>Definición del servicio</w:t>
      </w:r>
      <w:bookmarkEnd w:id="34"/>
      <w:bookmarkEnd w:id="35"/>
    </w:p>
    <w:p w14:paraId="41F9D561" w14:textId="77777777" w:rsidR="007A7839" w:rsidRDefault="007A7839" w:rsidP="00E23D98">
      <w:pPr>
        <w:rPr>
          <w:rFonts w:cs="Arial"/>
        </w:rPr>
      </w:pPr>
      <w:r w:rsidRPr="00C278B2">
        <w:rPr>
          <w:lang w:val="es-ES_tradnl"/>
        </w:rPr>
        <w:t xml:space="preserve">El servicio </w:t>
      </w:r>
      <w:r w:rsidRPr="00C278B2">
        <w:t>SINPE-TP provee la plataforma administrativa y tecnológica para gestionar la recaudación</w:t>
      </w:r>
      <w:r w:rsidRPr="00DB60C1">
        <w:t xml:space="preserve"> tarifaria del transporte </w:t>
      </w:r>
      <w:r w:rsidRPr="008A0C76">
        <w:t xml:space="preserve">público </w:t>
      </w:r>
      <w:r>
        <w:t xml:space="preserve">colectivo </w:t>
      </w:r>
      <w:r w:rsidRPr="008A0C76">
        <w:t xml:space="preserve">en las modalidades </w:t>
      </w:r>
      <w:r>
        <w:t xml:space="preserve">de </w:t>
      </w:r>
      <w:r w:rsidRPr="008A0C76">
        <w:t>autobús de ruta regular</w:t>
      </w:r>
      <w:r w:rsidRPr="00B64802">
        <w:t xml:space="preserve"> y tren de pasajeros</w:t>
      </w:r>
      <w:r w:rsidRPr="008A0C76">
        <w:t>.</w:t>
      </w:r>
      <w:r>
        <w:t xml:space="preserve"> </w:t>
      </w:r>
      <w:r w:rsidRPr="008A0C76">
        <w:t>Por medio de dicha plataforma</w:t>
      </w:r>
      <w:r w:rsidRPr="00DB60C1">
        <w:t xml:space="preserve"> se procesa el </w:t>
      </w:r>
      <w:r w:rsidRPr="00DB60C1">
        <w:rPr>
          <w:rFonts w:cs="Arial"/>
        </w:rPr>
        <w:t xml:space="preserve">cobro de los viajes a los </w:t>
      </w:r>
      <w:r>
        <w:rPr>
          <w:rFonts w:cs="Arial"/>
        </w:rPr>
        <w:t>usuarios</w:t>
      </w:r>
      <w:r w:rsidRPr="00DB60C1">
        <w:rPr>
          <w:rFonts w:cs="Arial"/>
        </w:rPr>
        <w:t xml:space="preserve"> y la liquidación de los ingresos tarifarios a </w:t>
      </w:r>
      <w:r>
        <w:rPr>
          <w:rFonts w:cs="Arial"/>
        </w:rPr>
        <w:t>los operadores de transporte.</w:t>
      </w:r>
    </w:p>
    <w:p w14:paraId="287BB5B1" w14:textId="77777777" w:rsidR="007A7839" w:rsidRDefault="007A7839" w:rsidP="00E23D98">
      <w:pPr>
        <w:pStyle w:val="Ttulo2"/>
        <w:numPr>
          <w:ilvl w:val="1"/>
          <w:numId w:val="3"/>
        </w:numPr>
        <w:tabs>
          <w:tab w:val="clear" w:pos="510"/>
        </w:tabs>
        <w:spacing w:line="276" w:lineRule="auto"/>
        <w:ind w:left="567" w:hanging="567"/>
      </w:pPr>
      <w:bookmarkStart w:id="36" w:name="_Toc177998359"/>
      <w:bookmarkStart w:id="37" w:name="_Toc178504970"/>
      <w:bookmarkStart w:id="38" w:name="_Toc178522718"/>
      <w:bookmarkStart w:id="39" w:name="_Toc178596954"/>
      <w:bookmarkStart w:id="40" w:name="_Toc178597013"/>
      <w:bookmarkStart w:id="41" w:name="_Toc213828754"/>
      <w:bookmarkStart w:id="42" w:name="_Toc216697938"/>
      <w:bookmarkEnd w:id="36"/>
      <w:bookmarkEnd w:id="37"/>
      <w:bookmarkEnd w:id="38"/>
      <w:bookmarkEnd w:id="39"/>
      <w:bookmarkEnd w:id="40"/>
      <w:r>
        <w:t>Participantes</w:t>
      </w:r>
      <w:bookmarkEnd w:id="41"/>
      <w:bookmarkEnd w:id="42"/>
      <w:r>
        <w:t xml:space="preserve"> </w:t>
      </w:r>
    </w:p>
    <w:p w14:paraId="2CF61DC5" w14:textId="77777777" w:rsidR="007A7839" w:rsidRPr="00DB60C1" w:rsidRDefault="007A7839" w:rsidP="00E23D98">
      <w:r w:rsidRPr="005745E3">
        <w:t>En el servicio SINPE-TP participan las siguientes personas y entidades</w:t>
      </w:r>
      <w:r w:rsidRPr="00DB60C1">
        <w:t>:</w:t>
      </w:r>
    </w:p>
    <w:p w14:paraId="78E0D991" w14:textId="77777777" w:rsidR="007A7839" w:rsidRDefault="007A7839" w:rsidP="00FA10A3">
      <w:pPr>
        <w:pStyle w:val="ListaVietas"/>
        <w:numPr>
          <w:ilvl w:val="0"/>
          <w:numId w:val="14"/>
        </w:numPr>
        <w:tabs>
          <w:tab w:val="clear" w:pos="425"/>
        </w:tabs>
        <w:spacing w:line="276" w:lineRule="auto"/>
      </w:pPr>
      <w:r>
        <w:t>MOPT.</w:t>
      </w:r>
    </w:p>
    <w:p w14:paraId="6507890F" w14:textId="77777777" w:rsidR="007A7839" w:rsidRDefault="007A7839" w:rsidP="00FA10A3">
      <w:pPr>
        <w:pStyle w:val="ListaVietas"/>
        <w:numPr>
          <w:ilvl w:val="0"/>
          <w:numId w:val="14"/>
        </w:numPr>
        <w:tabs>
          <w:tab w:val="clear" w:pos="425"/>
        </w:tabs>
        <w:spacing w:line="276" w:lineRule="auto"/>
      </w:pPr>
      <w:r>
        <w:t>CTP.</w:t>
      </w:r>
    </w:p>
    <w:p w14:paraId="6D21E82D" w14:textId="77777777" w:rsidR="007A7839" w:rsidRPr="008A0C76" w:rsidRDefault="007A7839" w:rsidP="00FA10A3">
      <w:pPr>
        <w:pStyle w:val="ListaVietas"/>
        <w:numPr>
          <w:ilvl w:val="0"/>
          <w:numId w:val="14"/>
        </w:numPr>
        <w:tabs>
          <w:tab w:val="clear" w:pos="425"/>
        </w:tabs>
        <w:spacing w:line="276" w:lineRule="auto"/>
      </w:pPr>
      <w:r w:rsidRPr="008A0C76">
        <w:t>Aresep.</w:t>
      </w:r>
    </w:p>
    <w:p w14:paraId="48D4FD7C" w14:textId="77777777" w:rsidR="007A7839" w:rsidRPr="00DB60C1" w:rsidRDefault="007A7839" w:rsidP="00FA10A3">
      <w:pPr>
        <w:pStyle w:val="ListaVietas"/>
        <w:numPr>
          <w:ilvl w:val="0"/>
          <w:numId w:val="14"/>
        </w:numPr>
        <w:tabs>
          <w:tab w:val="clear" w:pos="425"/>
        </w:tabs>
        <w:spacing w:line="276" w:lineRule="auto"/>
      </w:pPr>
      <w:r w:rsidRPr="00DB60C1">
        <w:t>BCCR</w:t>
      </w:r>
      <w:r>
        <w:t>.</w:t>
      </w:r>
    </w:p>
    <w:p w14:paraId="2E0D50B2" w14:textId="77777777" w:rsidR="007A7839" w:rsidRDefault="007A7839" w:rsidP="00FA10A3">
      <w:pPr>
        <w:pStyle w:val="ListaVietas"/>
        <w:numPr>
          <w:ilvl w:val="0"/>
          <w:numId w:val="14"/>
        </w:numPr>
        <w:tabs>
          <w:tab w:val="clear" w:pos="425"/>
        </w:tabs>
        <w:spacing w:line="276" w:lineRule="auto"/>
      </w:pPr>
      <w:r>
        <w:t>Pasajeros.</w:t>
      </w:r>
    </w:p>
    <w:p w14:paraId="4FDD7D8D" w14:textId="77777777" w:rsidR="007A7839" w:rsidRDefault="007A7839" w:rsidP="00FA10A3">
      <w:pPr>
        <w:pStyle w:val="ListaVietas"/>
        <w:numPr>
          <w:ilvl w:val="0"/>
          <w:numId w:val="14"/>
        </w:numPr>
        <w:tabs>
          <w:tab w:val="clear" w:pos="425"/>
        </w:tabs>
        <w:spacing w:line="276" w:lineRule="auto"/>
      </w:pPr>
      <w:r>
        <w:t>Cobradores</w:t>
      </w:r>
      <w:r w:rsidRPr="008A0C76">
        <w:t>.</w:t>
      </w:r>
    </w:p>
    <w:p w14:paraId="7F266F99" w14:textId="77777777" w:rsidR="007A7839" w:rsidRPr="008A0C76" w:rsidRDefault="007A7839" w:rsidP="00FA10A3">
      <w:pPr>
        <w:pStyle w:val="ListaVietas"/>
        <w:numPr>
          <w:ilvl w:val="0"/>
          <w:numId w:val="14"/>
        </w:numPr>
        <w:tabs>
          <w:tab w:val="clear" w:pos="425"/>
        </w:tabs>
        <w:spacing w:line="276" w:lineRule="auto"/>
      </w:pPr>
      <w:r>
        <w:t>Inspectores.</w:t>
      </w:r>
    </w:p>
    <w:p w14:paraId="00943793" w14:textId="77777777" w:rsidR="007A7839" w:rsidRPr="00DB60C1" w:rsidRDefault="007A7839" w:rsidP="00FA10A3">
      <w:pPr>
        <w:pStyle w:val="ListaVietas"/>
        <w:numPr>
          <w:ilvl w:val="0"/>
          <w:numId w:val="14"/>
        </w:numPr>
        <w:tabs>
          <w:tab w:val="clear" w:pos="425"/>
        </w:tabs>
        <w:spacing w:line="276" w:lineRule="auto"/>
      </w:pPr>
      <w:r>
        <w:t>Operadores de transporte</w:t>
      </w:r>
      <w:r w:rsidRPr="00FF34FD">
        <w:t>.</w:t>
      </w:r>
    </w:p>
    <w:p w14:paraId="5124A099" w14:textId="77777777" w:rsidR="007A7839" w:rsidRPr="00DB60C1" w:rsidRDefault="007A7839" w:rsidP="00FA10A3">
      <w:pPr>
        <w:pStyle w:val="ListaVietas"/>
        <w:numPr>
          <w:ilvl w:val="0"/>
          <w:numId w:val="14"/>
        </w:numPr>
        <w:tabs>
          <w:tab w:val="clear" w:pos="425"/>
        </w:tabs>
        <w:spacing w:line="276" w:lineRule="auto"/>
      </w:pPr>
      <w:r>
        <w:t>Bancos adquirentes</w:t>
      </w:r>
      <w:r w:rsidRPr="00DB60C1">
        <w:t xml:space="preserve">. </w:t>
      </w:r>
    </w:p>
    <w:p w14:paraId="0531EF25" w14:textId="77777777" w:rsidR="007A7839" w:rsidRPr="00DB60C1" w:rsidRDefault="007A7839" w:rsidP="00FA10A3">
      <w:pPr>
        <w:pStyle w:val="ListaVietas"/>
        <w:numPr>
          <w:ilvl w:val="0"/>
          <w:numId w:val="14"/>
        </w:numPr>
        <w:tabs>
          <w:tab w:val="clear" w:pos="425"/>
        </w:tabs>
        <w:spacing w:line="276" w:lineRule="auto"/>
      </w:pPr>
      <w:bookmarkStart w:id="43" w:name="_Hlk104909360"/>
      <w:r>
        <w:t>Emisores de dispositivos de pago</w:t>
      </w:r>
    </w:p>
    <w:bookmarkEnd w:id="43"/>
    <w:p w14:paraId="67B00A0C" w14:textId="77777777" w:rsidR="007A7839" w:rsidRDefault="007A7839" w:rsidP="00FA10A3">
      <w:pPr>
        <w:pStyle w:val="ListaVietas"/>
        <w:numPr>
          <w:ilvl w:val="0"/>
          <w:numId w:val="14"/>
        </w:numPr>
        <w:tabs>
          <w:tab w:val="clear" w:pos="425"/>
        </w:tabs>
        <w:spacing w:line="276" w:lineRule="auto"/>
      </w:pPr>
      <w:r w:rsidRPr="00DB60C1">
        <w:t>Proveedores que prestan algún tipo de servicio como parte de la infraestructura tecnológica y operativa de SINPE-TP.</w:t>
      </w:r>
    </w:p>
    <w:p w14:paraId="677E639F" w14:textId="77777777" w:rsidR="007A7839" w:rsidRDefault="007A7839" w:rsidP="00E23D98">
      <w:pPr>
        <w:pStyle w:val="Ttulo2"/>
        <w:numPr>
          <w:ilvl w:val="1"/>
          <w:numId w:val="3"/>
        </w:numPr>
        <w:tabs>
          <w:tab w:val="clear" w:pos="510"/>
        </w:tabs>
        <w:spacing w:line="276" w:lineRule="auto"/>
        <w:ind w:left="229" w:hanging="229"/>
      </w:pPr>
      <w:bookmarkStart w:id="44" w:name="_Toc178504973"/>
      <w:bookmarkStart w:id="45" w:name="_Toc178522721"/>
      <w:bookmarkStart w:id="46" w:name="_Toc178596957"/>
      <w:bookmarkStart w:id="47" w:name="_Toc178597016"/>
      <w:bookmarkStart w:id="48" w:name="_Toc213828755"/>
      <w:bookmarkStart w:id="49" w:name="_Toc216697939"/>
      <w:bookmarkEnd w:id="44"/>
      <w:bookmarkEnd w:id="45"/>
      <w:bookmarkEnd w:id="46"/>
      <w:bookmarkEnd w:id="47"/>
      <w:r>
        <w:t>Dispositivos de pago autorizados</w:t>
      </w:r>
      <w:bookmarkEnd w:id="48"/>
      <w:bookmarkEnd w:id="49"/>
    </w:p>
    <w:p w14:paraId="76C0AEDD" w14:textId="012827A0" w:rsidR="007A7839" w:rsidRDefault="007A7839" w:rsidP="00E23D98">
      <w:pPr>
        <w:rPr>
          <w:rFonts w:cs="Arial"/>
          <w:lang w:val="es-ES_tradnl" w:eastAsia="es-ES"/>
        </w:rPr>
      </w:pPr>
      <w:r>
        <w:rPr>
          <w:rFonts w:cs="Arial"/>
          <w:lang w:val="es-ES_tradnl" w:eastAsia="es-ES"/>
        </w:rPr>
        <w:t xml:space="preserve">El pago de la tarifa por medio del servicio SINPE-TP puede realizarse con dispositivos </w:t>
      </w:r>
      <w:r w:rsidRPr="00CF263B">
        <w:rPr>
          <w:rFonts w:cs="Arial"/>
          <w:i/>
          <w:iCs/>
          <w:lang w:val="es-ES_tradnl" w:eastAsia="es-ES"/>
        </w:rPr>
        <w:t>EMV-Contactless</w:t>
      </w:r>
      <w:r>
        <w:rPr>
          <w:rFonts w:cs="Arial"/>
          <w:lang w:val="es-ES_tradnl" w:eastAsia="es-ES"/>
        </w:rPr>
        <w:t xml:space="preserve"> emitidos bajo las marcas VISA, MasterCard y American Express. Las transacciones son procesadas con el modelo basado en la cuenta (</w:t>
      </w:r>
      <w:r w:rsidRPr="00CF263B">
        <w:rPr>
          <w:rFonts w:cs="Arial"/>
          <w:i/>
          <w:iCs/>
          <w:lang w:eastAsia="es-ES"/>
        </w:rPr>
        <w:t>Account-Based Ticketing</w:t>
      </w:r>
      <w:r>
        <w:rPr>
          <w:rFonts w:cs="Arial"/>
          <w:lang w:eastAsia="es-ES"/>
        </w:rPr>
        <w:t xml:space="preserve">), </w:t>
      </w:r>
      <w:r>
        <w:rPr>
          <w:rFonts w:cs="Arial"/>
          <w:lang w:val="es-ES_tradnl" w:eastAsia="es-ES"/>
        </w:rPr>
        <w:t>fuera de línea y con liquidación diferida (postpago).</w:t>
      </w:r>
    </w:p>
    <w:p w14:paraId="10B28F65" w14:textId="77777777" w:rsidR="003B70C5" w:rsidRDefault="003B70C5" w:rsidP="00E23D98">
      <w:pPr>
        <w:rPr>
          <w:rFonts w:cs="Arial"/>
          <w:lang w:val="es-ES_tradnl" w:eastAsia="es-ES"/>
        </w:rPr>
      </w:pPr>
    </w:p>
    <w:p w14:paraId="3970E8FF" w14:textId="77777777" w:rsidR="003B70C5" w:rsidRDefault="003B70C5" w:rsidP="00E23D98">
      <w:pPr>
        <w:rPr>
          <w:rFonts w:cs="Arial"/>
          <w:lang w:val="es-ES_tradnl" w:eastAsia="es-ES"/>
        </w:rPr>
      </w:pPr>
    </w:p>
    <w:p w14:paraId="590147E6" w14:textId="77777777" w:rsidR="007A7839" w:rsidRDefault="007A7839" w:rsidP="00E23D98">
      <w:pPr>
        <w:pStyle w:val="Ttulo2"/>
        <w:numPr>
          <w:ilvl w:val="1"/>
          <w:numId w:val="3"/>
        </w:numPr>
        <w:tabs>
          <w:tab w:val="clear" w:pos="510"/>
        </w:tabs>
        <w:spacing w:line="276" w:lineRule="auto"/>
        <w:ind w:left="229" w:hanging="229"/>
      </w:pPr>
      <w:bookmarkStart w:id="50" w:name="_Toc213828756"/>
      <w:bookmarkStart w:id="51" w:name="_Toc216697940"/>
      <w:r>
        <w:lastRenderedPageBreak/>
        <w:t>Registro de proveedores de servicios</w:t>
      </w:r>
      <w:bookmarkEnd w:id="50"/>
      <w:bookmarkEnd w:id="51"/>
    </w:p>
    <w:p w14:paraId="213026E3" w14:textId="77777777" w:rsidR="007A7839" w:rsidRDefault="007A7839" w:rsidP="00E23D98">
      <w:r w:rsidRPr="004A5E58">
        <w:t xml:space="preserve">El BCCR </w:t>
      </w:r>
      <w:r>
        <w:t>publicará</w:t>
      </w:r>
      <w:r w:rsidRPr="004A5E58">
        <w:t xml:space="preserve"> </w:t>
      </w:r>
      <w:r>
        <w:t xml:space="preserve">en su página web </w:t>
      </w:r>
      <w:r w:rsidRPr="004A5E58">
        <w:t>una lista de los proveedores de servicio</w:t>
      </w:r>
      <w:r>
        <w:t>s</w:t>
      </w:r>
      <w:r w:rsidRPr="004A5E58">
        <w:t xml:space="preserve"> con la información de contacto y la descripción del servicio que presta dentro del ecosistema de pagos de SINPE-TP.</w:t>
      </w:r>
      <w:r>
        <w:t xml:space="preserve"> </w:t>
      </w:r>
      <w:r w:rsidRPr="004A5E58">
        <w:t xml:space="preserve">Esta lista </w:t>
      </w:r>
      <w:r>
        <w:t xml:space="preserve">es pública, por lo cual </w:t>
      </w:r>
      <w:r w:rsidRPr="004A5E58">
        <w:t>estará disponible para todos los participantes de SINPE-TP.</w:t>
      </w:r>
    </w:p>
    <w:p w14:paraId="4F508E42" w14:textId="77777777" w:rsidR="007A7839" w:rsidRDefault="007A7839" w:rsidP="00E23D98">
      <w:pPr>
        <w:pStyle w:val="Ttulo2"/>
        <w:numPr>
          <w:ilvl w:val="1"/>
          <w:numId w:val="3"/>
        </w:numPr>
        <w:tabs>
          <w:tab w:val="clear" w:pos="510"/>
        </w:tabs>
        <w:spacing w:line="276" w:lineRule="auto"/>
        <w:ind w:left="229" w:hanging="229"/>
      </w:pPr>
      <w:bookmarkStart w:id="52" w:name="_Toc213828757"/>
      <w:bookmarkStart w:id="53" w:name="_Toc216697941"/>
      <w:r>
        <w:t>Horario de funcionamiento</w:t>
      </w:r>
      <w:bookmarkEnd w:id="52"/>
      <w:bookmarkEnd w:id="53"/>
    </w:p>
    <w:p w14:paraId="606E51DE" w14:textId="77777777" w:rsidR="007A7839" w:rsidRDefault="007A7839" w:rsidP="00E23D98">
      <w:pPr>
        <w:rPr>
          <w:rFonts w:cs="Arial"/>
          <w:lang w:val="es-ES_tradnl" w:eastAsia="es-ES"/>
        </w:rPr>
      </w:pPr>
      <w:r w:rsidRPr="00FF34FD">
        <w:rPr>
          <w:rFonts w:cs="Arial"/>
          <w:lang w:val="es-ES_tradnl" w:eastAsia="es-ES"/>
        </w:rPr>
        <w:t>El servicio SINPE-TP funciona con un horario de 24 horas, todos los días del año (</w:t>
      </w:r>
      <w:r>
        <w:rPr>
          <w:rFonts w:cs="Arial"/>
          <w:lang w:val="es-ES_tradnl" w:eastAsia="es-ES"/>
        </w:rPr>
        <w:t xml:space="preserve">modelo </w:t>
      </w:r>
      <w:r w:rsidRPr="00FF34FD">
        <w:rPr>
          <w:rFonts w:cs="Arial"/>
          <w:lang w:val="es-ES_tradnl" w:eastAsia="es-ES"/>
        </w:rPr>
        <w:t>24x7).</w:t>
      </w:r>
      <w:r>
        <w:rPr>
          <w:rFonts w:cs="Arial"/>
          <w:lang w:val="es-ES_tradnl" w:eastAsia="es-ES"/>
        </w:rPr>
        <w:t xml:space="preserve"> </w:t>
      </w:r>
      <w:r w:rsidRPr="00FF34FD">
        <w:rPr>
          <w:rFonts w:cs="Arial"/>
          <w:lang w:val="es-ES_tradnl" w:eastAsia="es-ES"/>
        </w:rPr>
        <w:t>Las operaciones y funcionalidades que cuentan con un horario particular o especial se encuentran especificadas en la presente norma complementaria</w:t>
      </w:r>
      <w:r>
        <w:rPr>
          <w:rFonts w:cs="Arial"/>
          <w:lang w:val="es-ES_tradnl" w:eastAsia="es-ES"/>
        </w:rPr>
        <w:t>.</w:t>
      </w:r>
    </w:p>
    <w:p w14:paraId="03478DF7" w14:textId="77777777" w:rsidR="007A7839" w:rsidRDefault="007A7839" w:rsidP="00E23D98">
      <w:pPr>
        <w:pStyle w:val="Ttulo2"/>
        <w:numPr>
          <w:ilvl w:val="1"/>
          <w:numId w:val="3"/>
        </w:numPr>
        <w:tabs>
          <w:tab w:val="clear" w:pos="510"/>
        </w:tabs>
        <w:spacing w:line="276" w:lineRule="auto"/>
        <w:ind w:left="229" w:hanging="229"/>
      </w:pPr>
      <w:bookmarkStart w:id="54" w:name="_Toc213828758"/>
      <w:bookmarkStart w:id="55" w:name="_Toc216697942"/>
      <w:r>
        <w:t>Suscripción al servicio</w:t>
      </w:r>
      <w:bookmarkEnd w:id="54"/>
      <w:bookmarkEnd w:id="55"/>
    </w:p>
    <w:p w14:paraId="6B1DE7D0" w14:textId="77777777" w:rsidR="007A7839" w:rsidRPr="00AA7BF5" w:rsidRDefault="007A7839" w:rsidP="00E23D98">
      <w:pPr>
        <w:rPr>
          <w:rFonts w:cs="Arial"/>
          <w:lang w:val="es-ES_tradnl" w:eastAsia="es-ES"/>
        </w:rPr>
      </w:pPr>
      <w:r w:rsidRPr="008A0C76">
        <w:rPr>
          <w:rFonts w:cs="Arial"/>
          <w:lang w:val="es-ES_tradnl" w:eastAsia="es-ES"/>
        </w:rPr>
        <w:t xml:space="preserve">Para </w:t>
      </w:r>
      <w:r>
        <w:rPr>
          <w:rFonts w:cs="Arial"/>
          <w:lang w:val="es-ES_tradnl" w:eastAsia="es-ES"/>
        </w:rPr>
        <w:t xml:space="preserve">suscribirse al servicio SINPE-TP e </w:t>
      </w:r>
      <w:r w:rsidRPr="008A0C76">
        <w:rPr>
          <w:rFonts w:cs="Arial"/>
          <w:lang w:val="es-ES_tradnl" w:eastAsia="es-ES"/>
        </w:rPr>
        <w:t xml:space="preserve">iniciar el proceso de conexión </w:t>
      </w:r>
      <w:r>
        <w:rPr>
          <w:rFonts w:cs="Arial"/>
          <w:lang w:val="es-ES_tradnl" w:eastAsia="es-ES"/>
        </w:rPr>
        <w:t>a su plataforma de pagos</w:t>
      </w:r>
      <w:r w:rsidRPr="008A0C76">
        <w:rPr>
          <w:rFonts w:cs="Arial"/>
          <w:lang w:val="es-ES_tradnl" w:eastAsia="es-ES"/>
        </w:rPr>
        <w:t xml:space="preserve">, el operador de transporte debe presentar al BCCR una solicitud </w:t>
      </w:r>
      <w:r>
        <w:rPr>
          <w:rFonts w:cs="Arial"/>
          <w:lang w:val="es-ES_tradnl" w:eastAsia="es-ES"/>
        </w:rPr>
        <w:t xml:space="preserve">en </w:t>
      </w:r>
      <w:r w:rsidRPr="008A0C76">
        <w:rPr>
          <w:rFonts w:cs="Arial"/>
          <w:lang w:val="es-ES_tradnl" w:eastAsia="es-ES"/>
        </w:rPr>
        <w:t xml:space="preserve">las condiciones </w:t>
      </w:r>
      <w:r>
        <w:rPr>
          <w:rFonts w:cs="Arial"/>
          <w:lang w:val="es-ES_tradnl" w:eastAsia="es-ES"/>
        </w:rPr>
        <w:t xml:space="preserve">requeridas en el </w:t>
      </w:r>
      <w:r w:rsidRPr="008A0C76">
        <w:rPr>
          <w:rFonts w:cs="Arial"/>
          <w:lang w:val="es-ES_tradnl" w:eastAsia="es-ES"/>
        </w:rPr>
        <w:t>documento “</w:t>
      </w:r>
      <w:r>
        <w:rPr>
          <w:rFonts w:cs="Arial"/>
          <w:i/>
          <w:iCs/>
          <w:u w:val="single"/>
          <w:lang w:val="es-ES_tradnl" w:eastAsia="es-ES"/>
        </w:rPr>
        <w:t xml:space="preserve">Solicitud de suscripción de operadores de transporte al servicio SINPE-TP </w:t>
      </w:r>
      <w:r w:rsidRPr="008A0C76">
        <w:rPr>
          <w:rFonts w:cs="Arial"/>
          <w:lang w:val="es-ES_tradnl" w:eastAsia="es-ES"/>
        </w:rPr>
        <w:t xml:space="preserve">”, contenido en </w:t>
      </w:r>
      <w:r w:rsidRPr="008F1503">
        <w:rPr>
          <w:rFonts w:cs="Arial"/>
          <w:lang w:val="es-ES_tradnl" w:eastAsia="es-ES"/>
        </w:rPr>
        <w:t>el Anexo 01</w:t>
      </w:r>
      <w:r w:rsidRPr="00ED57A9">
        <w:rPr>
          <w:rFonts w:cs="Arial"/>
          <w:lang w:val="es-ES_tradnl" w:eastAsia="es-ES"/>
        </w:rPr>
        <w:t xml:space="preserve"> de la presente</w:t>
      </w:r>
      <w:r w:rsidRPr="008A0C76">
        <w:rPr>
          <w:rFonts w:cs="Arial"/>
          <w:lang w:val="es-ES_tradnl" w:eastAsia="es-ES"/>
        </w:rPr>
        <w:t xml:space="preserve"> norma complementaria</w:t>
      </w:r>
      <w:r>
        <w:rPr>
          <w:rFonts w:cs="Arial"/>
          <w:lang w:val="es-ES_tradnl" w:eastAsia="es-ES"/>
        </w:rPr>
        <w:t xml:space="preserve">, </w:t>
      </w:r>
      <w:r w:rsidRPr="00AA7BF5">
        <w:rPr>
          <w:rFonts w:cs="Arial"/>
          <w:lang w:val="es-ES_tradnl" w:eastAsia="es-ES"/>
        </w:rPr>
        <w:t xml:space="preserve">el cual debe enviarse al </w:t>
      </w:r>
      <w:r w:rsidRPr="00AA7BF5">
        <w:rPr>
          <w:rFonts w:cs="Arial"/>
          <w:lang w:eastAsia="es-ES"/>
        </w:rPr>
        <w:t>Departamento SINPE-TP</w:t>
      </w:r>
      <w:r>
        <w:rPr>
          <w:rFonts w:cs="Arial"/>
          <w:lang w:eastAsia="es-ES"/>
        </w:rPr>
        <w:t xml:space="preserve"> por medio de la </w:t>
      </w:r>
      <w:r w:rsidRPr="00AA7BF5">
        <w:rPr>
          <w:rFonts w:cs="Arial"/>
          <w:lang w:val="es-ES_tradnl" w:eastAsia="es-ES"/>
        </w:rPr>
        <w:t xml:space="preserve">dirección de correo electrónico </w:t>
      </w:r>
      <w:hyperlink r:id="rId16" w:history="1">
        <w:r w:rsidRPr="00AA7BF5">
          <w:rPr>
            <w:rStyle w:val="Hipervnculo"/>
            <w:rFonts w:cs="Arial"/>
            <w:lang w:eastAsia="es-ES"/>
          </w:rPr>
          <w:t>SINPE-TP-Notificaciones@bccr.fi.cr</w:t>
        </w:r>
      </w:hyperlink>
      <w:r w:rsidRPr="00AA7BF5">
        <w:rPr>
          <w:rFonts w:cs="Arial"/>
          <w:lang w:eastAsia="es-ES"/>
        </w:rPr>
        <w:t>.</w:t>
      </w:r>
    </w:p>
    <w:p w14:paraId="75530169" w14:textId="77777777" w:rsidR="007A7839" w:rsidRDefault="007A7839" w:rsidP="00E23D98">
      <w:pPr>
        <w:rPr>
          <w:lang w:val="es-ES_tradnl" w:eastAsia="es-ES"/>
        </w:rPr>
      </w:pPr>
      <w:r>
        <w:rPr>
          <w:lang w:val="es-ES_tradnl" w:eastAsia="es-ES"/>
        </w:rPr>
        <w:t xml:space="preserve">Como parte </w:t>
      </w:r>
      <w:r w:rsidRPr="00DB60C1">
        <w:rPr>
          <w:lang w:val="es-ES_tradnl" w:eastAsia="es-ES"/>
        </w:rPr>
        <w:t xml:space="preserve">de los requerimientos de información, el operador </w:t>
      </w:r>
      <w:r>
        <w:rPr>
          <w:lang w:val="es-ES_tradnl" w:eastAsia="es-ES"/>
        </w:rPr>
        <w:t xml:space="preserve">de transporte </w:t>
      </w:r>
      <w:r w:rsidRPr="00DB60C1">
        <w:rPr>
          <w:lang w:val="es-ES_tradnl" w:eastAsia="es-ES"/>
        </w:rPr>
        <w:t xml:space="preserve">debe </w:t>
      </w:r>
      <w:r>
        <w:rPr>
          <w:lang w:val="es-ES_tradnl" w:eastAsia="es-ES"/>
        </w:rPr>
        <w:t xml:space="preserve">designar y </w:t>
      </w:r>
      <w:r w:rsidRPr="00DB60C1">
        <w:rPr>
          <w:lang w:val="es-ES_tradnl" w:eastAsia="es-ES"/>
        </w:rPr>
        <w:t xml:space="preserve">reportar </w:t>
      </w:r>
      <w:r>
        <w:rPr>
          <w:lang w:val="es-ES_tradnl" w:eastAsia="es-ES"/>
        </w:rPr>
        <w:t xml:space="preserve">al BCCR dos cuentas IBAN en colones: una cuenta primaria </w:t>
      </w:r>
      <w:r w:rsidRPr="00DB60C1">
        <w:rPr>
          <w:lang w:val="es-ES_tradnl" w:eastAsia="es-ES"/>
        </w:rPr>
        <w:t xml:space="preserve">en la </w:t>
      </w:r>
      <w:r>
        <w:rPr>
          <w:lang w:val="es-ES_tradnl" w:eastAsia="es-ES"/>
        </w:rPr>
        <w:t xml:space="preserve">que por defecto </w:t>
      </w:r>
      <w:r w:rsidRPr="00DB60C1">
        <w:rPr>
          <w:lang w:val="es-ES_tradnl" w:eastAsia="es-ES"/>
        </w:rPr>
        <w:t xml:space="preserve">el BCCR realiza la liquidación de </w:t>
      </w:r>
      <w:r>
        <w:rPr>
          <w:lang w:val="es-ES_tradnl" w:eastAsia="es-ES"/>
        </w:rPr>
        <w:t xml:space="preserve">los </w:t>
      </w:r>
      <w:r w:rsidRPr="00DB60C1">
        <w:rPr>
          <w:lang w:val="es-ES_tradnl" w:eastAsia="es-ES"/>
        </w:rPr>
        <w:t>ingresos tarifarios</w:t>
      </w:r>
      <w:r>
        <w:rPr>
          <w:lang w:val="es-ES_tradnl" w:eastAsia="es-ES"/>
        </w:rPr>
        <w:t xml:space="preserve"> recaudados por medio de SINPE-TP y una cuenta secundaria como opción de uso contingente en los casos en que por algún problema la liquidación no pueda realizarse en la cuenta primaria. Por razones de redundancia operativa, estas cuentas deberán estar abiertas en diferentes entidades financieras. </w:t>
      </w:r>
    </w:p>
    <w:p w14:paraId="0C6A0AD0" w14:textId="77777777" w:rsidR="007A7839" w:rsidRDefault="007A7839" w:rsidP="00E23D98">
      <w:pPr>
        <w:rPr>
          <w:rFonts w:cs="Arial"/>
          <w:lang w:val="es-ES_tradnl" w:eastAsia="es-ES"/>
        </w:rPr>
      </w:pPr>
      <w:r w:rsidRPr="00DB60C1">
        <w:rPr>
          <w:rFonts w:cs="Arial"/>
          <w:lang w:val="es-ES_tradnl" w:eastAsia="es-ES"/>
        </w:rPr>
        <w:t xml:space="preserve">Es responsabilidad del operador </w:t>
      </w:r>
      <w:r>
        <w:rPr>
          <w:lang w:val="es-ES_tradnl" w:eastAsia="es-ES"/>
        </w:rPr>
        <w:t xml:space="preserve">de transporte </w:t>
      </w:r>
      <w:r w:rsidRPr="00DB60C1">
        <w:rPr>
          <w:rFonts w:cs="Arial"/>
          <w:lang w:val="es-ES_tradnl" w:eastAsia="es-ES"/>
        </w:rPr>
        <w:t xml:space="preserve">mantener actualizada la información </w:t>
      </w:r>
      <w:r>
        <w:rPr>
          <w:rFonts w:cs="Arial"/>
          <w:lang w:val="es-ES_tradnl" w:eastAsia="es-ES"/>
        </w:rPr>
        <w:t xml:space="preserve">que debe presentar </w:t>
      </w:r>
      <w:r w:rsidRPr="00DB60C1">
        <w:rPr>
          <w:rFonts w:cs="Arial"/>
          <w:lang w:val="es-ES_tradnl" w:eastAsia="es-ES"/>
        </w:rPr>
        <w:t xml:space="preserve">al BCCR </w:t>
      </w:r>
      <w:r>
        <w:rPr>
          <w:rFonts w:cs="Arial"/>
          <w:lang w:val="es-ES_tradnl" w:eastAsia="es-ES"/>
        </w:rPr>
        <w:t xml:space="preserve">en virtud de su participación en el servicio </w:t>
      </w:r>
      <w:r w:rsidRPr="00DB60C1">
        <w:rPr>
          <w:rFonts w:cs="Arial"/>
          <w:lang w:val="es-ES_tradnl" w:eastAsia="es-ES"/>
        </w:rPr>
        <w:t>SINPE-TP</w:t>
      </w:r>
      <w:r>
        <w:rPr>
          <w:rFonts w:cs="Arial"/>
          <w:lang w:val="es-ES_tradnl" w:eastAsia="es-ES"/>
        </w:rPr>
        <w:t>.</w:t>
      </w:r>
    </w:p>
    <w:p w14:paraId="5B2D962B" w14:textId="77777777" w:rsidR="007A7839" w:rsidRPr="009F7B48" w:rsidRDefault="007A7839" w:rsidP="00E23D98">
      <w:pPr>
        <w:pStyle w:val="Ttulo2"/>
        <w:numPr>
          <w:ilvl w:val="1"/>
          <w:numId w:val="3"/>
        </w:numPr>
        <w:tabs>
          <w:tab w:val="clear" w:pos="510"/>
        </w:tabs>
        <w:spacing w:line="276" w:lineRule="auto"/>
        <w:ind w:left="229" w:hanging="229"/>
      </w:pPr>
      <w:bookmarkStart w:id="56" w:name="_Toc213828759"/>
      <w:bookmarkStart w:id="57" w:name="_Toc216697943"/>
      <w:r w:rsidRPr="009F7B48">
        <w:t>Designación de enlace</w:t>
      </w:r>
      <w:r w:rsidRPr="00111741">
        <w:t>s</w:t>
      </w:r>
      <w:r w:rsidRPr="009F7B48">
        <w:t xml:space="preserve"> técnico</w:t>
      </w:r>
      <w:r w:rsidRPr="00111741">
        <w:t>s</w:t>
      </w:r>
      <w:bookmarkEnd w:id="56"/>
      <w:bookmarkEnd w:id="57"/>
    </w:p>
    <w:p w14:paraId="7EE6C9D5" w14:textId="77777777" w:rsidR="007A7839" w:rsidRPr="00CF263B" w:rsidRDefault="007A7839" w:rsidP="00E23D98">
      <w:pPr>
        <w:rPr>
          <w:rFonts w:cs="Arial"/>
          <w:lang w:val="es-ES_tradnl" w:eastAsia="es-ES"/>
        </w:rPr>
      </w:pPr>
      <w:r w:rsidRPr="00CF263B">
        <w:rPr>
          <w:rFonts w:cs="Arial"/>
          <w:lang w:val="es-ES_tradnl" w:eastAsia="es-ES"/>
        </w:rPr>
        <w:t xml:space="preserve">El </w:t>
      </w:r>
      <w:r w:rsidRPr="00CF263B">
        <w:rPr>
          <w:lang w:val="es-ES_tradnl" w:eastAsia="es-ES"/>
        </w:rPr>
        <w:t xml:space="preserve">adquirente y el emisor de dispositivos de pago, de acuerdo con el rol que desempeña cada uno en virtud de su participación en el ecosistema de pagos de SINPE-TP, </w:t>
      </w:r>
      <w:r w:rsidRPr="00CF263B">
        <w:rPr>
          <w:rFonts w:cs="Arial"/>
          <w:lang w:val="es-ES_tradnl" w:eastAsia="es-ES"/>
        </w:rPr>
        <w:t>deben nombrar a uno de sus colaboradores como enlace técnico encargado de coordinar con el BCCR las actividades relacionadas con el funcionamiento del sistema.</w:t>
      </w:r>
    </w:p>
    <w:p w14:paraId="76D9E4E4" w14:textId="77777777" w:rsidR="007A7839" w:rsidRPr="00856605" w:rsidRDefault="007A7839" w:rsidP="00E23D98">
      <w:pPr>
        <w:rPr>
          <w:rFonts w:cs="Arial"/>
          <w:szCs w:val="20"/>
          <w:lang w:val="es-ES_tradnl"/>
        </w:rPr>
      </w:pPr>
      <w:r>
        <w:rPr>
          <w:rFonts w:cs="Arial"/>
          <w:szCs w:val="20"/>
          <w:lang w:val="es-ES_tradnl"/>
        </w:rPr>
        <w:t>La siguientes son las funciones a cargo de las personas con el rol de enlace técnico:</w:t>
      </w:r>
    </w:p>
    <w:p w14:paraId="202EEA0E" w14:textId="77777777" w:rsidR="007A7839" w:rsidRPr="00CF263B" w:rsidRDefault="007A7839" w:rsidP="00FA10A3">
      <w:pPr>
        <w:pStyle w:val="ListaVietas"/>
        <w:numPr>
          <w:ilvl w:val="0"/>
          <w:numId w:val="15"/>
        </w:numPr>
        <w:tabs>
          <w:tab w:val="clear" w:pos="425"/>
        </w:tabs>
        <w:spacing w:line="276" w:lineRule="auto"/>
        <w:ind w:left="709"/>
      </w:pPr>
      <w:r w:rsidRPr="00CF263B">
        <w:t>Actuar como contacto directo con el BCCR para coordinar la atención de los asuntos que se relacionen con la participación de su entidad en el ecosistema de pagos de SINPE-TP.</w:t>
      </w:r>
    </w:p>
    <w:p w14:paraId="42D5CBDD" w14:textId="77777777" w:rsidR="007A7839" w:rsidRPr="00CF263B" w:rsidRDefault="007A7839" w:rsidP="00FA10A3">
      <w:pPr>
        <w:pStyle w:val="ListaVietas"/>
        <w:numPr>
          <w:ilvl w:val="0"/>
          <w:numId w:val="15"/>
        </w:numPr>
        <w:tabs>
          <w:tab w:val="clear" w:pos="425"/>
        </w:tabs>
        <w:spacing w:line="276" w:lineRule="auto"/>
        <w:ind w:left="709"/>
      </w:pPr>
      <w:r w:rsidRPr="00CF263B">
        <w:t>Mantenerse informado sobre los asuntos de su entidad como participante de SINPE-TP, así como de las situaciones que amenacen, deterioren o interrumpan el normal funcionamiento de los servicios que proveen a la plataforma de pagos de SINPE-TP, con el propósito de coordinar oportunamente las medidas o acciones de atención que correspondan.</w:t>
      </w:r>
    </w:p>
    <w:p w14:paraId="1EFAC0A4" w14:textId="77777777" w:rsidR="007A7839" w:rsidRPr="00CF263B" w:rsidRDefault="007A7839" w:rsidP="00FA10A3">
      <w:pPr>
        <w:pStyle w:val="ListaVietas"/>
        <w:numPr>
          <w:ilvl w:val="0"/>
          <w:numId w:val="15"/>
        </w:numPr>
        <w:tabs>
          <w:tab w:val="clear" w:pos="425"/>
        </w:tabs>
        <w:spacing w:line="276" w:lineRule="auto"/>
        <w:ind w:left="709"/>
      </w:pPr>
      <w:r w:rsidRPr="00CF263B">
        <w:t>Mantenerse vigilante de los cambios que se implementen en su entidad relacionados con el sistema de tarjetas de pago, para identificar los impactos que puedan provocar al funcionamiento de SINPE-TP e informar oportunamente al BCCR de la situación, cuando así corresponda.</w:t>
      </w:r>
    </w:p>
    <w:p w14:paraId="14BD27E0" w14:textId="77777777" w:rsidR="007A7839" w:rsidRPr="00CF263B" w:rsidRDefault="007A7839" w:rsidP="00FA10A3">
      <w:pPr>
        <w:pStyle w:val="ListaVietas"/>
        <w:numPr>
          <w:ilvl w:val="0"/>
          <w:numId w:val="15"/>
        </w:numPr>
        <w:tabs>
          <w:tab w:val="clear" w:pos="425"/>
        </w:tabs>
        <w:spacing w:line="276" w:lineRule="auto"/>
        <w:ind w:left="709"/>
      </w:pPr>
      <w:r w:rsidRPr="00CF263B">
        <w:lastRenderedPageBreak/>
        <w:t>Remitir al BCCR las observaciones y sugerencias que se desprendan de la operación de SINPE</w:t>
      </w:r>
      <w:r w:rsidRPr="00CF263B">
        <w:noBreakHyphen/>
        <w:t xml:space="preserve">TP y que contribuyan a mejorar la prestación de sus servicios o </w:t>
      </w:r>
      <w:r>
        <w:t xml:space="preserve">a </w:t>
      </w:r>
      <w:r w:rsidRPr="00CF263B">
        <w:t xml:space="preserve">desarrollar nuevas funcionalidades. </w:t>
      </w:r>
    </w:p>
    <w:p w14:paraId="37AF7D1D" w14:textId="77777777" w:rsidR="007A7839" w:rsidRPr="00CF263B" w:rsidRDefault="007A7839" w:rsidP="00FA10A3">
      <w:pPr>
        <w:pStyle w:val="ListaVietas"/>
        <w:numPr>
          <w:ilvl w:val="0"/>
          <w:numId w:val="15"/>
        </w:numPr>
        <w:tabs>
          <w:tab w:val="clear" w:pos="425"/>
        </w:tabs>
        <w:spacing w:line="276" w:lineRule="auto"/>
        <w:ind w:left="709"/>
      </w:pPr>
      <w:r w:rsidRPr="00CF263B">
        <w:t>Colaborar con el BCCR en el desarrollo y la implementación de las actualizaciones de las nuevas funcionalidades requeridas en la plataforma de pagos de SINPE-TP</w:t>
      </w:r>
      <w:r>
        <w:t>.</w:t>
      </w:r>
    </w:p>
    <w:p w14:paraId="625F98FA" w14:textId="77777777" w:rsidR="007A7839" w:rsidRPr="00CF263B" w:rsidRDefault="007A7839" w:rsidP="00FA10A3">
      <w:pPr>
        <w:pStyle w:val="ListaVietas"/>
        <w:numPr>
          <w:ilvl w:val="0"/>
          <w:numId w:val="15"/>
        </w:numPr>
        <w:tabs>
          <w:tab w:val="clear" w:pos="425"/>
        </w:tabs>
        <w:spacing w:line="276" w:lineRule="auto"/>
        <w:ind w:left="709"/>
      </w:pPr>
      <w:r w:rsidRPr="00CF263B">
        <w:t>Coordinar en su entidad la resolución de los incidentes que se presenten con el funcionamiento del servicio SINPE-TP, cuando así corresponda.</w:t>
      </w:r>
    </w:p>
    <w:p w14:paraId="087C87B0" w14:textId="77777777" w:rsidR="007A7839" w:rsidRPr="00CF263B" w:rsidRDefault="007A7839" w:rsidP="00FA10A3">
      <w:pPr>
        <w:pStyle w:val="ListaVietas"/>
        <w:numPr>
          <w:ilvl w:val="0"/>
          <w:numId w:val="15"/>
        </w:numPr>
        <w:tabs>
          <w:tab w:val="clear" w:pos="425"/>
        </w:tabs>
        <w:spacing w:line="276" w:lineRule="auto"/>
        <w:ind w:left="709"/>
      </w:pPr>
      <w:r w:rsidRPr="00CF263B">
        <w:t>Participar en las reuniones y actividades a las cuales le convoque el BCCR, con el fin de apoyar los procesos de modernización de los pagos en el transporte público.</w:t>
      </w:r>
    </w:p>
    <w:p w14:paraId="2C6E2EC0" w14:textId="77777777" w:rsidR="007A7839" w:rsidRPr="00CF263B" w:rsidRDefault="007A7839" w:rsidP="00FA10A3">
      <w:pPr>
        <w:pStyle w:val="ListaVietas"/>
        <w:numPr>
          <w:ilvl w:val="0"/>
          <w:numId w:val="15"/>
        </w:numPr>
        <w:tabs>
          <w:tab w:val="clear" w:pos="425"/>
        </w:tabs>
        <w:spacing w:line="276" w:lineRule="auto"/>
        <w:ind w:left="709"/>
      </w:pPr>
      <w:r w:rsidRPr="00CF263B">
        <w:t>Colaborar bajo la representación técnica de su entidad, en cualquier otra actividad relacionada con el servicio SINPE-TP que requiera de su participación.</w:t>
      </w:r>
    </w:p>
    <w:p w14:paraId="1A043DFD" w14:textId="77777777" w:rsidR="007A7839" w:rsidRDefault="007A7839" w:rsidP="00E23D98">
      <w:pPr>
        <w:rPr>
          <w:rStyle w:val="Hipervnculo"/>
        </w:rPr>
      </w:pPr>
      <w:bookmarkStart w:id="58" w:name="_Hlk121210371"/>
      <w:r w:rsidRPr="00357808">
        <w:rPr>
          <w:rFonts w:cs="Arial"/>
          <w:lang w:val="es-ES_tradnl" w:eastAsia="es-ES"/>
        </w:rPr>
        <w:t>La</w:t>
      </w:r>
      <w:r w:rsidRPr="00CF263B">
        <w:rPr>
          <w:rFonts w:cs="Arial"/>
          <w:lang w:val="es-ES_tradnl" w:eastAsia="es-ES"/>
        </w:rPr>
        <w:t>s</w:t>
      </w:r>
      <w:r w:rsidRPr="00357808">
        <w:rPr>
          <w:rFonts w:cs="Arial"/>
          <w:lang w:val="es-ES_tradnl" w:eastAsia="es-ES"/>
        </w:rPr>
        <w:t xml:space="preserve"> persona</w:t>
      </w:r>
      <w:r w:rsidRPr="00CF263B">
        <w:rPr>
          <w:rFonts w:cs="Arial"/>
          <w:lang w:val="es-ES_tradnl" w:eastAsia="es-ES"/>
        </w:rPr>
        <w:t>s</w:t>
      </w:r>
      <w:r w:rsidRPr="00357808">
        <w:rPr>
          <w:rFonts w:cs="Arial"/>
          <w:lang w:val="es-ES_tradnl" w:eastAsia="es-ES"/>
        </w:rPr>
        <w:t xml:space="preserve"> que se designe</w:t>
      </w:r>
      <w:r w:rsidRPr="00CF263B">
        <w:rPr>
          <w:rFonts w:cs="Arial"/>
          <w:lang w:val="es-ES_tradnl" w:eastAsia="es-ES"/>
        </w:rPr>
        <w:t xml:space="preserve">n </w:t>
      </w:r>
      <w:r>
        <w:rPr>
          <w:rFonts w:cs="Arial"/>
          <w:lang w:val="es-ES_tradnl" w:eastAsia="es-ES"/>
        </w:rPr>
        <w:t xml:space="preserve">a cargo de </w:t>
      </w:r>
      <w:r w:rsidRPr="00CF263B">
        <w:rPr>
          <w:rFonts w:cs="Arial"/>
          <w:lang w:val="es-ES_tradnl" w:eastAsia="es-ES"/>
        </w:rPr>
        <w:t>este rol</w:t>
      </w:r>
      <w:r w:rsidRPr="00357808">
        <w:rPr>
          <w:rFonts w:cs="Arial"/>
          <w:lang w:val="es-ES_tradnl" w:eastAsia="es-ES"/>
        </w:rPr>
        <w:t xml:space="preserve"> debe</w:t>
      </w:r>
      <w:r w:rsidRPr="00CF263B">
        <w:rPr>
          <w:rFonts w:cs="Arial"/>
          <w:lang w:val="es-ES_tradnl" w:eastAsia="es-ES"/>
        </w:rPr>
        <w:t>n</w:t>
      </w:r>
      <w:r w:rsidRPr="00357808">
        <w:rPr>
          <w:rFonts w:cs="Arial"/>
          <w:lang w:val="es-ES_tradnl" w:eastAsia="es-ES"/>
        </w:rPr>
        <w:t xml:space="preserve"> estar relacionada</w:t>
      </w:r>
      <w:r w:rsidRPr="00CF263B">
        <w:rPr>
          <w:rFonts w:cs="Arial"/>
          <w:lang w:val="es-ES_tradnl" w:eastAsia="es-ES"/>
        </w:rPr>
        <w:t>s</w:t>
      </w:r>
      <w:r w:rsidRPr="00357808">
        <w:rPr>
          <w:rFonts w:cs="Arial"/>
          <w:lang w:val="es-ES_tradnl" w:eastAsia="es-ES"/>
        </w:rPr>
        <w:t xml:space="preserve"> directamente con el funcionamiento de SINPE-TP y poseer un nivel jerárquico en su entidad que la</w:t>
      </w:r>
      <w:r w:rsidRPr="00CF263B">
        <w:rPr>
          <w:rFonts w:cs="Arial"/>
          <w:lang w:val="es-ES_tradnl" w:eastAsia="es-ES"/>
        </w:rPr>
        <w:t>s</w:t>
      </w:r>
      <w:r w:rsidRPr="00357808">
        <w:rPr>
          <w:rFonts w:cs="Arial"/>
          <w:lang w:val="es-ES_tradnl" w:eastAsia="es-ES"/>
        </w:rPr>
        <w:t xml:space="preserve"> habilite para desempeñar adecuadamente las labores requeridas por el BCCR. Asimismo, el participante debe comunicar formalmente </w:t>
      </w:r>
      <w:r>
        <w:rPr>
          <w:rFonts w:cs="Arial"/>
          <w:lang w:val="es-ES_tradnl" w:eastAsia="es-ES"/>
        </w:rPr>
        <w:t xml:space="preserve">el </w:t>
      </w:r>
      <w:r w:rsidRPr="00357808">
        <w:rPr>
          <w:rFonts w:cs="Arial"/>
          <w:lang w:val="es-ES_tradnl" w:eastAsia="es-ES"/>
        </w:rPr>
        <w:t xml:space="preserve">nombre completo </w:t>
      </w:r>
      <w:r>
        <w:rPr>
          <w:rFonts w:cs="Arial"/>
          <w:lang w:val="es-ES_tradnl" w:eastAsia="es-ES"/>
        </w:rPr>
        <w:t xml:space="preserve">y la </w:t>
      </w:r>
      <w:r w:rsidRPr="00357808">
        <w:rPr>
          <w:rFonts w:cs="Arial"/>
          <w:lang w:val="es-ES_tradnl" w:eastAsia="es-ES"/>
        </w:rPr>
        <w:t xml:space="preserve">información de contacto </w:t>
      </w:r>
      <w:r>
        <w:rPr>
          <w:rFonts w:cs="Arial"/>
          <w:lang w:val="es-ES_tradnl" w:eastAsia="es-ES"/>
        </w:rPr>
        <w:t xml:space="preserve">de su enlace técnico </w:t>
      </w:r>
      <w:r w:rsidRPr="00357808">
        <w:rPr>
          <w:rFonts w:cs="Arial"/>
          <w:lang w:val="es-ES_tradnl" w:eastAsia="es-ES"/>
        </w:rPr>
        <w:t xml:space="preserve">al Departamento SINPE-TP, a la dirección de correo electrónico </w:t>
      </w:r>
      <w:hyperlink r:id="rId17" w:history="1">
        <w:r w:rsidRPr="00357808">
          <w:rPr>
            <w:rStyle w:val="Hipervnculo"/>
          </w:rPr>
          <w:t>SINPE-TP-Notificaciones@bccr.fi.cr</w:t>
        </w:r>
      </w:hyperlink>
      <w:bookmarkEnd w:id="58"/>
      <w:r w:rsidRPr="00357808">
        <w:t>.</w:t>
      </w:r>
    </w:p>
    <w:p w14:paraId="2FCADC44" w14:textId="77777777" w:rsidR="007A7839" w:rsidRDefault="007A7839" w:rsidP="00E23D98">
      <w:pPr>
        <w:pStyle w:val="Ttulo2"/>
        <w:numPr>
          <w:ilvl w:val="1"/>
          <w:numId w:val="3"/>
        </w:numPr>
        <w:tabs>
          <w:tab w:val="clear" w:pos="510"/>
        </w:tabs>
        <w:spacing w:line="276" w:lineRule="auto"/>
        <w:ind w:left="229" w:hanging="229"/>
      </w:pPr>
      <w:bookmarkStart w:id="59" w:name="_Toc213828760"/>
      <w:bookmarkStart w:id="60" w:name="_Toc216697944"/>
      <w:r>
        <w:t>Comité Técnico de Operadores</w:t>
      </w:r>
      <w:bookmarkEnd w:id="59"/>
      <w:bookmarkEnd w:id="60"/>
    </w:p>
    <w:p w14:paraId="1470EFE0" w14:textId="77777777" w:rsidR="007A7839" w:rsidRPr="00FF30E3" w:rsidRDefault="007A7839" w:rsidP="00E23D98">
      <w:pPr>
        <w:autoSpaceDE w:val="0"/>
        <w:autoSpaceDN w:val="0"/>
        <w:adjustRightInd w:val="0"/>
        <w:rPr>
          <w:rFonts w:cs="Arial"/>
          <w:szCs w:val="20"/>
        </w:rPr>
      </w:pPr>
      <w:r w:rsidRPr="00990636">
        <w:rPr>
          <w:rFonts w:cs="Arial"/>
          <w:szCs w:val="20"/>
        </w:rPr>
        <w:t xml:space="preserve">El servicio SINPE-TP funciona con la participación </w:t>
      </w:r>
      <w:r>
        <w:rPr>
          <w:rFonts w:cs="Arial"/>
          <w:szCs w:val="20"/>
        </w:rPr>
        <w:t xml:space="preserve">de un comité de operadores de transporte </w:t>
      </w:r>
      <w:r w:rsidRPr="00990636">
        <w:rPr>
          <w:rFonts w:cs="Arial"/>
          <w:szCs w:val="20"/>
        </w:rPr>
        <w:t>como órgano de apoyo técnico del BCCR, con el fin de promover el desarrollo y la modernización del pago electrónico en el transporte público. Dich</w:t>
      </w:r>
      <w:r>
        <w:rPr>
          <w:rFonts w:cs="Arial"/>
          <w:szCs w:val="20"/>
        </w:rPr>
        <w:t>o</w:t>
      </w:r>
      <w:r w:rsidRPr="00990636">
        <w:rPr>
          <w:rFonts w:cs="Arial"/>
          <w:szCs w:val="20"/>
        </w:rPr>
        <w:t xml:space="preserve"> </w:t>
      </w:r>
      <w:r>
        <w:rPr>
          <w:rFonts w:cs="Arial"/>
          <w:szCs w:val="20"/>
        </w:rPr>
        <w:t xml:space="preserve">comité </w:t>
      </w:r>
      <w:r w:rsidRPr="00990636">
        <w:rPr>
          <w:rFonts w:cs="Arial"/>
          <w:szCs w:val="20"/>
        </w:rPr>
        <w:t xml:space="preserve">opera con las funciones y la estructura de representación definidas en el Reglamento </w:t>
      </w:r>
      <w:r>
        <w:rPr>
          <w:rFonts w:cs="Arial"/>
          <w:szCs w:val="20"/>
        </w:rPr>
        <w:t>de SINPE-TP</w:t>
      </w:r>
      <w:r w:rsidRPr="00990636">
        <w:rPr>
          <w:rFonts w:cs="Arial"/>
          <w:szCs w:val="20"/>
        </w:rPr>
        <w:t>.</w:t>
      </w:r>
    </w:p>
    <w:p w14:paraId="4BAF2FAD" w14:textId="77777777" w:rsidR="007A7839" w:rsidRDefault="007A7839" w:rsidP="00E23D98">
      <w:pPr>
        <w:rPr>
          <w:rFonts w:cs="Arial"/>
          <w:szCs w:val="20"/>
        </w:rPr>
      </w:pPr>
      <w:r w:rsidRPr="00FF30E3">
        <w:rPr>
          <w:rFonts w:cs="Arial"/>
          <w:szCs w:val="20"/>
        </w:rPr>
        <w:t xml:space="preserve">La selección de los puestos de representación </w:t>
      </w:r>
      <w:r>
        <w:rPr>
          <w:rFonts w:cs="Arial"/>
          <w:szCs w:val="20"/>
        </w:rPr>
        <w:t xml:space="preserve">del Comité Técnico de Operadores </w:t>
      </w:r>
      <w:r w:rsidRPr="00FF30E3">
        <w:rPr>
          <w:rFonts w:cs="Arial"/>
          <w:szCs w:val="20"/>
        </w:rPr>
        <w:t>se determina de conformidad con el siguiente procedimiento:</w:t>
      </w:r>
    </w:p>
    <w:p w14:paraId="1AC4EEBE" w14:textId="77777777" w:rsidR="007A7839" w:rsidRPr="00FF30E3" w:rsidRDefault="007A7839" w:rsidP="00FA10A3">
      <w:pPr>
        <w:pStyle w:val="ListaNivel2"/>
        <w:numPr>
          <w:ilvl w:val="0"/>
          <w:numId w:val="6"/>
        </w:numPr>
        <w:spacing w:line="276" w:lineRule="auto"/>
      </w:pPr>
      <w:r w:rsidRPr="00FF30E3">
        <w:t xml:space="preserve">El puesto de representación correspondiente al director de la División Sistemas de Pago recae en la persona que desempeñe ese cargo administrativo en el BCCR, o en quien </w:t>
      </w:r>
      <w:r>
        <w:t xml:space="preserve">éste </w:t>
      </w:r>
      <w:r w:rsidRPr="00FF30E3">
        <w:t>delegue su representación.</w:t>
      </w:r>
      <w:r>
        <w:t xml:space="preserve"> </w:t>
      </w:r>
      <w:r w:rsidRPr="00FF30E3">
        <w:t xml:space="preserve">Este puesto tiene a cargo la coordinación </w:t>
      </w:r>
      <w:r>
        <w:t>del Comité</w:t>
      </w:r>
      <w:r w:rsidRPr="00FF30E3">
        <w:t>.</w:t>
      </w:r>
    </w:p>
    <w:p w14:paraId="1007C246" w14:textId="77777777" w:rsidR="007A7839" w:rsidRPr="00FF30E3" w:rsidRDefault="007A7839" w:rsidP="00FA10A3">
      <w:pPr>
        <w:pStyle w:val="ListaNivel2"/>
        <w:numPr>
          <w:ilvl w:val="0"/>
          <w:numId w:val="6"/>
        </w:numPr>
        <w:spacing w:line="276" w:lineRule="auto"/>
      </w:pPr>
      <w:r>
        <w:t xml:space="preserve">Dos </w:t>
      </w:r>
      <w:r w:rsidRPr="00FF30E3">
        <w:t>representante</w:t>
      </w:r>
      <w:r>
        <w:t>s</w:t>
      </w:r>
      <w:r w:rsidRPr="00FF30E3">
        <w:t xml:space="preserve"> de Incofer</w:t>
      </w:r>
      <w:r>
        <w:t xml:space="preserve"> </w:t>
      </w:r>
      <w:r w:rsidRPr="00FF30E3">
        <w:t>nombrado</w:t>
      </w:r>
      <w:r>
        <w:t>s</w:t>
      </w:r>
      <w:r w:rsidRPr="00FF30E3">
        <w:t xml:space="preserve"> por </w:t>
      </w:r>
      <w:r>
        <w:t xml:space="preserve">la </w:t>
      </w:r>
      <w:r w:rsidRPr="00FF30E3">
        <w:t>Junta Directiva</w:t>
      </w:r>
      <w:r>
        <w:t xml:space="preserve"> de esa institución</w:t>
      </w:r>
      <w:r w:rsidRPr="00FF30E3">
        <w:t>, la cual debe</w:t>
      </w:r>
      <w:r>
        <w:t>rá</w:t>
      </w:r>
      <w:r w:rsidRPr="00FF30E3">
        <w:t xml:space="preserve"> comunicar formalmente al BCCR </w:t>
      </w:r>
      <w:r>
        <w:t xml:space="preserve">las </w:t>
      </w:r>
      <w:r w:rsidRPr="00FF30E3">
        <w:t>designaci</w:t>
      </w:r>
      <w:r>
        <w:t>ones respectivas</w:t>
      </w:r>
      <w:r w:rsidRPr="00FF30E3">
        <w:t xml:space="preserve">. </w:t>
      </w:r>
    </w:p>
    <w:p w14:paraId="14B4A357" w14:textId="77777777" w:rsidR="007A7839" w:rsidRDefault="007A7839" w:rsidP="00FA10A3">
      <w:pPr>
        <w:pStyle w:val="ListaNivel2"/>
        <w:numPr>
          <w:ilvl w:val="0"/>
          <w:numId w:val="6"/>
        </w:numPr>
        <w:spacing w:line="276" w:lineRule="auto"/>
      </w:pPr>
      <w:r w:rsidRPr="002D6E89">
        <w:rPr>
          <w:color w:val="000000"/>
          <w:lang w:val="es-CR"/>
        </w:rPr>
        <w:t>Dos representantes por cada cámara de autobuseros, nombrados por sus juntas directivas según corresponda</w:t>
      </w:r>
      <w:r>
        <w:t>.</w:t>
      </w:r>
    </w:p>
    <w:p w14:paraId="70EB0503" w14:textId="77777777" w:rsidR="007A7839" w:rsidRDefault="007A7839" w:rsidP="00E23D98">
      <w:pPr>
        <w:pStyle w:val="ListaNivel2"/>
        <w:tabs>
          <w:tab w:val="clear" w:pos="1077"/>
        </w:tabs>
        <w:spacing w:line="276" w:lineRule="auto"/>
        <w:ind w:left="737" w:firstLine="0"/>
        <w:rPr>
          <w:rFonts w:cs="Arial"/>
          <w:bCs/>
          <w:color w:val="000000"/>
          <w:szCs w:val="20"/>
        </w:rPr>
      </w:pPr>
      <w:r w:rsidRPr="00852F9D">
        <w:rPr>
          <w:rFonts w:cs="Arial"/>
          <w:bCs/>
          <w:color w:val="000000"/>
          <w:szCs w:val="20"/>
        </w:rPr>
        <w:t xml:space="preserve">Las cámaras de autobuseros facultadas para </w:t>
      </w:r>
      <w:r>
        <w:rPr>
          <w:rFonts w:cs="Arial"/>
          <w:bCs/>
          <w:color w:val="000000"/>
          <w:szCs w:val="20"/>
        </w:rPr>
        <w:t xml:space="preserve">mantener </w:t>
      </w:r>
      <w:r w:rsidRPr="00852F9D">
        <w:rPr>
          <w:rFonts w:cs="Arial"/>
          <w:bCs/>
          <w:color w:val="000000"/>
          <w:szCs w:val="20"/>
        </w:rPr>
        <w:t xml:space="preserve">representación en el Comité Técnico de Operadores son </w:t>
      </w:r>
      <w:r>
        <w:rPr>
          <w:rFonts w:cs="Arial"/>
          <w:bCs/>
          <w:color w:val="000000"/>
          <w:szCs w:val="20"/>
        </w:rPr>
        <w:t>las que cumplan con el requerimiento mínimo de concesionarios o permisionarios afiliados y de unidades de transporte autorizadas por el CTP a sus afiliados, de conformidad con el artículo 24 del Reglamento de SINPE-TP.</w:t>
      </w:r>
    </w:p>
    <w:p w14:paraId="032C3E14" w14:textId="77777777" w:rsidR="007A7839" w:rsidRDefault="007A7839" w:rsidP="00E23D98">
      <w:pPr>
        <w:pStyle w:val="ListaNivel2"/>
        <w:tabs>
          <w:tab w:val="clear" w:pos="1077"/>
        </w:tabs>
        <w:spacing w:line="276" w:lineRule="auto"/>
        <w:ind w:left="737" w:firstLine="0"/>
      </w:pPr>
      <w:r>
        <w:rPr>
          <w:rFonts w:cs="Arial"/>
          <w:bCs/>
          <w:color w:val="000000"/>
          <w:szCs w:val="20"/>
        </w:rPr>
        <w:t xml:space="preserve">Para estos efectos, el representante legal de la cámara de autobuseros interesada deberá presentar ante el Departamento SINPE-TP, en noviembre del año previo al nombramiento de los representantes del Comité, una </w:t>
      </w:r>
      <w:r w:rsidRPr="00FF30E3">
        <w:t xml:space="preserve">declaración jurada de </w:t>
      </w:r>
      <w:r>
        <w:t xml:space="preserve">la cantidad de afiliados y unidades de transporte autorizadas, la cual deberá considerar </w:t>
      </w:r>
      <w:r w:rsidRPr="00FF30E3">
        <w:t xml:space="preserve">únicamente </w:t>
      </w:r>
      <w:r>
        <w:t xml:space="preserve">a </w:t>
      </w:r>
      <w:r w:rsidRPr="00FF30E3">
        <w:t xml:space="preserve">las empresas </w:t>
      </w:r>
      <w:r>
        <w:t xml:space="preserve">con </w:t>
      </w:r>
      <w:r w:rsidRPr="00FF30E3">
        <w:t>afiliación directa</w:t>
      </w:r>
      <w:r>
        <w:t xml:space="preserve"> a la cámara</w:t>
      </w:r>
      <w:r w:rsidRPr="00FF30E3">
        <w:t xml:space="preserve">, de manera que </w:t>
      </w:r>
      <w:r>
        <w:t xml:space="preserve">no contabilice a las empresas afiliadas indirectamente por medio de </w:t>
      </w:r>
      <w:r w:rsidRPr="00FF30E3">
        <w:t>la afiliación de otras organizaciones</w:t>
      </w:r>
      <w:r>
        <w:t xml:space="preserve"> gremiales, en el entendido de que ese mismo </w:t>
      </w:r>
      <w:r>
        <w:lastRenderedPageBreak/>
        <w:t>criterio de contabilización aplica para la cantidad de unidades de transporte autorizadas de los afiliados.</w:t>
      </w:r>
    </w:p>
    <w:p w14:paraId="53562DA7" w14:textId="77777777" w:rsidR="007A7839" w:rsidRPr="008F1503" w:rsidRDefault="007A7839" w:rsidP="00E23D98">
      <w:pPr>
        <w:pStyle w:val="ListaNivel2"/>
        <w:tabs>
          <w:tab w:val="clear" w:pos="1077"/>
        </w:tabs>
        <w:spacing w:line="276" w:lineRule="auto"/>
        <w:ind w:left="737" w:firstLine="0"/>
      </w:pPr>
      <w:r w:rsidRPr="008F1503">
        <w:t>El contenido informativo de la declaración jurada deberá presentar en detalle la razón social de los concesionarios o permisionarios afiliados directamente a la cámara, así como la cantidad de unidades de transporte autorizadas por el CTP a cada uno de ellos, con vigencia a la fecha de emisión de la declaración.</w:t>
      </w:r>
    </w:p>
    <w:p w14:paraId="2C2235D7" w14:textId="77777777" w:rsidR="007A7839" w:rsidRPr="008F1503" w:rsidRDefault="007A7839" w:rsidP="00E23D98">
      <w:pPr>
        <w:ind w:left="709"/>
        <w:rPr>
          <w:lang w:eastAsia="es-CR"/>
        </w:rPr>
      </w:pPr>
      <w:r w:rsidRPr="008F1503">
        <w:rPr>
          <w:lang w:eastAsia="es-CR"/>
        </w:rPr>
        <w:t>El BCCR comunicará oportunamente a las cámaras de autobuseros la designación de los representantes del Comité Técnico de Operadores, conforme corresponda en cada caso.</w:t>
      </w:r>
    </w:p>
    <w:p w14:paraId="37783F3D" w14:textId="77777777" w:rsidR="007A7839" w:rsidRPr="00FF34FD" w:rsidRDefault="007A7839" w:rsidP="00E23D98">
      <w:bookmarkStart w:id="61" w:name="_Hlk132373880"/>
      <w:r w:rsidRPr="008A0C76">
        <w:t xml:space="preserve">El nombramiento de los representantes de los operadores </w:t>
      </w:r>
      <w:r w:rsidRPr="008A0C76">
        <w:rPr>
          <w:lang w:val="es-ES_tradnl" w:eastAsia="es-ES"/>
        </w:rPr>
        <w:t>de transporte</w:t>
      </w:r>
      <w:r w:rsidRPr="008A0C76">
        <w:t xml:space="preserve"> debe procurar que las personas designadas posean amplia experiencia en los procesos relacionados con la gestión de la operación del transporte público y en la materia tarifaria, preferiblemente con conocimientos en tecnologías de la información y la comunicación, así como en el conjunto de dispositivos con el que se equipan </w:t>
      </w:r>
      <w:r w:rsidRPr="00B64802">
        <w:t>las unidades de transporte</w:t>
      </w:r>
      <w:r w:rsidRPr="008A0C76">
        <w:t xml:space="preserve"> para habilitar mecanismos</w:t>
      </w:r>
      <w:r w:rsidRPr="00FF34FD">
        <w:t xml:space="preserve"> de pago electrónico en el sector.</w:t>
      </w:r>
    </w:p>
    <w:bookmarkEnd w:id="61"/>
    <w:p w14:paraId="1B1EE19A" w14:textId="77777777" w:rsidR="007A7839" w:rsidRPr="00FF34FD" w:rsidRDefault="007A7839" w:rsidP="00E23D98">
      <w:r>
        <w:t xml:space="preserve">El Comité Técnico de Operadores </w:t>
      </w:r>
      <w:r w:rsidRPr="00FF34FD">
        <w:t xml:space="preserve">se reúne de manera ordinaria al menos una vez </w:t>
      </w:r>
      <w:r>
        <w:t>cada tres meses</w:t>
      </w:r>
      <w:r w:rsidRPr="00FF34FD">
        <w:t xml:space="preserve">, o cuando la dirección de la División Sistemas de Pago </w:t>
      </w:r>
      <w:r>
        <w:t xml:space="preserve">del BCCR considere necesario convocarla </w:t>
      </w:r>
      <w:r w:rsidRPr="00FF34FD">
        <w:t xml:space="preserve">en forma extraordinaria para tratar aspectos </w:t>
      </w:r>
      <w:r>
        <w:t xml:space="preserve">relacionados con </w:t>
      </w:r>
      <w:r w:rsidRPr="00FF34FD">
        <w:t>el pago electrónico en el transporte público.</w:t>
      </w:r>
    </w:p>
    <w:p w14:paraId="0AC18DA4" w14:textId="77777777" w:rsidR="007A7839" w:rsidRDefault="007A7839" w:rsidP="00E23D98">
      <w:r w:rsidRPr="00FF34FD">
        <w:t>El periodo de nombramiento, la reelección</w:t>
      </w:r>
      <w:r>
        <w:t xml:space="preserve">, </w:t>
      </w:r>
      <w:r w:rsidRPr="00FF34FD">
        <w:t xml:space="preserve">los cambios en la designación </w:t>
      </w:r>
      <w:r>
        <w:t xml:space="preserve">y la reelección automática </w:t>
      </w:r>
      <w:r w:rsidRPr="00FF34FD">
        <w:t xml:space="preserve">de los representantes </w:t>
      </w:r>
      <w:r>
        <w:t xml:space="preserve">del Comité Técnico de Operadores </w:t>
      </w:r>
      <w:r w:rsidRPr="00FF34FD">
        <w:t xml:space="preserve">se rigen por lo dispuesto en los artículos </w:t>
      </w:r>
      <w:r>
        <w:t xml:space="preserve">25, 26 y 27 del Reglamento de </w:t>
      </w:r>
      <w:r w:rsidRPr="00FF34FD">
        <w:t>SINPE-TP</w:t>
      </w:r>
      <w:r>
        <w:t>.</w:t>
      </w:r>
    </w:p>
    <w:p w14:paraId="3E638500" w14:textId="5CB996ED" w:rsidR="007A7839" w:rsidRDefault="007A7839" w:rsidP="00E23D98">
      <w:pPr>
        <w:pStyle w:val="Ttulo2"/>
        <w:numPr>
          <w:ilvl w:val="1"/>
          <w:numId w:val="3"/>
        </w:numPr>
        <w:tabs>
          <w:tab w:val="clear" w:pos="510"/>
        </w:tabs>
        <w:spacing w:line="276" w:lineRule="auto"/>
        <w:ind w:left="229" w:hanging="229"/>
      </w:pPr>
      <w:bookmarkStart w:id="62" w:name="_Toc213828761"/>
      <w:bookmarkStart w:id="63" w:name="_Toc216697945"/>
      <w:r>
        <w:t>Procesamiento de transacciones</w:t>
      </w:r>
      <w:bookmarkEnd w:id="62"/>
      <w:bookmarkEnd w:id="63"/>
      <w:r>
        <w:t xml:space="preserve"> </w:t>
      </w:r>
    </w:p>
    <w:p w14:paraId="0AF2223A" w14:textId="77777777" w:rsidR="007A7839" w:rsidRPr="008F1503" w:rsidRDefault="007A7839" w:rsidP="00E23D98">
      <w:r w:rsidRPr="008A0C76">
        <w:t xml:space="preserve">El procesamiento de las transacciones de SINPE-TP en el servicio de transporte público se realiza de conformidad con las especificaciones contenidas en las </w:t>
      </w:r>
      <w:r w:rsidRPr="008A0C76">
        <w:rPr>
          <w:rFonts w:cs="Arial"/>
          <w:lang w:val="es-ES_tradnl" w:eastAsia="es-ES"/>
        </w:rPr>
        <w:t>guías de implementación de VISA, MasterCard</w:t>
      </w:r>
      <w:r w:rsidRPr="008A0C76">
        <w:t xml:space="preserve"> y American Express</w:t>
      </w:r>
      <w:r>
        <w:t>,</w:t>
      </w:r>
      <w:r w:rsidRPr="008A0C76">
        <w:t xml:space="preserve"> para pagos en el transporte (</w:t>
      </w:r>
      <w:r w:rsidRPr="008F1503">
        <w:t>Anexo 02, Anexo 03 y Anexo 04, respectivamente).</w:t>
      </w:r>
    </w:p>
    <w:p w14:paraId="0617BAA7" w14:textId="589BDC7A" w:rsidR="007A7839" w:rsidRDefault="007A7839" w:rsidP="00E23D98">
      <w:pPr>
        <w:pStyle w:val="Ttulo2"/>
        <w:numPr>
          <w:ilvl w:val="1"/>
          <w:numId w:val="3"/>
        </w:numPr>
        <w:tabs>
          <w:tab w:val="clear" w:pos="510"/>
        </w:tabs>
        <w:spacing w:line="276" w:lineRule="auto"/>
        <w:ind w:left="229" w:hanging="229"/>
      </w:pPr>
      <w:bookmarkStart w:id="64" w:name="_Toc213828762"/>
      <w:bookmarkStart w:id="65" w:name="_Toc216697946"/>
      <w:r>
        <w:t>Evaluaciones de seguridad</w:t>
      </w:r>
      <w:bookmarkEnd w:id="64"/>
      <w:bookmarkEnd w:id="65"/>
    </w:p>
    <w:p w14:paraId="57605941" w14:textId="77777777" w:rsidR="007A7839" w:rsidRPr="002F7160" w:rsidRDefault="007A7839" w:rsidP="00E23D98">
      <w:r w:rsidRPr="002F7160">
        <w:t xml:space="preserve">El BCCR realizará una evaluación anual </w:t>
      </w:r>
      <w:r>
        <w:t xml:space="preserve">e integral de riesgos y </w:t>
      </w:r>
      <w:r w:rsidRPr="002F7160">
        <w:t xml:space="preserve">de las políticas de seguridad de la información relacionadas con el </w:t>
      </w:r>
      <w:r>
        <w:t xml:space="preserve">funcionamiento del </w:t>
      </w:r>
      <w:r w:rsidRPr="002F7160">
        <w:t xml:space="preserve">ecosistema de pagos de SINPE-TP, </w:t>
      </w:r>
      <w:r>
        <w:t xml:space="preserve">con base en el estándar PCI DSS y con </w:t>
      </w:r>
      <w:r w:rsidRPr="002F7160">
        <w:t xml:space="preserve">el propósito de mantener </w:t>
      </w:r>
      <w:r>
        <w:t xml:space="preserve">dichas políticas debidamente </w:t>
      </w:r>
      <w:r w:rsidRPr="002F7160">
        <w:t>actualizadas</w:t>
      </w:r>
      <w:r>
        <w:t xml:space="preserve">, así como para </w:t>
      </w:r>
      <w:r w:rsidRPr="002F7160">
        <w:t>promover la incorporación de nuevos desarrollos que contribuyan a su fortalecimiento.</w:t>
      </w:r>
    </w:p>
    <w:p w14:paraId="264D027C" w14:textId="77777777" w:rsidR="007A7839" w:rsidRPr="002F7160" w:rsidRDefault="007A7839" w:rsidP="00E23D98">
      <w:r w:rsidRPr="002F7160">
        <w:t xml:space="preserve">Adicionalmente, </w:t>
      </w:r>
      <w:r>
        <w:t xml:space="preserve">el BCCR </w:t>
      </w:r>
      <w:r w:rsidRPr="00B55F2A">
        <w:t>ejecutará pruebas de penetración internas y externas</w:t>
      </w:r>
      <w:r>
        <w:t>,</w:t>
      </w:r>
      <w:r w:rsidRPr="00B55F2A">
        <w:t xml:space="preserve"> regularmente y después de implementar cambios significativos en el entorno de datos del titular de la tarjeta</w:t>
      </w:r>
      <w:r>
        <w:t xml:space="preserve">; también </w:t>
      </w:r>
      <w:r w:rsidRPr="002F7160">
        <w:t>dará seguimiento al estado de cumplimiento del estándar PCI DSS por parte de los proveedores de servicio</w:t>
      </w:r>
      <w:r>
        <w:t>s</w:t>
      </w:r>
      <w:r w:rsidRPr="002F7160">
        <w:t>, de conformidad con el nivel de seguridad establecido por la industria de tarjetas de pago</w:t>
      </w:r>
      <w:r>
        <w:t xml:space="preserve"> y los procedimientos de SINPE-TP.</w:t>
      </w:r>
    </w:p>
    <w:p w14:paraId="736509CA" w14:textId="6E661640" w:rsidR="007A7839" w:rsidRDefault="007A7839" w:rsidP="00E23D98">
      <w:pPr>
        <w:pStyle w:val="Ttulo2"/>
        <w:numPr>
          <w:ilvl w:val="1"/>
          <w:numId w:val="3"/>
        </w:numPr>
        <w:tabs>
          <w:tab w:val="clear" w:pos="510"/>
        </w:tabs>
        <w:spacing w:line="276" w:lineRule="auto"/>
        <w:ind w:left="229" w:hanging="229"/>
      </w:pPr>
      <w:bookmarkStart w:id="66" w:name="_Toc213828763"/>
      <w:bookmarkStart w:id="67" w:name="_Toc216697947"/>
      <w:r>
        <w:t>Vigilancia</w:t>
      </w:r>
      <w:bookmarkEnd w:id="66"/>
      <w:bookmarkEnd w:id="67"/>
      <w:r>
        <w:t xml:space="preserve"> </w:t>
      </w:r>
    </w:p>
    <w:p w14:paraId="063573D0" w14:textId="77777777" w:rsidR="007A7839" w:rsidRDefault="007A7839" w:rsidP="00E23D98">
      <w:pPr>
        <w:rPr>
          <w:lang w:val="es-ES_tradnl" w:eastAsia="es-ES"/>
        </w:rPr>
      </w:pPr>
      <w:r w:rsidRPr="00CF2848">
        <w:rPr>
          <w:lang w:val="es-ES_tradnl" w:eastAsia="es-ES"/>
        </w:rPr>
        <w:t>La vigilancia de</w:t>
      </w:r>
      <w:r>
        <w:rPr>
          <w:lang w:val="es-ES_tradnl" w:eastAsia="es-ES"/>
        </w:rPr>
        <w:t>l servicio</w:t>
      </w:r>
      <w:r w:rsidRPr="00CF2848">
        <w:rPr>
          <w:lang w:val="es-ES_tradnl" w:eastAsia="es-ES"/>
        </w:rPr>
        <w:t xml:space="preserve"> SINPE-TP </w:t>
      </w:r>
      <w:r>
        <w:rPr>
          <w:lang w:val="es-ES_tradnl" w:eastAsia="es-ES"/>
        </w:rPr>
        <w:t>es</w:t>
      </w:r>
      <w:r w:rsidRPr="00CF2848">
        <w:rPr>
          <w:lang w:val="es-ES_tradnl" w:eastAsia="es-ES"/>
        </w:rPr>
        <w:t xml:space="preserve"> ejercida por el Área de Vigilancia de la División Sistemas de Pago del BCCR, </w:t>
      </w:r>
      <w:r w:rsidRPr="00764160">
        <w:rPr>
          <w:lang w:val="es-ES_tradnl" w:eastAsia="es-ES"/>
        </w:rPr>
        <w:t xml:space="preserve">conforme con </w:t>
      </w:r>
      <w:r>
        <w:rPr>
          <w:lang w:val="es-ES_tradnl" w:eastAsia="es-ES"/>
        </w:rPr>
        <w:t>los</w:t>
      </w:r>
      <w:r w:rsidRPr="00764160">
        <w:rPr>
          <w:lang w:val="es-ES_tradnl" w:eastAsia="es-ES"/>
        </w:rPr>
        <w:t xml:space="preserve"> procedimientos de trabajo </w:t>
      </w:r>
      <w:r>
        <w:rPr>
          <w:lang w:val="es-ES_tradnl" w:eastAsia="es-ES"/>
        </w:rPr>
        <w:t>que resulten aplicables al pago electrónico en el transporte público.</w:t>
      </w:r>
    </w:p>
    <w:p w14:paraId="7DB961CB" w14:textId="77777777" w:rsidR="003B70C5" w:rsidRDefault="003B70C5" w:rsidP="00E23D98">
      <w:pPr>
        <w:rPr>
          <w:lang w:val="es-ES_tradnl" w:eastAsia="es-ES"/>
        </w:rPr>
      </w:pPr>
    </w:p>
    <w:p w14:paraId="4BA8958E" w14:textId="77777777" w:rsidR="007A7839" w:rsidRPr="00E71D76" w:rsidRDefault="007A7839" w:rsidP="00E23D98">
      <w:pPr>
        <w:pStyle w:val="Ttulo1"/>
        <w:numPr>
          <w:ilvl w:val="0"/>
          <w:numId w:val="3"/>
        </w:numPr>
        <w:tabs>
          <w:tab w:val="clear" w:pos="340"/>
        </w:tabs>
        <w:spacing w:line="276" w:lineRule="auto"/>
        <w:ind w:left="567" w:hanging="567"/>
      </w:pPr>
      <w:bookmarkStart w:id="68" w:name="_Toc213828764"/>
      <w:bookmarkStart w:id="69" w:name="_Toc216697948"/>
      <w:bookmarkEnd w:id="30"/>
      <w:r>
        <w:lastRenderedPageBreak/>
        <w:t>Gestión Financiera</w:t>
      </w:r>
      <w:bookmarkEnd w:id="68"/>
      <w:bookmarkEnd w:id="69"/>
      <w:r>
        <w:t xml:space="preserve"> </w:t>
      </w:r>
    </w:p>
    <w:p w14:paraId="1D7E3BC2" w14:textId="77777777" w:rsidR="007A7839" w:rsidRDefault="007A7839" w:rsidP="00E23D98">
      <w:pPr>
        <w:pStyle w:val="Ttulo2"/>
        <w:numPr>
          <w:ilvl w:val="1"/>
          <w:numId w:val="3"/>
        </w:numPr>
        <w:tabs>
          <w:tab w:val="clear" w:pos="510"/>
        </w:tabs>
        <w:spacing w:line="276" w:lineRule="auto"/>
        <w:ind w:left="229" w:hanging="229"/>
      </w:pPr>
      <w:bookmarkStart w:id="70" w:name="_Toc213828765"/>
      <w:bookmarkStart w:id="71" w:name="_Toc216697949"/>
      <w:r>
        <w:t>Manejo de riesgo y responsabilidades</w:t>
      </w:r>
      <w:bookmarkEnd w:id="70"/>
      <w:bookmarkEnd w:id="71"/>
      <w:r>
        <w:t xml:space="preserve"> </w:t>
      </w:r>
    </w:p>
    <w:p w14:paraId="0EC74CC8" w14:textId="77777777" w:rsidR="007A7839" w:rsidRPr="00F75A80" w:rsidRDefault="007A7839" w:rsidP="00E23D98">
      <w:r w:rsidRPr="008907F1">
        <w:t xml:space="preserve">La gestión de los riesgos financieros del servicio SINPE-TP se rige por los artículos </w:t>
      </w:r>
      <w:r>
        <w:t>41</w:t>
      </w:r>
      <w:r w:rsidRPr="008907F1">
        <w:t xml:space="preserve"> y </w:t>
      </w:r>
      <w:r>
        <w:t>45</w:t>
      </w:r>
      <w:r w:rsidRPr="008907F1">
        <w:t xml:space="preserve"> del Reglamento de SINPE-TP, con el fin de asegurar a los operadores de transporte el pago de los ingresos tarifarios </w:t>
      </w:r>
      <w:r>
        <w:t xml:space="preserve">recaudados </w:t>
      </w:r>
      <w:r w:rsidRPr="008907F1">
        <w:t>por medio de</w:t>
      </w:r>
      <w:r>
        <w:t>l servicio</w:t>
      </w:r>
      <w:r w:rsidRPr="008907F1">
        <w:t xml:space="preserve"> SINPE-TP.</w:t>
      </w:r>
      <w:r>
        <w:t xml:space="preserve"> </w:t>
      </w:r>
      <w:r w:rsidRPr="008907F1">
        <w:t>Para los efectos se establecen las siguientes responsabilidades</w:t>
      </w:r>
      <w:r w:rsidRPr="00F75A80">
        <w:t>:</w:t>
      </w:r>
    </w:p>
    <w:p w14:paraId="0ED95D31" w14:textId="77777777" w:rsidR="007A7839" w:rsidRPr="00266938" w:rsidRDefault="007A7839" w:rsidP="00FA10A3">
      <w:pPr>
        <w:numPr>
          <w:ilvl w:val="0"/>
          <w:numId w:val="7"/>
        </w:numPr>
        <w:autoSpaceDE w:val="0"/>
        <w:autoSpaceDN w:val="0"/>
        <w:adjustRightInd w:val="0"/>
        <w:spacing w:before="0"/>
      </w:pPr>
      <w:r w:rsidRPr="00266938">
        <w:rPr>
          <w:rStyle w:val="ListaNivel2Car"/>
        </w:rPr>
        <w:t xml:space="preserve">Responsabilidad del emisor nacional: de conformidad con lo que establece el artículo </w:t>
      </w:r>
      <w:r>
        <w:rPr>
          <w:rStyle w:val="ListaNivel2Car"/>
        </w:rPr>
        <w:t>41</w:t>
      </w:r>
      <w:r w:rsidRPr="00266938">
        <w:rPr>
          <w:rStyle w:val="ListaNivel2Car"/>
        </w:rPr>
        <w:t xml:space="preserve"> del Reglamento </w:t>
      </w:r>
      <w:r>
        <w:rPr>
          <w:rStyle w:val="ListaNivel2Car"/>
        </w:rPr>
        <w:t>de SINPE-TP</w:t>
      </w:r>
      <w:r w:rsidRPr="00266938">
        <w:rPr>
          <w:rStyle w:val="ListaNivel2Car"/>
        </w:rPr>
        <w:t xml:space="preserve">, el emisor nacional garantiza la liquidación de las transacciones hasta por una suma máxima de </w:t>
      </w:r>
      <w:r>
        <w:rPr>
          <w:rStyle w:val="ListaNivel2Car"/>
        </w:rPr>
        <w:t>10</w:t>
      </w:r>
      <w:r w:rsidRPr="00266938">
        <w:rPr>
          <w:rStyle w:val="ListaNivel2Car"/>
        </w:rPr>
        <w:t xml:space="preserve">.000 colones por tarjetahabiente (por cada </w:t>
      </w:r>
      <w:r w:rsidRPr="00793F98">
        <w:rPr>
          <w:rStyle w:val="ListaNivel2Car"/>
          <w:i/>
          <w:iCs/>
        </w:rPr>
        <w:t>Personal Account Number</w:t>
      </w:r>
      <w:r w:rsidRPr="00266938">
        <w:rPr>
          <w:rStyle w:val="ListaNivel2Car"/>
        </w:rPr>
        <w:t>) y ciclo de liquidación, siempre que se cumplan las siguientes condiciones</w:t>
      </w:r>
      <w:r w:rsidRPr="00266938">
        <w:t>:</w:t>
      </w:r>
    </w:p>
    <w:p w14:paraId="43D8CDAF" w14:textId="77777777" w:rsidR="007A7839" w:rsidRPr="00FF34FD" w:rsidRDefault="007A7839" w:rsidP="00FA10A3">
      <w:pPr>
        <w:pStyle w:val="ListaNivel3"/>
        <w:numPr>
          <w:ilvl w:val="0"/>
          <w:numId w:val="8"/>
        </w:numPr>
        <w:spacing w:line="276" w:lineRule="auto"/>
        <w:ind w:left="1418"/>
      </w:pPr>
      <w:r w:rsidRPr="00266938">
        <w:t>Que la tarjeta de pago corresponda a uno de sus tarjetahabientes, y que el BCCR</w:t>
      </w:r>
      <w:r w:rsidRPr="00FF34FD">
        <w:t xml:space="preserve"> haya solicitado </w:t>
      </w:r>
      <w:r>
        <w:t xml:space="preserve">previamente </w:t>
      </w:r>
      <w:r w:rsidRPr="00FF34FD">
        <w:t xml:space="preserve">una autorización durante el </w:t>
      </w:r>
      <w:r>
        <w:t>ciclo de liquidación</w:t>
      </w:r>
      <w:r w:rsidRPr="00FF34FD">
        <w:t>.</w:t>
      </w:r>
      <w:r>
        <w:t xml:space="preserve"> </w:t>
      </w:r>
      <w:r w:rsidRPr="00FF34FD">
        <w:t xml:space="preserve">La cobertura aplica con independencia del resultado de la autorización, y a partir de la transacción </w:t>
      </w:r>
      <w:r>
        <w:t>para</w:t>
      </w:r>
      <w:r w:rsidRPr="00FF34FD">
        <w:t xml:space="preserve"> la cual se solicita dicha autorización.</w:t>
      </w:r>
    </w:p>
    <w:p w14:paraId="6F5784D8" w14:textId="77777777" w:rsidR="007A7839" w:rsidRPr="00266938" w:rsidRDefault="007A7839" w:rsidP="00FA10A3">
      <w:pPr>
        <w:pStyle w:val="ListaNivel3"/>
        <w:numPr>
          <w:ilvl w:val="0"/>
          <w:numId w:val="8"/>
        </w:numPr>
        <w:spacing w:line="276" w:lineRule="auto"/>
        <w:ind w:left="1418"/>
      </w:pPr>
      <w:r w:rsidRPr="00FF34FD">
        <w:t xml:space="preserve">Que en </w:t>
      </w:r>
      <w:r>
        <w:t xml:space="preserve">el </w:t>
      </w:r>
      <w:r w:rsidRPr="00FF34FD">
        <w:t xml:space="preserve">caso de que la autorización sea rechazada, el BCCR haya incluido la tarjeta de pago en la lista de denegación de </w:t>
      </w:r>
      <w:r>
        <w:t xml:space="preserve">la red de </w:t>
      </w:r>
      <w:r w:rsidRPr="00FF34FD">
        <w:t>validadore</w:t>
      </w:r>
      <w:r>
        <w:t>s</w:t>
      </w:r>
      <w:r w:rsidRPr="00FF34FD">
        <w:t xml:space="preserve">, </w:t>
      </w:r>
      <w:r w:rsidRPr="005A74FC">
        <w:t>dentro de los siguientes 60 minutos</w:t>
      </w:r>
      <w:r w:rsidRPr="00FF34FD">
        <w:t xml:space="preserve"> contados a partir del momento en que recibe la respectiva comunicación del adquirente.</w:t>
      </w:r>
      <w:r>
        <w:t xml:space="preserve"> </w:t>
      </w:r>
      <w:r w:rsidRPr="00FF34FD">
        <w:t xml:space="preserve">Esta condición no aplica para la transacción con la cual se </w:t>
      </w:r>
      <w:r>
        <w:t xml:space="preserve">tramita </w:t>
      </w:r>
      <w:r w:rsidRPr="00266938">
        <w:t>la solicitud de autorización.</w:t>
      </w:r>
    </w:p>
    <w:p w14:paraId="0B903D3F" w14:textId="77777777" w:rsidR="007A7839" w:rsidRDefault="007A7839" w:rsidP="00FA10A3">
      <w:pPr>
        <w:numPr>
          <w:ilvl w:val="0"/>
          <w:numId w:val="7"/>
        </w:numPr>
        <w:autoSpaceDE w:val="0"/>
        <w:autoSpaceDN w:val="0"/>
        <w:adjustRightInd w:val="0"/>
        <w:spacing w:before="0"/>
      </w:pPr>
      <w:r w:rsidRPr="00266938">
        <w:rPr>
          <w:rStyle w:val="ListaNivel2Car"/>
        </w:rPr>
        <w:t xml:space="preserve">Responsabilidad del BCCR: de conformidad con lo que establece el artículo </w:t>
      </w:r>
      <w:r>
        <w:rPr>
          <w:rStyle w:val="ListaNivel2Car"/>
        </w:rPr>
        <w:t>45</w:t>
      </w:r>
      <w:r w:rsidRPr="00266938">
        <w:rPr>
          <w:rStyle w:val="ListaNivel2Car"/>
        </w:rPr>
        <w:t xml:space="preserve"> del Reglamento </w:t>
      </w:r>
      <w:r>
        <w:rPr>
          <w:rStyle w:val="ListaNivel2Car"/>
        </w:rPr>
        <w:t>de SINPE-TP</w:t>
      </w:r>
      <w:r w:rsidRPr="00266938">
        <w:rPr>
          <w:rStyle w:val="ListaNivel2Car"/>
        </w:rPr>
        <w:t>, las transacciones morosas que no sean cubiertas por el emisor nacional o el emisor internacional son respaldadas subsidiariamente por el BCCR, a efectos de mantener la garantía sobre la liquidación de los ingresos tarifarios del operador de transporte</w:t>
      </w:r>
      <w:r w:rsidRPr="00266938">
        <w:t>.</w:t>
      </w:r>
    </w:p>
    <w:p w14:paraId="378A4738" w14:textId="77777777" w:rsidR="007A7839" w:rsidRPr="004A5E58" w:rsidRDefault="007A7839" w:rsidP="00FA10A3">
      <w:pPr>
        <w:numPr>
          <w:ilvl w:val="0"/>
          <w:numId w:val="7"/>
        </w:numPr>
        <w:autoSpaceDE w:val="0"/>
        <w:autoSpaceDN w:val="0"/>
        <w:adjustRightInd w:val="0"/>
        <w:spacing w:before="0"/>
      </w:pPr>
      <w:r w:rsidRPr="008907F1">
        <w:rPr>
          <w:rStyle w:val="ListaNivel2Car"/>
        </w:rPr>
        <w:t xml:space="preserve">Responsabilidad del operador de transporte: </w:t>
      </w:r>
      <w:r>
        <w:rPr>
          <w:rStyle w:val="ListaNivel2Car"/>
        </w:rPr>
        <w:t xml:space="preserve">de conformidad con el artículo 44 del Reglamento de SINPE-TP, </w:t>
      </w:r>
      <w:r w:rsidRPr="008907F1">
        <w:rPr>
          <w:rStyle w:val="ListaNivel2Car"/>
        </w:rPr>
        <w:t xml:space="preserve">el operador de transporte debe asumir el costo de las </w:t>
      </w:r>
      <w:r>
        <w:rPr>
          <w:rStyle w:val="ListaNivel2Car"/>
        </w:rPr>
        <w:t xml:space="preserve">marcas tardías. También deberá asumir el costo de las </w:t>
      </w:r>
      <w:r w:rsidRPr="008907F1">
        <w:rPr>
          <w:rStyle w:val="ListaNivel2Car"/>
        </w:rPr>
        <w:t>transacciones que no puedan ser cobradas al tarjetahabiente por un mal funcionamiento del servicio de validación de SINPE-TP</w:t>
      </w:r>
      <w:r>
        <w:rPr>
          <w:rStyle w:val="ListaNivel2Car"/>
        </w:rPr>
        <w:t>, cuando el</w:t>
      </w:r>
      <w:r w:rsidRPr="0088794A">
        <w:rPr>
          <w:rFonts w:cs="Arial"/>
          <w:color w:val="000000"/>
          <w:szCs w:val="20"/>
          <w:lang w:eastAsia="es-ES"/>
        </w:rPr>
        <w:t xml:space="preserve"> problema </w:t>
      </w:r>
      <w:r>
        <w:rPr>
          <w:rFonts w:cs="Arial"/>
          <w:color w:val="000000"/>
          <w:szCs w:val="20"/>
          <w:lang w:eastAsia="es-ES"/>
        </w:rPr>
        <w:t xml:space="preserve">sea </w:t>
      </w:r>
      <w:r w:rsidRPr="0088794A">
        <w:rPr>
          <w:rFonts w:cs="Arial"/>
          <w:color w:val="000000"/>
          <w:szCs w:val="20"/>
          <w:lang w:eastAsia="es-ES"/>
        </w:rPr>
        <w:t xml:space="preserve">atribuible a su gestión con </w:t>
      </w:r>
      <w:r>
        <w:rPr>
          <w:rFonts w:cs="Arial"/>
          <w:color w:val="000000"/>
          <w:szCs w:val="20"/>
          <w:lang w:eastAsia="es-ES"/>
        </w:rPr>
        <w:t xml:space="preserve">respecto a </w:t>
      </w:r>
      <w:r w:rsidRPr="0088794A">
        <w:rPr>
          <w:rFonts w:cs="Arial"/>
          <w:color w:val="000000"/>
          <w:szCs w:val="20"/>
          <w:lang w:eastAsia="es-ES"/>
        </w:rPr>
        <w:t>dicho servicio.</w:t>
      </w:r>
    </w:p>
    <w:p w14:paraId="4EDB0510" w14:textId="77777777" w:rsidR="007A7839" w:rsidRPr="00E71D76" w:rsidRDefault="007A7839" w:rsidP="00E23D98">
      <w:pPr>
        <w:pStyle w:val="Ttulo2"/>
        <w:numPr>
          <w:ilvl w:val="1"/>
          <w:numId w:val="3"/>
        </w:numPr>
        <w:tabs>
          <w:tab w:val="clear" w:pos="510"/>
        </w:tabs>
        <w:spacing w:line="276" w:lineRule="auto"/>
        <w:ind w:left="229" w:hanging="229"/>
      </w:pPr>
      <w:bookmarkStart w:id="72" w:name="_Toc347829986"/>
      <w:bookmarkStart w:id="73" w:name="_Toc213828766"/>
      <w:bookmarkStart w:id="74" w:name="_Toc216697950"/>
      <w:r>
        <w:t xml:space="preserve">Del </w:t>
      </w:r>
      <w:r w:rsidRPr="00E71D76">
        <w:t>ciclo de operación</w:t>
      </w:r>
      <w:bookmarkEnd w:id="31"/>
      <w:bookmarkEnd w:id="32"/>
      <w:bookmarkEnd w:id="33"/>
      <w:bookmarkEnd w:id="72"/>
      <w:r>
        <w:t xml:space="preserve"> del servicio</w:t>
      </w:r>
      <w:bookmarkEnd w:id="73"/>
      <w:bookmarkEnd w:id="74"/>
    </w:p>
    <w:p w14:paraId="435E08DC" w14:textId="77777777" w:rsidR="007A7839" w:rsidRDefault="007A7839" w:rsidP="00E23D98">
      <w:r>
        <w:t>El ciclo de liquidación de SINPE-TP es el proceso integrado por las actividades de registro, procesamiento y liquidación de transacciones, en donde las transacciones se producen durante un mismo día calendario. Este ciclo se compone de las siguientes etapas, cada una dependiente de los resultados de la etapa anterior:</w:t>
      </w:r>
    </w:p>
    <w:p w14:paraId="0986B5CB" w14:textId="77777777" w:rsidR="007A7839" w:rsidRPr="00FF34FD" w:rsidRDefault="007A7839" w:rsidP="00FA10A3">
      <w:pPr>
        <w:pStyle w:val="ListaNivel2"/>
        <w:numPr>
          <w:ilvl w:val="0"/>
          <w:numId w:val="5"/>
        </w:numPr>
        <w:spacing w:line="276" w:lineRule="auto"/>
      </w:pPr>
      <w:r w:rsidRPr="00D15051">
        <w:t>Registro en los validadores y recepción en el Sistema Central de Recaudo de las transacciones</w:t>
      </w:r>
      <w:r w:rsidRPr="00FF34FD">
        <w:t>.</w:t>
      </w:r>
    </w:p>
    <w:p w14:paraId="0FF8E65F" w14:textId="77777777" w:rsidR="007A7839" w:rsidRPr="00FF34FD" w:rsidRDefault="007A7839" w:rsidP="00E23D98">
      <w:pPr>
        <w:ind w:left="709"/>
      </w:pPr>
      <w:r w:rsidRPr="00FF34FD">
        <w:t xml:space="preserve">Comprende el periodo de registro de transacciones (marcas </w:t>
      </w:r>
      <w:r>
        <w:t xml:space="preserve">de dispositivos de pago </w:t>
      </w:r>
      <w:r w:rsidRPr="00FF34FD">
        <w:t>en los validadores), transcurrido durante el día anterior al día en que se hace efectiva la acreditación de los ingresos tarifarios a los operadores</w:t>
      </w:r>
      <w:r>
        <w:t xml:space="preserve"> de transporte</w:t>
      </w:r>
      <w:r w:rsidRPr="00FF34FD">
        <w:t>.</w:t>
      </w:r>
      <w:r>
        <w:t xml:space="preserve"> </w:t>
      </w:r>
      <w:r w:rsidRPr="00FF34FD">
        <w:t xml:space="preserve">Este periodo se establece de las </w:t>
      </w:r>
      <w:r>
        <w:t>12</w:t>
      </w:r>
      <w:r w:rsidRPr="00FF34FD">
        <w:t>:00 a.m. a las 11:59 p.m.</w:t>
      </w:r>
    </w:p>
    <w:p w14:paraId="5AAA71C6" w14:textId="77777777" w:rsidR="007A7839" w:rsidRPr="00266938" w:rsidRDefault="007A7839" w:rsidP="00E23D98">
      <w:pPr>
        <w:ind w:left="709"/>
      </w:pPr>
      <w:r w:rsidRPr="00FF34FD">
        <w:t xml:space="preserve">Durante esta ventana horaria, SINPE-TP recoge todas las transacciones de pago reportadas </w:t>
      </w:r>
      <w:r w:rsidRPr="00266938">
        <w:t>por los operadores de transporte al Sistema Central de Recaudo, para su respectivo procesamiento</w:t>
      </w:r>
      <w:r>
        <w:t xml:space="preserve"> y liquidación</w:t>
      </w:r>
      <w:r w:rsidRPr="00266938">
        <w:t>.</w:t>
      </w:r>
    </w:p>
    <w:p w14:paraId="57DB99A9" w14:textId="77777777" w:rsidR="007A7839" w:rsidRPr="00266938" w:rsidRDefault="007A7839" w:rsidP="00E23D98">
      <w:pPr>
        <w:ind w:left="709"/>
      </w:pPr>
      <w:r w:rsidRPr="00266938">
        <w:lastRenderedPageBreak/>
        <w:t>Las marcas o transacciones son procesadas y liquidadas en el ciclo de operación que les corresponda, de acuerdo con la fecha y hora de su ingreso efectivo al Sistema Central de Recaudo. En todos los casos, el BCCR informará a los operadores de transporte la fecha efectiva en que las marcas son registradas en los validadores de SINPE-TP</w:t>
      </w:r>
      <w:r>
        <w:t xml:space="preserve"> y reportadas al Sistema Central de Recaudo.</w:t>
      </w:r>
      <w:r w:rsidRPr="00266938">
        <w:t xml:space="preserve"> </w:t>
      </w:r>
    </w:p>
    <w:p w14:paraId="1EA2D558" w14:textId="77777777" w:rsidR="007A7839" w:rsidRPr="00FF34FD" w:rsidRDefault="007A7839" w:rsidP="00FA10A3">
      <w:pPr>
        <w:pStyle w:val="ListaNivel2"/>
        <w:numPr>
          <w:ilvl w:val="0"/>
          <w:numId w:val="6"/>
        </w:numPr>
        <w:spacing w:line="276" w:lineRule="auto"/>
      </w:pPr>
      <w:r w:rsidRPr="00FF34FD">
        <w:t xml:space="preserve">Envío de transacciones </w:t>
      </w:r>
      <w:r>
        <w:t>al</w:t>
      </w:r>
      <w:r w:rsidRPr="00FF34FD">
        <w:t xml:space="preserve"> adquirente.</w:t>
      </w:r>
    </w:p>
    <w:p w14:paraId="67DF487D" w14:textId="77777777" w:rsidR="007A7839" w:rsidRPr="00FF34FD" w:rsidRDefault="007A7839" w:rsidP="00E23D98">
      <w:pPr>
        <w:ind w:left="709"/>
      </w:pPr>
      <w:r>
        <w:t>S</w:t>
      </w:r>
      <w:r w:rsidRPr="00FF34FD">
        <w:t>e ejecuta a la</w:t>
      </w:r>
      <w:r>
        <w:t>s</w:t>
      </w:r>
      <w:r w:rsidRPr="00FF34FD">
        <w:t xml:space="preserve"> 01:00 a.m. del mismo día natural en el que se hace efectiva la acreditación de los ingresos tarifarios a los operadores</w:t>
      </w:r>
      <w:r>
        <w:t xml:space="preserve"> </w:t>
      </w:r>
      <w:r>
        <w:rPr>
          <w:lang w:val="es-ES_tradnl"/>
        </w:rPr>
        <w:t>de transporte</w:t>
      </w:r>
      <w:r w:rsidRPr="00FF34FD">
        <w:t>.</w:t>
      </w:r>
      <w:r>
        <w:t xml:space="preserve"> </w:t>
      </w:r>
      <w:r w:rsidRPr="00FF34FD">
        <w:t xml:space="preserve">Las transacciones enviadas </w:t>
      </w:r>
      <w:r>
        <w:t>son</w:t>
      </w:r>
      <w:r w:rsidRPr="00FF34FD">
        <w:t xml:space="preserve"> las que SINPE</w:t>
      </w:r>
      <w:r w:rsidRPr="00FF34FD">
        <w:noBreakHyphen/>
        <w:t xml:space="preserve">TP </w:t>
      </w:r>
      <w:r>
        <w:t>haya recibido</w:t>
      </w:r>
      <w:r w:rsidRPr="00FF34FD">
        <w:t xml:space="preserve"> de conformidad con el inciso anterior.</w:t>
      </w:r>
    </w:p>
    <w:p w14:paraId="7BECD419" w14:textId="77777777" w:rsidR="007A7839" w:rsidRPr="00FF34FD" w:rsidRDefault="007A7839" w:rsidP="00FA10A3">
      <w:pPr>
        <w:pStyle w:val="ListaNivel2"/>
        <w:numPr>
          <w:ilvl w:val="0"/>
          <w:numId w:val="6"/>
        </w:numPr>
        <w:spacing w:line="276" w:lineRule="auto"/>
      </w:pPr>
      <w:r w:rsidRPr="00FF34FD">
        <w:t xml:space="preserve">Aplicación del débito de la liquidación en la </w:t>
      </w:r>
      <w:r>
        <w:t>C</w:t>
      </w:r>
      <w:r w:rsidRPr="00FF34FD">
        <w:t xml:space="preserve">uenta </w:t>
      </w:r>
      <w:r>
        <w:t xml:space="preserve">SINPE </w:t>
      </w:r>
      <w:r w:rsidRPr="00FF34FD">
        <w:t>del</w:t>
      </w:r>
      <w:r>
        <w:t xml:space="preserve"> </w:t>
      </w:r>
      <w:r w:rsidRPr="00FF34FD">
        <w:t>adquirente.</w:t>
      </w:r>
    </w:p>
    <w:p w14:paraId="4791CA7A" w14:textId="77777777" w:rsidR="007A7839" w:rsidRPr="00FF34FD" w:rsidRDefault="007A7839" w:rsidP="00E23D98">
      <w:pPr>
        <w:ind w:left="709"/>
      </w:pPr>
      <w:r w:rsidRPr="00FF34FD">
        <w:t xml:space="preserve">Se </w:t>
      </w:r>
      <w:r>
        <w:t>ejecuta</w:t>
      </w:r>
      <w:r w:rsidRPr="00FF34FD">
        <w:t xml:space="preserve"> a las 03:00 a.m. del mismo día natural en el que se hace efectiva la acreditación de los ingresos tarifarios a los operadores</w:t>
      </w:r>
      <w:r>
        <w:t xml:space="preserve"> </w:t>
      </w:r>
      <w:r>
        <w:rPr>
          <w:lang w:val="es-ES_tradnl"/>
        </w:rPr>
        <w:t>de transporte</w:t>
      </w:r>
      <w:r w:rsidRPr="00FF34FD">
        <w:t>.</w:t>
      </w:r>
    </w:p>
    <w:p w14:paraId="3F118CDA" w14:textId="77777777" w:rsidR="007A7839" w:rsidRPr="006C55AB" w:rsidRDefault="007A7839" w:rsidP="00E23D98">
      <w:pPr>
        <w:ind w:left="709"/>
      </w:pPr>
      <w:r w:rsidRPr="00FF34FD">
        <w:t xml:space="preserve">En esta etapa el BCCR debita la </w:t>
      </w:r>
      <w:r w:rsidRPr="008F1503">
        <w:t>Cuenta SINPE</w:t>
      </w:r>
      <w:r w:rsidRPr="00FF34FD">
        <w:t xml:space="preserve"> del adquirente por el monto efectivo de la liquidación, el cual comprende </w:t>
      </w:r>
      <w:r w:rsidRPr="007964FB">
        <w:t>todas las transacciones que hayan sido enviadas a autorizar</w:t>
      </w:r>
      <w:r w:rsidRPr="006C55AB" w:rsidDel="00A24EA6">
        <w:t xml:space="preserve"> </w:t>
      </w:r>
      <w:r w:rsidRPr="006C55AB">
        <w:t>dentro del ciclo de liquidación.</w:t>
      </w:r>
    </w:p>
    <w:p w14:paraId="1F555B91" w14:textId="77777777" w:rsidR="007A7839" w:rsidRPr="00FF34FD" w:rsidRDefault="007A7839" w:rsidP="00FA10A3">
      <w:pPr>
        <w:pStyle w:val="ListaNivel2"/>
        <w:numPr>
          <w:ilvl w:val="0"/>
          <w:numId w:val="6"/>
        </w:numPr>
        <w:spacing w:line="276" w:lineRule="auto"/>
      </w:pPr>
      <w:r w:rsidRPr="00FF34FD">
        <w:t>Liquidación de los ingresos tarifarios en la cuenta de fondos de los operadores</w:t>
      </w:r>
      <w:r>
        <w:t xml:space="preserve"> de transporte</w:t>
      </w:r>
      <w:r w:rsidRPr="00FF34FD">
        <w:t>.</w:t>
      </w:r>
    </w:p>
    <w:p w14:paraId="28A69162" w14:textId="77777777" w:rsidR="007A7839" w:rsidRDefault="007A7839" w:rsidP="00E23D98">
      <w:pPr>
        <w:ind w:left="709"/>
      </w:pPr>
      <w:r w:rsidRPr="00FF34FD">
        <w:t>Se ejecuta a las 5:00 a.m. del día natural siguiente al día en el que ocurre el registro de las transacciones, conforme con el inciso a) anterior.</w:t>
      </w:r>
      <w:r>
        <w:t xml:space="preserve"> </w:t>
      </w:r>
      <w:r w:rsidRPr="00FF34FD">
        <w:t xml:space="preserve">En esta etapa el BCCR ordena </w:t>
      </w:r>
      <w:r>
        <w:t xml:space="preserve">la ejecución de </w:t>
      </w:r>
      <w:r w:rsidRPr="00FF34FD">
        <w:t xml:space="preserve">las transferencias de fondos </w:t>
      </w:r>
      <w:bookmarkStart w:id="75" w:name="_Hlk132366403"/>
      <w:r>
        <w:t xml:space="preserve">para depositar los ingresos tarifarios a </w:t>
      </w:r>
      <w:r w:rsidRPr="00FF34FD">
        <w:t>los operadores</w:t>
      </w:r>
      <w:bookmarkEnd w:id="75"/>
      <w:r>
        <w:t xml:space="preserve"> </w:t>
      </w:r>
      <w:r>
        <w:rPr>
          <w:lang w:val="es-ES_tradnl"/>
        </w:rPr>
        <w:t>de transporte</w:t>
      </w:r>
      <w:r>
        <w:t xml:space="preserve"> (</w:t>
      </w:r>
      <w:r w:rsidRPr="00FF34FD">
        <w:t>por medio de la plataforma del SINPE</w:t>
      </w:r>
      <w:r>
        <w:t xml:space="preserve">), en </w:t>
      </w:r>
      <w:r w:rsidRPr="00FF34FD">
        <w:t xml:space="preserve">las cuentas IBAN </w:t>
      </w:r>
      <w:r>
        <w:t>comunicadas</w:t>
      </w:r>
      <w:r w:rsidRPr="00FF34FD">
        <w:t xml:space="preserve"> por </w:t>
      </w:r>
      <w:r>
        <w:t>los propios operadores</w:t>
      </w:r>
      <w:r w:rsidRPr="00FF34FD">
        <w:t xml:space="preserve"> </w:t>
      </w:r>
      <w:r>
        <w:t xml:space="preserve">al BCCR </w:t>
      </w:r>
      <w:r w:rsidRPr="00FF34FD">
        <w:t>para la liquidación de sus ingresos tarifarios</w:t>
      </w:r>
      <w:r>
        <w:t>.</w:t>
      </w:r>
    </w:p>
    <w:p w14:paraId="19242FED" w14:textId="77777777" w:rsidR="007A7839" w:rsidRDefault="007A7839" w:rsidP="00E23D98">
      <w:pPr>
        <w:tabs>
          <w:tab w:val="left" w:pos="1540"/>
        </w:tabs>
      </w:pPr>
      <w:bookmarkStart w:id="76" w:name="_Hlk178518251"/>
      <w:r>
        <w:t>En los casos excepcionales en que se presente un problema en el ciclo de operación por el cual el horario de las etapas anteriores no pueda mantenerse, el BCCR las ejecutará en el horario en que logre resolver el problema y comunicará la situación a los participantes involucrados.</w:t>
      </w:r>
    </w:p>
    <w:p w14:paraId="1C4F49FA" w14:textId="77777777" w:rsidR="007A7839" w:rsidRDefault="007A7839" w:rsidP="00E23D98">
      <w:pPr>
        <w:pStyle w:val="Ttulo2"/>
        <w:numPr>
          <w:ilvl w:val="1"/>
          <w:numId w:val="3"/>
        </w:numPr>
        <w:tabs>
          <w:tab w:val="clear" w:pos="510"/>
        </w:tabs>
        <w:spacing w:line="276" w:lineRule="auto"/>
        <w:ind w:left="229" w:hanging="229"/>
      </w:pPr>
      <w:bookmarkStart w:id="77" w:name="_Toc178504986"/>
      <w:bookmarkStart w:id="78" w:name="_Toc178522734"/>
      <w:bookmarkStart w:id="79" w:name="_Toc178596969"/>
      <w:bookmarkStart w:id="80" w:name="_Toc178597028"/>
      <w:bookmarkStart w:id="81" w:name="_Toc510257703"/>
      <w:bookmarkStart w:id="82" w:name="_Toc536265256"/>
      <w:bookmarkStart w:id="83" w:name="_Toc682476"/>
      <w:bookmarkStart w:id="84" w:name="_Toc682901"/>
      <w:bookmarkStart w:id="85" w:name="_Toc347829987"/>
      <w:bookmarkStart w:id="86" w:name="_Toc213828767"/>
      <w:bookmarkStart w:id="87" w:name="_Toc216697951"/>
      <w:bookmarkEnd w:id="76"/>
      <w:bookmarkEnd w:id="77"/>
      <w:bookmarkEnd w:id="78"/>
      <w:bookmarkEnd w:id="79"/>
      <w:bookmarkEnd w:id="80"/>
      <w:r>
        <w:t>Cálculo de la liquidación de los ingresos tarifarios</w:t>
      </w:r>
      <w:bookmarkEnd w:id="81"/>
      <w:bookmarkEnd w:id="82"/>
      <w:bookmarkEnd w:id="83"/>
      <w:bookmarkEnd w:id="84"/>
      <w:bookmarkEnd w:id="85"/>
      <w:bookmarkEnd w:id="86"/>
      <w:bookmarkEnd w:id="87"/>
    </w:p>
    <w:p w14:paraId="28D5BC1C" w14:textId="77777777" w:rsidR="007A7839" w:rsidRDefault="007A7839" w:rsidP="00E23D98">
      <w:pPr>
        <w:rPr>
          <w:rFonts w:cs="Arial"/>
          <w:szCs w:val="20"/>
          <w:lang w:val="es-ES"/>
        </w:rPr>
      </w:pPr>
      <w:r w:rsidRPr="0070260D">
        <w:rPr>
          <w:rFonts w:cs="Arial"/>
          <w:szCs w:val="20"/>
          <w:lang w:val="es-ES"/>
        </w:rPr>
        <w:t xml:space="preserve">El monto de las transacciones (pasajes) se liquida al operador </w:t>
      </w:r>
      <w:r w:rsidRPr="00B02C9A">
        <w:rPr>
          <w:rFonts w:cs="Arial"/>
          <w:szCs w:val="20"/>
          <w:lang w:val="es-ES_tradnl" w:eastAsia="es-ES"/>
        </w:rPr>
        <w:t>de transporte</w:t>
      </w:r>
      <w:r w:rsidRPr="0070260D">
        <w:rPr>
          <w:rFonts w:cs="Arial"/>
          <w:szCs w:val="20"/>
          <w:lang w:val="es-ES"/>
        </w:rPr>
        <w:t xml:space="preserve"> de conformidad con el siguiente cálculo</w:t>
      </w:r>
      <w:r>
        <w:rPr>
          <w:rFonts w:cs="Arial"/>
          <w:szCs w:val="20"/>
          <w:lang w:val="es-ES"/>
        </w:rPr>
        <w:t>:</w:t>
      </w:r>
    </w:p>
    <w:p w14:paraId="2A9E522B" w14:textId="77777777" w:rsidR="007A7839" w:rsidRPr="00B64802" w:rsidRDefault="007A7839" w:rsidP="00E23D98">
      <w:pPr>
        <w:shd w:val="clear" w:color="auto" w:fill="F2F2F2"/>
        <w:spacing w:before="0"/>
        <w:ind w:left="3402" w:right="2976"/>
        <w:jc w:val="center"/>
        <w:rPr>
          <w:rFonts w:cs="Arial"/>
          <w:b/>
          <w:sz w:val="24"/>
        </w:rPr>
      </w:pPr>
      <w:r w:rsidRPr="00B64802">
        <w:rPr>
          <w:rFonts w:cs="Arial"/>
          <w:b/>
          <w:sz w:val="24"/>
        </w:rPr>
        <w:t>L</w:t>
      </w:r>
      <w:r w:rsidRPr="00B64802">
        <w:rPr>
          <w:rFonts w:cs="Arial"/>
          <w:b/>
          <w:sz w:val="24"/>
          <w:vertAlign w:val="subscript"/>
        </w:rPr>
        <w:t>n</w:t>
      </w:r>
      <w:r w:rsidRPr="00B64802">
        <w:rPr>
          <w:rFonts w:cs="Arial"/>
          <w:b/>
          <w:sz w:val="24"/>
        </w:rPr>
        <w:t xml:space="preserve"> = T</w:t>
      </w:r>
      <w:r w:rsidRPr="00B64802">
        <w:rPr>
          <w:rFonts w:cs="Arial"/>
          <w:b/>
          <w:sz w:val="24"/>
          <w:vertAlign w:val="subscript"/>
        </w:rPr>
        <w:t>p</w:t>
      </w:r>
      <w:r w:rsidRPr="00B64802">
        <w:rPr>
          <w:rFonts w:cs="Arial"/>
          <w:b/>
          <w:sz w:val="24"/>
        </w:rPr>
        <w:t xml:space="preserve"> – (C</w:t>
      </w:r>
      <w:r w:rsidRPr="00B64802">
        <w:rPr>
          <w:rFonts w:cs="Arial"/>
          <w:b/>
          <w:sz w:val="24"/>
          <w:vertAlign w:val="subscript"/>
        </w:rPr>
        <w:t xml:space="preserve">a </w:t>
      </w:r>
      <w:r w:rsidRPr="00B64802">
        <w:rPr>
          <w:rFonts w:cs="Arial"/>
          <w:sz w:val="24"/>
          <w:lang w:val="es-ES"/>
        </w:rPr>
        <w:t xml:space="preserve">+ </w:t>
      </w:r>
      <w:r w:rsidRPr="00B64802">
        <w:rPr>
          <w:rFonts w:cs="Arial"/>
          <w:b/>
          <w:sz w:val="24"/>
        </w:rPr>
        <w:t>P</w:t>
      </w:r>
      <w:r w:rsidRPr="00B64802">
        <w:rPr>
          <w:rFonts w:cs="Arial"/>
          <w:b/>
          <w:sz w:val="24"/>
          <w:vertAlign w:val="subscript"/>
        </w:rPr>
        <w:t>t</w:t>
      </w:r>
      <w:r w:rsidRPr="00B64802">
        <w:rPr>
          <w:rFonts w:cs="Arial"/>
          <w:b/>
          <w:sz w:val="24"/>
        </w:rPr>
        <w:t>)</w:t>
      </w:r>
    </w:p>
    <w:p w14:paraId="16C306DA" w14:textId="77777777" w:rsidR="007A7839" w:rsidRDefault="007A7839" w:rsidP="00E23D98">
      <w:pPr>
        <w:rPr>
          <w:lang w:val="es-ES_tradnl" w:eastAsia="es-ES"/>
        </w:rPr>
      </w:pPr>
      <w:r>
        <w:rPr>
          <w:lang w:val="es-ES_tradnl" w:eastAsia="es-ES"/>
        </w:rPr>
        <w:t>En donde:</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0" w:type="dxa"/>
          <w:right w:w="0" w:type="dxa"/>
        </w:tblCellMar>
        <w:tblLook w:val="04A0" w:firstRow="1" w:lastRow="0" w:firstColumn="1" w:lastColumn="0" w:noHBand="0" w:noVBand="1"/>
      </w:tblPr>
      <w:tblGrid>
        <w:gridCol w:w="849"/>
        <w:gridCol w:w="7074"/>
      </w:tblGrid>
      <w:tr w:rsidR="007A7839" w:rsidRPr="00983F6B" w14:paraId="65E1BF5D" w14:textId="77777777" w:rsidTr="00C91541">
        <w:trPr>
          <w:cantSplit/>
        </w:trPr>
        <w:tc>
          <w:tcPr>
            <w:tcW w:w="851" w:type="dxa"/>
            <w:shd w:val="clear" w:color="auto" w:fill="D5DCE4" w:themeFill="text2" w:themeFillTint="33"/>
            <w:vAlign w:val="center"/>
          </w:tcPr>
          <w:p w14:paraId="52EA9AC2" w14:textId="77777777" w:rsidR="007A7839" w:rsidRPr="00793F98" w:rsidRDefault="007A7839" w:rsidP="00E23D98">
            <w:pPr>
              <w:pStyle w:val="TextoTablaCentrado"/>
              <w:spacing w:before="40" w:after="40" w:line="276" w:lineRule="auto"/>
              <w:rPr>
                <w:rFonts w:ascii="Arial" w:hAnsi="Arial" w:cs="Arial"/>
                <w:position w:val="-20"/>
                <w:sz w:val="20"/>
                <w:szCs w:val="20"/>
                <w:lang w:val="es-ES_tradnl" w:eastAsia="es-ES"/>
              </w:rPr>
            </w:pPr>
            <w:r w:rsidRPr="00793F98">
              <w:rPr>
                <w:rFonts w:ascii="Arial" w:hAnsi="Arial" w:cs="Arial"/>
                <w:position w:val="-20"/>
                <w:sz w:val="20"/>
                <w:szCs w:val="20"/>
                <w:lang w:val="es-ES"/>
              </w:rPr>
              <w:t>L</w:t>
            </w:r>
            <w:r w:rsidRPr="00793F98">
              <w:rPr>
                <w:rFonts w:ascii="Arial" w:hAnsi="Arial" w:cs="Arial"/>
                <w:position w:val="-20"/>
                <w:sz w:val="20"/>
                <w:szCs w:val="20"/>
              </w:rPr>
              <w:t>n</w:t>
            </w:r>
            <w:r w:rsidRPr="00793F98">
              <w:rPr>
                <w:rFonts w:ascii="Arial" w:hAnsi="Arial" w:cs="Arial"/>
                <w:position w:val="-20"/>
                <w:sz w:val="20"/>
                <w:szCs w:val="20"/>
                <w:lang w:val="es-ES"/>
              </w:rPr>
              <w:t xml:space="preserve"> =</w:t>
            </w:r>
          </w:p>
        </w:tc>
        <w:tc>
          <w:tcPr>
            <w:tcW w:w="7092" w:type="dxa"/>
            <w:shd w:val="clear" w:color="auto" w:fill="D5DCE4" w:themeFill="text2" w:themeFillTint="33"/>
            <w:vAlign w:val="center"/>
          </w:tcPr>
          <w:p w14:paraId="0D3FDBD9" w14:textId="77777777" w:rsidR="007A7839" w:rsidRPr="00793F98" w:rsidRDefault="007A7839" w:rsidP="00E23D98">
            <w:pPr>
              <w:pStyle w:val="TextoTablaIzquierda"/>
              <w:spacing w:before="40" w:after="40" w:line="276" w:lineRule="auto"/>
              <w:ind w:left="141"/>
              <w:rPr>
                <w:rFonts w:ascii="Arial" w:hAnsi="Arial" w:cs="Arial"/>
                <w:position w:val="-20"/>
                <w:sz w:val="20"/>
                <w:szCs w:val="20"/>
                <w:lang w:val="es-ES_tradnl" w:eastAsia="es-ES"/>
              </w:rPr>
            </w:pPr>
            <w:r w:rsidRPr="00793F98">
              <w:rPr>
                <w:rFonts w:ascii="Arial" w:hAnsi="Arial" w:cs="Arial"/>
                <w:position w:val="-20"/>
                <w:sz w:val="20"/>
                <w:szCs w:val="20"/>
                <w:lang w:val="es-ES"/>
              </w:rPr>
              <w:t>Monto neto de la transacción por liquidar al operador de transporte.</w:t>
            </w:r>
          </w:p>
        </w:tc>
      </w:tr>
      <w:tr w:rsidR="007A7839" w:rsidRPr="00983F6B" w14:paraId="53CFA2A6" w14:textId="77777777" w:rsidTr="00C91541">
        <w:trPr>
          <w:cantSplit/>
        </w:trPr>
        <w:tc>
          <w:tcPr>
            <w:tcW w:w="851" w:type="dxa"/>
            <w:shd w:val="clear" w:color="auto" w:fill="D5DCE4" w:themeFill="text2" w:themeFillTint="33"/>
            <w:vAlign w:val="center"/>
          </w:tcPr>
          <w:p w14:paraId="20774115" w14:textId="77777777" w:rsidR="007A7839" w:rsidRPr="00793F98" w:rsidRDefault="007A7839" w:rsidP="00E23D98">
            <w:pPr>
              <w:pStyle w:val="TextoTablaCentrado"/>
              <w:spacing w:before="40" w:after="40" w:line="276" w:lineRule="auto"/>
              <w:rPr>
                <w:rFonts w:ascii="Arial" w:hAnsi="Arial" w:cs="Arial"/>
                <w:position w:val="-20"/>
                <w:sz w:val="20"/>
                <w:szCs w:val="20"/>
                <w:lang w:val="es-ES_tradnl" w:eastAsia="es-ES"/>
              </w:rPr>
            </w:pPr>
            <w:r w:rsidRPr="00793F98">
              <w:rPr>
                <w:rFonts w:ascii="Arial" w:hAnsi="Arial" w:cs="Arial"/>
                <w:position w:val="-20"/>
                <w:sz w:val="20"/>
                <w:szCs w:val="20"/>
                <w:lang w:val="es-ES"/>
              </w:rPr>
              <w:t>T</w:t>
            </w:r>
            <w:r w:rsidRPr="00793F98">
              <w:rPr>
                <w:rFonts w:ascii="Arial" w:hAnsi="Arial" w:cs="Arial"/>
                <w:position w:val="-20"/>
                <w:sz w:val="20"/>
                <w:szCs w:val="20"/>
                <w:vertAlign w:val="subscript"/>
                <w:lang w:val="es-ES"/>
              </w:rPr>
              <w:t>p</w:t>
            </w:r>
            <w:r w:rsidRPr="00793F98">
              <w:rPr>
                <w:rFonts w:ascii="Arial" w:hAnsi="Arial" w:cs="Arial"/>
                <w:position w:val="-20"/>
                <w:sz w:val="20"/>
                <w:szCs w:val="20"/>
                <w:lang w:val="es-ES"/>
              </w:rPr>
              <w:t xml:space="preserve"> =</w:t>
            </w:r>
          </w:p>
        </w:tc>
        <w:tc>
          <w:tcPr>
            <w:tcW w:w="7092" w:type="dxa"/>
            <w:shd w:val="clear" w:color="auto" w:fill="D5DCE4" w:themeFill="text2" w:themeFillTint="33"/>
            <w:vAlign w:val="center"/>
          </w:tcPr>
          <w:p w14:paraId="1A08847E" w14:textId="77777777" w:rsidR="007A7839" w:rsidRPr="00793F98" w:rsidRDefault="007A7839" w:rsidP="00E23D98">
            <w:pPr>
              <w:pStyle w:val="TextoTablaIzquierda"/>
              <w:spacing w:before="40" w:after="40" w:line="276" w:lineRule="auto"/>
              <w:ind w:left="141"/>
              <w:jc w:val="both"/>
              <w:rPr>
                <w:rFonts w:ascii="Arial" w:hAnsi="Arial" w:cs="Arial"/>
                <w:position w:val="-20"/>
                <w:sz w:val="20"/>
                <w:szCs w:val="20"/>
                <w:lang w:val="es-ES_tradnl" w:eastAsia="es-ES"/>
              </w:rPr>
            </w:pPr>
            <w:r w:rsidRPr="00793F98">
              <w:rPr>
                <w:rFonts w:ascii="Arial" w:hAnsi="Arial" w:cs="Arial"/>
                <w:position w:val="-20"/>
                <w:sz w:val="20"/>
                <w:szCs w:val="20"/>
                <w:lang w:val="es-ES"/>
              </w:rPr>
              <w:t>Monto en colones del total de las transacciones procesadas por medio de SINPE</w:t>
            </w:r>
            <w:r w:rsidRPr="00793F98">
              <w:rPr>
                <w:rFonts w:ascii="Arial" w:hAnsi="Arial" w:cs="Arial"/>
                <w:position w:val="-20"/>
                <w:sz w:val="20"/>
                <w:szCs w:val="20"/>
                <w:lang w:val="es-ES"/>
              </w:rPr>
              <w:noBreakHyphen/>
              <w:t>TP (según el inciso a), del apartado 3.2).</w:t>
            </w:r>
          </w:p>
        </w:tc>
      </w:tr>
      <w:tr w:rsidR="007A7839" w:rsidRPr="00983F6B" w14:paraId="1A431E97" w14:textId="77777777" w:rsidTr="00C91541">
        <w:trPr>
          <w:cantSplit/>
        </w:trPr>
        <w:tc>
          <w:tcPr>
            <w:tcW w:w="851" w:type="dxa"/>
            <w:shd w:val="clear" w:color="auto" w:fill="D5DCE4" w:themeFill="text2" w:themeFillTint="33"/>
            <w:vAlign w:val="center"/>
          </w:tcPr>
          <w:p w14:paraId="5F9FA214" w14:textId="77777777" w:rsidR="007A7839" w:rsidRPr="00793F98" w:rsidRDefault="007A7839" w:rsidP="00E23D98">
            <w:pPr>
              <w:pStyle w:val="TextoTablaCentrado"/>
              <w:spacing w:before="40" w:after="40" w:line="276" w:lineRule="auto"/>
              <w:rPr>
                <w:rFonts w:ascii="Arial" w:hAnsi="Arial" w:cs="Arial"/>
                <w:position w:val="-20"/>
                <w:sz w:val="20"/>
                <w:szCs w:val="20"/>
                <w:lang w:val="es-ES_tradnl" w:eastAsia="es-ES"/>
              </w:rPr>
            </w:pPr>
            <w:r w:rsidRPr="00793F98">
              <w:rPr>
                <w:rFonts w:ascii="Arial" w:hAnsi="Arial" w:cs="Arial"/>
                <w:position w:val="-20"/>
                <w:sz w:val="20"/>
                <w:szCs w:val="20"/>
                <w:lang w:val="es-ES"/>
              </w:rPr>
              <w:t>C</w:t>
            </w:r>
            <w:r w:rsidRPr="00793F98">
              <w:rPr>
                <w:rFonts w:ascii="Arial" w:hAnsi="Arial" w:cs="Arial"/>
                <w:position w:val="-20"/>
                <w:sz w:val="20"/>
                <w:szCs w:val="20"/>
              </w:rPr>
              <w:t>a</w:t>
            </w:r>
            <w:r w:rsidRPr="00793F98">
              <w:rPr>
                <w:rFonts w:ascii="Arial" w:hAnsi="Arial" w:cs="Arial"/>
                <w:position w:val="-20"/>
                <w:sz w:val="20"/>
                <w:szCs w:val="20"/>
                <w:lang w:val="es-ES"/>
              </w:rPr>
              <w:t xml:space="preserve"> =</w:t>
            </w:r>
          </w:p>
        </w:tc>
        <w:tc>
          <w:tcPr>
            <w:tcW w:w="7092" w:type="dxa"/>
            <w:shd w:val="clear" w:color="auto" w:fill="D5DCE4" w:themeFill="text2" w:themeFillTint="33"/>
            <w:vAlign w:val="center"/>
          </w:tcPr>
          <w:p w14:paraId="0A19C910" w14:textId="77777777" w:rsidR="007A7839" w:rsidRPr="00793F98" w:rsidRDefault="007A7839" w:rsidP="00E23D98">
            <w:pPr>
              <w:pStyle w:val="TextoTablaIzquierda"/>
              <w:spacing w:before="40" w:after="40" w:line="276" w:lineRule="auto"/>
              <w:ind w:left="141"/>
              <w:jc w:val="both"/>
              <w:rPr>
                <w:rFonts w:ascii="Arial" w:hAnsi="Arial" w:cs="Arial"/>
                <w:position w:val="-20"/>
                <w:sz w:val="20"/>
                <w:szCs w:val="20"/>
                <w:lang w:val="es-ES_tradnl" w:eastAsia="es-ES"/>
              </w:rPr>
            </w:pPr>
            <w:r w:rsidRPr="00793F98">
              <w:rPr>
                <w:rFonts w:ascii="Arial" w:hAnsi="Arial" w:cs="Arial"/>
                <w:position w:val="-20"/>
                <w:sz w:val="20"/>
                <w:szCs w:val="20"/>
                <w:lang w:val="es-ES"/>
              </w:rPr>
              <w:t>Monto de la comisión del adquirente (calculada conforme con el apartado 5.1.1).</w:t>
            </w:r>
          </w:p>
        </w:tc>
      </w:tr>
      <w:tr w:rsidR="007A7839" w:rsidRPr="00983F6B" w14:paraId="4555E3DB" w14:textId="77777777" w:rsidTr="00C91541">
        <w:trPr>
          <w:cantSplit/>
        </w:trPr>
        <w:tc>
          <w:tcPr>
            <w:tcW w:w="851" w:type="dxa"/>
            <w:shd w:val="clear" w:color="auto" w:fill="D5DCE4" w:themeFill="text2" w:themeFillTint="33"/>
            <w:vAlign w:val="center"/>
          </w:tcPr>
          <w:p w14:paraId="1BF94E0A" w14:textId="77777777" w:rsidR="007A7839" w:rsidRPr="00793F98" w:rsidRDefault="007A7839" w:rsidP="00E23D98">
            <w:pPr>
              <w:pStyle w:val="TextoTablaCentrado"/>
              <w:spacing w:before="40" w:after="40" w:line="276" w:lineRule="auto"/>
              <w:rPr>
                <w:rFonts w:ascii="Arial" w:hAnsi="Arial" w:cs="Arial"/>
                <w:position w:val="-20"/>
                <w:sz w:val="20"/>
                <w:szCs w:val="20"/>
                <w:lang w:val="es-ES_tradnl" w:eastAsia="es-ES"/>
              </w:rPr>
            </w:pPr>
            <w:r w:rsidRPr="00793F98">
              <w:rPr>
                <w:rFonts w:ascii="Arial" w:hAnsi="Arial" w:cs="Arial"/>
                <w:position w:val="-20"/>
                <w:sz w:val="20"/>
                <w:szCs w:val="20"/>
                <w:lang w:val="es-ES"/>
              </w:rPr>
              <w:t>P</w:t>
            </w:r>
            <w:r w:rsidRPr="00793F98">
              <w:rPr>
                <w:rFonts w:ascii="Arial" w:hAnsi="Arial" w:cs="Arial"/>
                <w:position w:val="-20"/>
                <w:sz w:val="20"/>
                <w:szCs w:val="20"/>
                <w:vertAlign w:val="subscript"/>
                <w:lang w:val="es-ES"/>
              </w:rPr>
              <w:t>t</w:t>
            </w:r>
            <w:r w:rsidRPr="00793F98">
              <w:rPr>
                <w:rFonts w:ascii="Arial" w:hAnsi="Arial" w:cs="Arial"/>
                <w:position w:val="-20"/>
                <w:sz w:val="20"/>
                <w:szCs w:val="20"/>
                <w:lang w:val="es-ES"/>
              </w:rPr>
              <w:t xml:space="preserve"> =</w:t>
            </w:r>
          </w:p>
        </w:tc>
        <w:tc>
          <w:tcPr>
            <w:tcW w:w="7092" w:type="dxa"/>
            <w:shd w:val="clear" w:color="auto" w:fill="D5DCE4" w:themeFill="text2" w:themeFillTint="33"/>
            <w:vAlign w:val="center"/>
          </w:tcPr>
          <w:p w14:paraId="46339E8A" w14:textId="77777777" w:rsidR="007A7839" w:rsidRPr="00793F98" w:rsidRDefault="007A7839" w:rsidP="00E23D98">
            <w:pPr>
              <w:pStyle w:val="TextoTablaIzquierda"/>
              <w:spacing w:before="40" w:after="40" w:line="276" w:lineRule="auto"/>
              <w:ind w:left="141"/>
              <w:jc w:val="both"/>
              <w:rPr>
                <w:rFonts w:ascii="Arial" w:hAnsi="Arial" w:cs="Arial"/>
                <w:position w:val="-20"/>
                <w:sz w:val="20"/>
                <w:szCs w:val="20"/>
                <w:lang w:val="es-ES_tradnl" w:eastAsia="es-ES"/>
              </w:rPr>
            </w:pPr>
            <w:r w:rsidRPr="00793F98">
              <w:rPr>
                <w:rFonts w:ascii="Arial" w:hAnsi="Arial" w:cs="Arial"/>
                <w:position w:val="-20"/>
                <w:sz w:val="20"/>
                <w:szCs w:val="20"/>
                <w:lang w:val="es-ES"/>
              </w:rPr>
              <w:t xml:space="preserve">Monto de la comisión de la pasarela de </w:t>
            </w:r>
            <w:r>
              <w:rPr>
                <w:rFonts w:ascii="Arial" w:hAnsi="Arial" w:cs="Arial"/>
                <w:position w:val="-20"/>
                <w:sz w:val="20"/>
                <w:szCs w:val="20"/>
                <w:lang w:val="es-ES"/>
              </w:rPr>
              <w:t>transporte</w:t>
            </w:r>
            <w:r w:rsidRPr="00793F98">
              <w:rPr>
                <w:rFonts w:ascii="Arial" w:hAnsi="Arial" w:cs="Arial"/>
                <w:position w:val="-20"/>
                <w:sz w:val="20"/>
                <w:szCs w:val="20"/>
                <w:lang w:val="es-ES"/>
              </w:rPr>
              <w:t xml:space="preserve"> (calculada conforme con el apartado 5.3.1).</w:t>
            </w:r>
          </w:p>
        </w:tc>
      </w:tr>
    </w:tbl>
    <w:p w14:paraId="0B132C97" w14:textId="77777777" w:rsidR="007A7839" w:rsidRDefault="007A7839" w:rsidP="00E23D98">
      <w:pPr>
        <w:rPr>
          <w:rFonts w:cs="Arial"/>
          <w:szCs w:val="20"/>
          <w:lang w:val="es-ES"/>
        </w:rPr>
      </w:pPr>
      <w:r w:rsidRPr="0070260D">
        <w:rPr>
          <w:rFonts w:cs="Arial"/>
          <w:szCs w:val="20"/>
          <w:lang w:val="es-ES"/>
        </w:rPr>
        <w:t>El monto de la liquidación corresponderá a la suma de las transacciones procesadas en un mismo ciclo de liquidación</w:t>
      </w:r>
      <w:r>
        <w:rPr>
          <w:rFonts w:cs="Arial"/>
          <w:szCs w:val="20"/>
          <w:lang w:val="es-ES"/>
        </w:rPr>
        <w:t xml:space="preserve"> (con la deducción del costo de las transacciones que corran por cuenta del operador de </w:t>
      </w:r>
      <w:r>
        <w:rPr>
          <w:rFonts w:cs="Arial"/>
          <w:szCs w:val="20"/>
          <w:lang w:val="es-ES"/>
        </w:rPr>
        <w:lastRenderedPageBreak/>
        <w:t>transporte, conforme con la presente norma complementaria)</w:t>
      </w:r>
      <w:r w:rsidRPr="0070260D">
        <w:rPr>
          <w:rFonts w:cs="Arial"/>
          <w:szCs w:val="20"/>
          <w:lang w:val="es-ES"/>
        </w:rPr>
        <w:t xml:space="preserve">, y se deposita en la cuenta IBAN comunicada </w:t>
      </w:r>
      <w:r>
        <w:rPr>
          <w:rFonts w:cs="Arial"/>
          <w:szCs w:val="20"/>
          <w:lang w:val="es-ES"/>
        </w:rPr>
        <w:t xml:space="preserve">por el operador de transporte </w:t>
      </w:r>
      <w:r w:rsidRPr="0070260D">
        <w:rPr>
          <w:rFonts w:cs="Arial"/>
          <w:szCs w:val="20"/>
          <w:lang w:val="es-ES"/>
        </w:rPr>
        <w:t>al BCCR para la acreditación de los ingresos tarifarios recaudados por medio de SINPE-TP</w:t>
      </w:r>
      <w:r>
        <w:rPr>
          <w:rFonts w:cs="Arial"/>
          <w:szCs w:val="20"/>
          <w:lang w:val="es-ES"/>
        </w:rPr>
        <w:t>.</w:t>
      </w:r>
    </w:p>
    <w:p w14:paraId="79A26323" w14:textId="77777777" w:rsidR="007A7839" w:rsidRDefault="007A7839" w:rsidP="00E23D98">
      <w:pPr>
        <w:pStyle w:val="Ttulo2"/>
        <w:numPr>
          <w:ilvl w:val="1"/>
          <w:numId w:val="3"/>
        </w:numPr>
        <w:tabs>
          <w:tab w:val="clear" w:pos="510"/>
        </w:tabs>
        <w:spacing w:line="276" w:lineRule="auto"/>
        <w:ind w:left="229" w:hanging="229"/>
      </w:pPr>
      <w:bookmarkStart w:id="88" w:name="_Toc213828768"/>
      <w:bookmarkStart w:id="89" w:name="_Toc216697952"/>
      <w:r>
        <w:t>Morosidad</w:t>
      </w:r>
      <w:bookmarkEnd w:id="88"/>
      <w:bookmarkEnd w:id="89"/>
    </w:p>
    <w:p w14:paraId="65C21E17" w14:textId="77777777" w:rsidR="007A7839" w:rsidRPr="00C92247" w:rsidRDefault="007A7839" w:rsidP="00E23D98">
      <w:pPr>
        <w:rPr>
          <w:lang w:val="es-ES_tradnl" w:eastAsia="es-ES"/>
        </w:rPr>
      </w:pPr>
      <w:r w:rsidRPr="007E2C40">
        <w:rPr>
          <w:lang w:val="es-ES_tradnl" w:eastAsia="es-ES"/>
        </w:rPr>
        <w:t>Se refiere al monto de las transacciones que no pued</w:t>
      </w:r>
      <w:r w:rsidRPr="007964FB">
        <w:rPr>
          <w:lang w:val="es-ES_tradnl" w:eastAsia="es-ES"/>
        </w:rPr>
        <w:t>e</w:t>
      </w:r>
      <w:r w:rsidRPr="00C92247">
        <w:rPr>
          <w:lang w:val="es-ES_tradnl" w:eastAsia="es-ES"/>
        </w:rPr>
        <w:t xml:space="preserve">n ser cobradas exitosamente durante su ciclo normal de liquidación, las cuales se encuentran garantizadas a favor de los operadores de transporte de conformidad con el modelo de gestión de riesgos y responsabilidades regulado por el </w:t>
      </w:r>
      <w:r>
        <w:rPr>
          <w:lang w:val="es-ES_tradnl" w:eastAsia="es-ES"/>
        </w:rPr>
        <w:t xml:space="preserve">Capítulo VI del </w:t>
      </w:r>
      <w:r w:rsidRPr="00C92247">
        <w:rPr>
          <w:lang w:val="es-ES_tradnl" w:eastAsia="es-ES"/>
        </w:rPr>
        <w:t xml:space="preserve">Reglamento </w:t>
      </w:r>
      <w:r>
        <w:rPr>
          <w:lang w:val="es-ES_tradnl" w:eastAsia="es-ES"/>
        </w:rPr>
        <w:t>de SINPE-TP</w:t>
      </w:r>
      <w:r w:rsidRPr="00C92247">
        <w:rPr>
          <w:lang w:val="es-ES_tradnl" w:eastAsia="es-ES"/>
        </w:rPr>
        <w:t>.</w:t>
      </w:r>
    </w:p>
    <w:p w14:paraId="6309333E" w14:textId="77777777" w:rsidR="007A7839" w:rsidRPr="00F75A80" w:rsidRDefault="007A7839" w:rsidP="00E23D98">
      <w:pPr>
        <w:rPr>
          <w:lang w:val="es-ES_tradnl" w:eastAsia="es-ES"/>
        </w:rPr>
      </w:pPr>
      <w:r w:rsidRPr="00C92247">
        <w:rPr>
          <w:lang w:val="es-ES_tradnl" w:eastAsia="es-ES"/>
        </w:rPr>
        <w:t>Una transacción asume un estado moroso cuando la cuenta del tarjetahabiente presenta alguna condición</w:t>
      </w:r>
      <w:bookmarkStart w:id="90" w:name="_Hlk132301077"/>
      <w:r w:rsidRPr="00C92247">
        <w:rPr>
          <w:lang w:val="es-ES_tradnl" w:eastAsia="es-ES"/>
        </w:rPr>
        <w:t xml:space="preserve"> por la cual el emisor no pueda realizar</w:t>
      </w:r>
      <w:bookmarkEnd w:id="90"/>
      <w:r w:rsidRPr="00C92247">
        <w:rPr>
          <w:lang w:val="es-ES_tradnl" w:eastAsia="es-ES"/>
        </w:rPr>
        <w:t>, en el ciclo normal de liquidación</w:t>
      </w:r>
      <w:r>
        <w:rPr>
          <w:lang w:val="es-ES_tradnl" w:eastAsia="es-ES"/>
        </w:rPr>
        <w:t xml:space="preserve"> </w:t>
      </w:r>
      <w:r w:rsidRPr="00C92247">
        <w:rPr>
          <w:lang w:val="es-ES_tradnl" w:eastAsia="es-ES"/>
        </w:rPr>
        <w:t>de</w:t>
      </w:r>
      <w:r w:rsidRPr="00F75A80">
        <w:rPr>
          <w:lang w:val="es-ES_tradnl" w:eastAsia="es-ES"/>
        </w:rPr>
        <w:t xml:space="preserve"> SINPE-TP, el cobro de los pasajes respectivos a cargo de su cliente</w:t>
      </w:r>
      <w:r>
        <w:rPr>
          <w:lang w:val="es-ES_tradnl" w:eastAsia="es-ES"/>
        </w:rPr>
        <w:t xml:space="preserve"> (tarjetahabiente)</w:t>
      </w:r>
      <w:r w:rsidRPr="00F75A80">
        <w:rPr>
          <w:lang w:val="es-ES_tradnl" w:eastAsia="es-ES"/>
        </w:rPr>
        <w:t>.</w:t>
      </w:r>
    </w:p>
    <w:p w14:paraId="72FFB806" w14:textId="77777777" w:rsidR="007A7839" w:rsidRPr="00275F23" w:rsidRDefault="007A7839" w:rsidP="00E23D98">
      <w:pPr>
        <w:rPr>
          <w:lang w:val="es-ES_tradnl" w:eastAsia="es-ES"/>
        </w:rPr>
      </w:pPr>
      <w:r w:rsidRPr="00275F23">
        <w:rPr>
          <w:lang w:val="es-ES_tradnl" w:eastAsia="es-ES"/>
        </w:rPr>
        <w:t xml:space="preserve">Para sus efectos contables (internos), el BCCR mantendrá los viajes pendientes de cobro bajo esta condición de morosidad hasta que acumulen un máximo de </w:t>
      </w:r>
      <w:r>
        <w:rPr>
          <w:lang w:val="es-ES_tradnl" w:eastAsia="es-ES"/>
        </w:rPr>
        <w:t>noventa</w:t>
      </w:r>
      <w:r w:rsidRPr="00275F23">
        <w:rPr>
          <w:lang w:val="es-ES_tradnl" w:eastAsia="es-ES"/>
        </w:rPr>
        <w:t xml:space="preserve"> días naturales de antigüedad, contados a partir del día siguiente de su ciclo normal de liquidación.</w:t>
      </w:r>
    </w:p>
    <w:p w14:paraId="5743AA9A" w14:textId="77777777" w:rsidR="007A7839" w:rsidRPr="00275F23" w:rsidRDefault="007A7839" w:rsidP="00E23D98">
      <w:pPr>
        <w:rPr>
          <w:lang w:val="es-ES_tradnl" w:eastAsia="es-ES"/>
        </w:rPr>
      </w:pPr>
      <w:r w:rsidRPr="00C114A6">
        <w:rPr>
          <w:lang w:val="es-ES_tradnl" w:eastAsia="es-ES"/>
        </w:rPr>
        <w:t xml:space="preserve">Las recuperaciones de deudas morosas </w:t>
      </w:r>
      <w:r w:rsidRPr="00CF263B">
        <w:rPr>
          <w:lang w:val="es-ES_tradnl" w:eastAsia="es-ES"/>
        </w:rPr>
        <w:t xml:space="preserve">cuyo pago haya sido cubierto con cargo a la garantía </w:t>
      </w:r>
      <w:r>
        <w:rPr>
          <w:lang w:val="es-ES_tradnl" w:eastAsia="es-ES"/>
        </w:rPr>
        <w:t xml:space="preserve">otorgada por </w:t>
      </w:r>
      <w:r w:rsidRPr="00CF263B">
        <w:rPr>
          <w:lang w:val="es-ES_tradnl" w:eastAsia="es-ES"/>
        </w:rPr>
        <w:t xml:space="preserve">los emisores serán </w:t>
      </w:r>
      <w:r w:rsidRPr="00C114A6">
        <w:rPr>
          <w:lang w:val="es-ES_tradnl" w:eastAsia="es-ES"/>
        </w:rPr>
        <w:t xml:space="preserve">liquidadas </w:t>
      </w:r>
      <w:r w:rsidRPr="00CF263B">
        <w:rPr>
          <w:lang w:val="es-ES_tradnl" w:eastAsia="es-ES"/>
        </w:rPr>
        <w:t xml:space="preserve">al emisor ejecutor de la </w:t>
      </w:r>
      <w:r w:rsidRPr="00C114A6">
        <w:rPr>
          <w:lang w:val="es-ES_tradnl" w:eastAsia="es-ES"/>
        </w:rPr>
        <w:t>garantía, conforme con el apartado 3.1 de la presente norma complementaria.</w:t>
      </w:r>
    </w:p>
    <w:p w14:paraId="59F4A97D" w14:textId="77777777" w:rsidR="007A7839" w:rsidRPr="008F1503" w:rsidRDefault="007A7839" w:rsidP="00E23D98">
      <w:pPr>
        <w:rPr>
          <w:rFonts w:cs="Arial"/>
          <w:lang w:val="es-ES_tradnl" w:eastAsia="es-ES"/>
        </w:rPr>
      </w:pPr>
      <w:r w:rsidRPr="008F1503">
        <w:rPr>
          <w:rFonts w:cs="Arial"/>
          <w:lang w:val="es-ES_tradnl" w:eastAsia="es-ES"/>
        </w:rPr>
        <w:t>Los emisores que asuman el costo de transacciones morosas que se generen con el funcionamiento de SINPE-TP, realizarán el manejo financiero-contable de dichas transacciones de conformidad con sus políticas y procedimientos internos de registro.</w:t>
      </w:r>
    </w:p>
    <w:p w14:paraId="1A170E8F" w14:textId="77777777" w:rsidR="007A7839" w:rsidRPr="00266938" w:rsidRDefault="007A7839" w:rsidP="00E23D98">
      <w:pPr>
        <w:pStyle w:val="Ttulo2"/>
        <w:numPr>
          <w:ilvl w:val="1"/>
          <w:numId w:val="3"/>
        </w:numPr>
        <w:tabs>
          <w:tab w:val="clear" w:pos="510"/>
        </w:tabs>
        <w:spacing w:line="276" w:lineRule="auto"/>
        <w:ind w:left="229" w:hanging="229"/>
      </w:pPr>
      <w:bookmarkStart w:id="91" w:name="_Toc213828769"/>
      <w:bookmarkStart w:id="92" w:name="_Toc216697953"/>
      <w:r w:rsidRPr="00266938">
        <w:t>Incobrabilidad</w:t>
      </w:r>
      <w:bookmarkEnd w:id="91"/>
      <w:bookmarkEnd w:id="92"/>
    </w:p>
    <w:p w14:paraId="019637E1" w14:textId="77777777" w:rsidR="007A7839" w:rsidRDefault="007A7839" w:rsidP="00E23D98">
      <w:pPr>
        <w:rPr>
          <w:lang w:val="es-ES_tradnl" w:eastAsia="es-ES"/>
        </w:rPr>
      </w:pPr>
      <w:r w:rsidRPr="00266938">
        <w:rPr>
          <w:rStyle w:val="ListaNivel2Car"/>
        </w:rPr>
        <w:t xml:space="preserve">De conformidad con lo que establece el artículo </w:t>
      </w:r>
      <w:r>
        <w:rPr>
          <w:rStyle w:val="ListaNivel2Car"/>
        </w:rPr>
        <w:t>46</w:t>
      </w:r>
      <w:r w:rsidRPr="00266938">
        <w:rPr>
          <w:rStyle w:val="ListaNivel2Car"/>
        </w:rPr>
        <w:t xml:space="preserve"> del Reglamento </w:t>
      </w:r>
      <w:r>
        <w:rPr>
          <w:rStyle w:val="ListaNivel2Car"/>
        </w:rPr>
        <w:t>de SINPE-TP</w:t>
      </w:r>
      <w:r w:rsidRPr="00266938">
        <w:rPr>
          <w:rStyle w:val="ListaNivel2Car"/>
        </w:rPr>
        <w:t xml:space="preserve">, </w:t>
      </w:r>
      <w:r w:rsidRPr="00266938">
        <w:rPr>
          <w:lang w:val="es-ES_tradnl" w:eastAsia="es-ES"/>
        </w:rPr>
        <w:t>las partidas de</w:t>
      </w:r>
      <w:r>
        <w:rPr>
          <w:lang w:val="es-ES_tradnl" w:eastAsia="es-ES"/>
        </w:rPr>
        <w:t>l</w:t>
      </w:r>
      <w:r w:rsidRPr="00266938">
        <w:rPr>
          <w:lang w:val="es-ES_tradnl" w:eastAsia="es-ES"/>
        </w:rPr>
        <w:t xml:space="preserve"> </w:t>
      </w:r>
      <w:r>
        <w:rPr>
          <w:lang w:val="es-ES_tradnl" w:eastAsia="es-ES"/>
        </w:rPr>
        <w:t xml:space="preserve">servicio </w:t>
      </w:r>
      <w:r w:rsidRPr="00266938">
        <w:rPr>
          <w:lang w:val="es-ES_tradnl" w:eastAsia="es-ES"/>
        </w:rPr>
        <w:t xml:space="preserve">SINPE-TP que se encuentren pendientes de cobro y cuyo costo haya sido asumido por el BCCR, son declaradas incobrables luego de que acumulen más de </w:t>
      </w:r>
      <w:r>
        <w:rPr>
          <w:lang w:val="es-ES_tradnl" w:eastAsia="es-ES"/>
        </w:rPr>
        <w:t>noventa</w:t>
      </w:r>
      <w:r w:rsidRPr="00266938">
        <w:rPr>
          <w:lang w:val="es-ES_tradnl" w:eastAsia="es-ES"/>
        </w:rPr>
        <w:t xml:space="preserve"> días naturales de morosidad, a</w:t>
      </w:r>
      <w:r w:rsidRPr="00F75A80">
        <w:rPr>
          <w:lang w:val="es-ES_tradnl" w:eastAsia="es-ES"/>
        </w:rPr>
        <w:t xml:space="preserve"> partir de lo cual podrán contabilizarse como gastos financieros por incobrabilidad.</w:t>
      </w:r>
    </w:p>
    <w:p w14:paraId="7AEA617E" w14:textId="77777777" w:rsidR="007A7839" w:rsidRPr="008F1503" w:rsidRDefault="007A7839" w:rsidP="00E23D98">
      <w:pPr>
        <w:rPr>
          <w:rFonts w:cs="Arial"/>
          <w:lang w:val="es-ES_tradnl" w:eastAsia="es-ES"/>
        </w:rPr>
      </w:pPr>
      <w:r w:rsidRPr="008F1503">
        <w:rPr>
          <w:rFonts w:cs="Arial"/>
          <w:lang w:val="es-ES_tradnl" w:eastAsia="es-ES"/>
        </w:rPr>
        <w:t xml:space="preserve">Los emisores que asuman el costo de transacciones </w:t>
      </w:r>
      <w:r w:rsidRPr="00CF263B">
        <w:rPr>
          <w:rFonts w:cs="Arial"/>
          <w:lang w:val="es-ES_tradnl" w:eastAsia="es-ES"/>
        </w:rPr>
        <w:t>incobrables generadas</w:t>
      </w:r>
      <w:r w:rsidRPr="008F1503">
        <w:rPr>
          <w:rFonts w:cs="Arial"/>
          <w:lang w:val="es-ES_tradnl" w:eastAsia="es-ES"/>
        </w:rPr>
        <w:t xml:space="preserve"> con el funcionamiento de SINPE-TP, realizarán el manejo financiero-contable de dichas transacciones de conformidad con sus políticas y procedimientos internos de registro.</w:t>
      </w:r>
    </w:p>
    <w:p w14:paraId="0CAB05CE" w14:textId="77777777" w:rsidR="007A7839" w:rsidRDefault="007A7839" w:rsidP="00E23D98">
      <w:pPr>
        <w:pStyle w:val="Ttulo2"/>
        <w:numPr>
          <w:ilvl w:val="1"/>
          <w:numId w:val="3"/>
        </w:numPr>
        <w:tabs>
          <w:tab w:val="clear" w:pos="510"/>
        </w:tabs>
        <w:spacing w:line="276" w:lineRule="auto"/>
        <w:ind w:left="229" w:hanging="229"/>
      </w:pPr>
      <w:bookmarkStart w:id="93" w:name="_Toc213828770"/>
      <w:bookmarkStart w:id="94" w:name="_Toc216697954"/>
      <w:r>
        <w:t>Procedimiento de recuperación de deudas</w:t>
      </w:r>
      <w:bookmarkEnd w:id="93"/>
      <w:bookmarkEnd w:id="94"/>
      <w:r>
        <w:t xml:space="preserve"> </w:t>
      </w:r>
    </w:p>
    <w:p w14:paraId="180A6590" w14:textId="77777777" w:rsidR="007A7839" w:rsidRPr="00764160" w:rsidRDefault="007A7839" w:rsidP="00E23D98">
      <w:pPr>
        <w:rPr>
          <w:lang w:val="es-ES_tradnl" w:eastAsia="es-ES"/>
        </w:rPr>
      </w:pPr>
      <w:bookmarkStart w:id="95" w:name="_Hlk122448956"/>
      <w:r w:rsidRPr="00CF2848">
        <w:rPr>
          <w:lang w:val="es-ES_tradnl" w:eastAsia="es-ES"/>
        </w:rPr>
        <w:t xml:space="preserve">El BCCR dispone de un procedimiento para </w:t>
      </w:r>
      <w:r>
        <w:rPr>
          <w:lang w:val="es-ES_tradnl" w:eastAsia="es-ES"/>
        </w:rPr>
        <w:t>gestionar</w:t>
      </w:r>
      <w:r w:rsidRPr="00CF2848">
        <w:rPr>
          <w:lang w:val="es-ES_tradnl" w:eastAsia="es-ES"/>
        </w:rPr>
        <w:t xml:space="preserve"> la recuperación de las deuda</w:t>
      </w:r>
      <w:r w:rsidRPr="00764160">
        <w:rPr>
          <w:lang w:val="es-ES_tradnl" w:eastAsia="es-ES"/>
        </w:rPr>
        <w:t>s que se encuentren morosas con SINPE-TP, el cual funciona de la siguiente forma:</w:t>
      </w:r>
    </w:p>
    <w:p w14:paraId="61E701DA" w14:textId="77777777" w:rsidR="007A7839" w:rsidRPr="00764160" w:rsidRDefault="007A7839" w:rsidP="00FA10A3">
      <w:pPr>
        <w:pStyle w:val="ListaNivel2"/>
        <w:numPr>
          <w:ilvl w:val="0"/>
          <w:numId w:val="9"/>
        </w:numPr>
        <w:spacing w:line="276" w:lineRule="auto"/>
      </w:pPr>
      <w:r w:rsidRPr="00764160">
        <w:t xml:space="preserve">El procedimiento se activa cuando el usuario (tarjetahabiente) realiza una nueva transacción en el validador para que se tramite </w:t>
      </w:r>
      <w:r>
        <w:t>su</w:t>
      </w:r>
      <w:r w:rsidRPr="00764160">
        <w:t xml:space="preserve"> autorización con el emisor, luego de haber realizado la transacción por la cual su dispositivo de pago fue </w:t>
      </w:r>
      <w:r>
        <w:t>ingresado</w:t>
      </w:r>
      <w:r w:rsidRPr="00764160">
        <w:t xml:space="preserve"> en la lista de denegación.</w:t>
      </w:r>
    </w:p>
    <w:p w14:paraId="763EFF67" w14:textId="77777777" w:rsidR="007A7839" w:rsidRDefault="007A7839" w:rsidP="00E23D98">
      <w:pPr>
        <w:pStyle w:val="ListaNivel2"/>
        <w:tabs>
          <w:tab w:val="clear" w:pos="1077"/>
        </w:tabs>
        <w:spacing w:line="276" w:lineRule="auto"/>
        <w:ind w:left="737" w:firstLine="0"/>
      </w:pPr>
      <w:r w:rsidRPr="00764160">
        <w:t xml:space="preserve">Esta segunda transacción </w:t>
      </w:r>
      <w:r>
        <w:t>es</w:t>
      </w:r>
      <w:r w:rsidRPr="00764160">
        <w:t xml:space="preserve"> rechazada por el validador y, por lo tanto, no </w:t>
      </w:r>
      <w:r>
        <w:t>sirve</w:t>
      </w:r>
      <w:r w:rsidRPr="00764160">
        <w:t xml:space="preserve"> para el pago de pasajes por encontrarse el dispositivo de pago dentro de la lista de denegación, pero si funciona para accionar el procedimiento de recuperación de deuda</w:t>
      </w:r>
      <w:r>
        <w:t xml:space="preserve"> con el emisor del dispositivo de pago.</w:t>
      </w:r>
      <w:bookmarkEnd w:id="95"/>
    </w:p>
    <w:p w14:paraId="69D9123E" w14:textId="77777777" w:rsidR="007A7839" w:rsidRPr="009308BD" w:rsidRDefault="007A7839" w:rsidP="00FA10A3">
      <w:pPr>
        <w:pStyle w:val="ListaNivel2"/>
        <w:numPr>
          <w:ilvl w:val="0"/>
          <w:numId w:val="6"/>
        </w:numPr>
        <w:spacing w:line="276" w:lineRule="auto"/>
      </w:pPr>
      <w:r w:rsidRPr="009308BD">
        <w:lastRenderedPageBreak/>
        <w:t>SINPE-TP ejecuta al menos cinco intentos de cobro automáticos, iniciando en las fechas que se consideren con mayor probabilidad de éxito para recuperar los saldos adeudados por los tarjetahabientes.</w:t>
      </w:r>
    </w:p>
    <w:p w14:paraId="479DD03B" w14:textId="77777777" w:rsidR="007A7839" w:rsidRPr="0024095D" w:rsidRDefault="007A7839" w:rsidP="00FA10A3">
      <w:pPr>
        <w:pStyle w:val="ListaNivel2"/>
        <w:numPr>
          <w:ilvl w:val="0"/>
          <w:numId w:val="6"/>
        </w:numPr>
        <w:spacing w:line="276" w:lineRule="auto"/>
        <w:rPr>
          <w:rFonts w:cs="Arial"/>
        </w:rPr>
      </w:pPr>
      <w:r w:rsidRPr="009308BD">
        <w:t xml:space="preserve">El usuario dispone de la aplicación SINPE-TP </w:t>
      </w:r>
      <w:r>
        <w:t>Pasajero</w:t>
      </w:r>
      <w:r w:rsidRPr="009308BD">
        <w:t xml:space="preserve">, por medio de la cual puede solicitar </w:t>
      </w:r>
      <w:r>
        <w:t>el cobro de</w:t>
      </w:r>
      <w:r w:rsidRPr="009308BD">
        <w:t xml:space="preserve"> las deudas pendientes de pago</w:t>
      </w:r>
      <w:r>
        <w:rPr>
          <w:rFonts w:cs="Arial"/>
        </w:rPr>
        <w:t>.</w:t>
      </w:r>
    </w:p>
    <w:p w14:paraId="0C4A3D01" w14:textId="77777777" w:rsidR="007A7839" w:rsidRDefault="007A7839" w:rsidP="00E23D98">
      <w:pPr>
        <w:rPr>
          <w:lang w:val="es-ES_tradnl" w:eastAsia="es-ES"/>
        </w:rPr>
      </w:pPr>
      <w:r w:rsidRPr="00275F23">
        <w:rPr>
          <w:lang w:val="es-ES_tradnl" w:eastAsia="es-ES"/>
        </w:rPr>
        <w:t>En el momento en que se logra hacer efectiv</w:t>
      </w:r>
      <w:r>
        <w:rPr>
          <w:lang w:val="es-ES_tradnl" w:eastAsia="es-ES"/>
        </w:rPr>
        <w:t>o</w:t>
      </w:r>
      <w:r w:rsidRPr="00275F23">
        <w:rPr>
          <w:lang w:val="es-ES_tradnl" w:eastAsia="es-ES"/>
        </w:rPr>
        <w:t xml:space="preserve"> </w:t>
      </w:r>
      <w:r>
        <w:rPr>
          <w:lang w:val="es-ES_tradnl" w:eastAsia="es-ES"/>
        </w:rPr>
        <w:t xml:space="preserve">el cobro </w:t>
      </w:r>
      <w:r w:rsidRPr="00275F23">
        <w:rPr>
          <w:lang w:val="es-ES_tradnl" w:eastAsia="es-ES"/>
        </w:rPr>
        <w:t xml:space="preserve">de la deuda, las sumas que se recuperen </w:t>
      </w:r>
      <w:r>
        <w:rPr>
          <w:lang w:val="es-ES_tradnl" w:eastAsia="es-ES"/>
        </w:rPr>
        <w:t>son</w:t>
      </w:r>
      <w:r w:rsidRPr="00275F23">
        <w:rPr>
          <w:lang w:val="es-ES_tradnl" w:eastAsia="es-ES"/>
        </w:rPr>
        <w:t xml:space="preserve"> liquidadas al emisor del dispositivo de pago o al BCCR, según corresponda en cada caso, y el dispositivo de pago es </w:t>
      </w:r>
      <w:r>
        <w:rPr>
          <w:lang w:val="es-ES_tradnl" w:eastAsia="es-ES"/>
        </w:rPr>
        <w:t>excluido</w:t>
      </w:r>
      <w:r w:rsidRPr="00275F23">
        <w:rPr>
          <w:lang w:val="es-ES_tradnl" w:eastAsia="es-ES"/>
        </w:rPr>
        <w:t xml:space="preserve"> de la lista de denegación para que su titular pueda seguir</w:t>
      </w:r>
      <w:r>
        <w:rPr>
          <w:lang w:val="es-ES_tradnl" w:eastAsia="es-ES"/>
        </w:rPr>
        <w:t>lo</w:t>
      </w:r>
      <w:r w:rsidRPr="00275F23">
        <w:rPr>
          <w:lang w:val="es-ES_tradnl" w:eastAsia="es-ES"/>
        </w:rPr>
        <w:t xml:space="preserve"> utilizando </w:t>
      </w:r>
      <w:r>
        <w:rPr>
          <w:lang w:val="es-ES_tradnl" w:eastAsia="es-ES"/>
        </w:rPr>
        <w:t xml:space="preserve">en el </w:t>
      </w:r>
      <w:r w:rsidRPr="00275F23">
        <w:rPr>
          <w:lang w:val="es-ES_tradnl" w:eastAsia="es-ES"/>
        </w:rPr>
        <w:t>ecosistema de pagos de SINPE</w:t>
      </w:r>
      <w:r>
        <w:rPr>
          <w:lang w:val="es-ES_tradnl" w:eastAsia="es-ES"/>
        </w:rPr>
        <w:noBreakHyphen/>
      </w:r>
      <w:r w:rsidRPr="00275F23">
        <w:rPr>
          <w:lang w:val="es-ES_tradnl" w:eastAsia="es-ES"/>
        </w:rPr>
        <w:t>TP.</w:t>
      </w:r>
      <w:r>
        <w:rPr>
          <w:lang w:val="es-ES_tradnl" w:eastAsia="es-ES"/>
        </w:rPr>
        <w:t xml:space="preserve"> </w:t>
      </w:r>
      <w:r w:rsidRPr="00275F23">
        <w:rPr>
          <w:lang w:val="es-ES_tradnl" w:eastAsia="es-ES"/>
        </w:rPr>
        <w:t xml:space="preserve">Sobre el monto de las deudas recuperadas aplica el cobro de la comisión de adquirencia, de acuerdo con los apartados </w:t>
      </w:r>
      <w:r>
        <w:rPr>
          <w:lang w:val="es-ES_tradnl" w:eastAsia="es-ES"/>
        </w:rPr>
        <w:t>5.1.1</w:t>
      </w:r>
      <w:r w:rsidRPr="00275F23">
        <w:rPr>
          <w:lang w:val="es-ES_tradnl" w:eastAsia="es-ES"/>
        </w:rPr>
        <w:t xml:space="preserve"> de la presente norma complementaria.</w:t>
      </w:r>
    </w:p>
    <w:p w14:paraId="1713137A" w14:textId="77777777" w:rsidR="007A7839" w:rsidRDefault="007A7839" w:rsidP="00E23D98">
      <w:pPr>
        <w:pStyle w:val="Ttulo2"/>
        <w:numPr>
          <w:ilvl w:val="1"/>
          <w:numId w:val="3"/>
        </w:numPr>
        <w:tabs>
          <w:tab w:val="clear" w:pos="510"/>
        </w:tabs>
        <w:spacing w:line="276" w:lineRule="auto"/>
        <w:ind w:left="229" w:hanging="229"/>
      </w:pPr>
      <w:bookmarkStart w:id="96" w:name="_Toc213828771"/>
      <w:bookmarkStart w:id="97" w:name="_Toc216697955"/>
      <w:r>
        <w:t>Administración de la lista de denegación</w:t>
      </w:r>
      <w:bookmarkEnd w:id="96"/>
      <w:bookmarkEnd w:id="97"/>
    </w:p>
    <w:p w14:paraId="51DEE711" w14:textId="77777777" w:rsidR="007A7839" w:rsidRPr="00764160" w:rsidRDefault="007A7839" w:rsidP="00E23D98">
      <w:pPr>
        <w:rPr>
          <w:lang w:val="es-ES_tradnl" w:eastAsia="es-ES"/>
        </w:rPr>
      </w:pPr>
      <w:r w:rsidRPr="00CF2848">
        <w:rPr>
          <w:lang w:val="es-ES_tradnl" w:eastAsia="es-ES"/>
        </w:rPr>
        <w:t xml:space="preserve">Los dispositivos de pago </w:t>
      </w:r>
      <w:r>
        <w:rPr>
          <w:lang w:val="es-ES_tradnl" w:eastAsia="es-ES"/>
        </w:rPr>
        <w:t>pueden</w:t>
      </w:r>
      <w:r w:rsidRPr="00CF2848">
        <w:rPr>
          <w:lang w:val="es-ES_tradnl" w:eastAsia="es-ES"/>
        </w:rPr>
        <w:t xml:space="preserve"> ser ingresados o excluidos de la lista de denegación, de conformid</w:t>
      </w:r>
      <w:r w:rsidRPr="00764160">
        <w:rPr>
          <w:lang w:val="es-ES_tradnl" w:eastAsia="es-ES"/>
        </w:rPr>
        <w:t>ad con las siguientes situaciones:</w:t>
      </w:r>
    </w:p>
    <w:p w14:paraId="6F535668" w14:textId="77777777" w:rsidR="007A7839" w:rsidRPr="00764160" w:rsidRDefault="007A7839" w:rsidP="00FA10A3">
      <w:pPr>
        <w:pStyle w:val="ListaNivel2"/>
        <w:numPr>
          <w:ilvl w:val="0"/>
          <w:numId w:val="10"/>
        </w:numPr>
        <w:spacing w:line="276" w:lineRule="auto"/>
      </w:pPr>
      <w:r w:rsidRPr="00CB0785">
        <w:rPr>
          <w:b/>
          <w:bCs/>
        </w:rPr>
        <w:t>Ingreso de dispositivos de pago en la lista:</w:t>
      </w:r>
      <w:r w:rsidRPr="00764160">
        <w:t xml:space="preserve"> el ingreso de un dispositivo de pago en la lista de denegación se produc</w:t>
      </w:r>
      <w:r>
        <w:t>e</w:t>
      </w:r>
      <w:r w:rsidRPr="00764160">
        <w:t xml:space="preserve"> cuando el emisor</w:t>
      </w:r>
      <w:r>
        <w:t xml:space="preserve"> </w:t>
      </w:r>
      <w:r w:rsidRPr="00764160">
        <w:t xml:space="preserve">rechaza la autorización de </w:t>
      </w:r>
      <w:r>
        <w:t>una</w:t>
      </w:r>
      <w:r w:rsidRPr="00764160">
        <w:t xml:space="preserve"> transacción, por presentar el dispositivo</w:t>
      </w:r>
      <w:r>
        <w:t xml:space="preserve"> de pago </w:t>
      </w:r>
      <w:r w:rsidRPr="00764160">
        <w:t xml:space="preserve">alguna situación por la cual no pueda </w:t>
      </w:r>
      <w:r>
        <w:t>asumir</w:t>
      </w:r>
      <w:r w:rsidRPr="00764160">
        <w:t xml:space="preserve"> cobros de SINPE-TP.</w:t>
      </w:r>
    </w:p>
    <w:p w14:paraId="6B26CED0" w14:textId="77777777" w:rsidR="007A7839" w:rsidRPr="00764160" w:rsidRDefault="007A7839" w:rsidP="00FA10A3">
      <w:pPr>
        <w:pStyle w:val="ListaNivel2"/>
        <w:numPr>
          <w:ilvl w:val="0"/>
          <w:numId w:val="6"/>
        </w:numPr>
        <w:spacing w:line="276" w:lineRule="auto"/>
      </w:pPr>
      <w:r w:rsidRPr="00764160">
        <w:rPr>
          <w:b/>
          <w:bCs/>
        </w:rPr>
        <w:t xml:space="preserve">Exclusión de dispositivos de pago de la lista: </w:t>
      </w:r>
      <w:r w:rsidRPr="00764160">
        <w:t>la exclusión o el retiro de un dispositivo de pago de la lista de denegación se produc</w:t>
      </w:r>
      <w:r>
        <w:t>e</w:t>
      </w:r>
      <w:r w:rsidRPr="00764160">
        <w:t xml:space="preserve"> cuando el </w:t>
      </w:r>
      <w:r>
        <w:t>tarjetahabiente</w:t>
      </w:r>
      <w:r w:rsidRPr="00764160">
        <w:t xml:space="preserve"> no mantenga deudas morosas o incobrables con SINPE-TP, </w:t>
      </w:r>
      <w:r w:rsidRPr="00401AFE">
        <w:rPr>
          <w:lang w:val="es-CR"/>
        </w:rPr>
        <w:t>o cuando el emisor del tarjetahabiente autorice su reactivación,</w:t>
      </w:r>
      <w:r>
        <w:rPr>
          <w:lang w:val="es-CR"/>
        </w:rPr>
        <w:t xml:space="preserve"> </w:t>
      </w:r>
      <w:r w:rsidRPr="00764160">
        <w:t xml:space="preserve">de </w:t>
      </w:r>
      <w:r>
        <w:t>conformidad</w:t>
      </w:r>
      <w:r w:rsidRPr="00764160">
        <w:t xml:space="preserve"> con el procedimiento de autorización de transacciones.</w:t>
      </w:r>
    </w:p>
    <w:p w14:paraId="4AD8E54B" w14:textId="77777777" w:rsidR="007A7839" w:rsidRDefault="007A7839" w:rsidP="00E23D98">
      <w:r w:rsidRPr="00764160">
        <w:t xml:space="preserve">Cada vez que se genere un cambio en la lista de denegación por las situaciones descritas en </w:t>
      </w:r>
      <w:r>
        <w:t>el</w:t>
      </w:r>
      <w:r w:rsidRPr="00CF2848">
        <w:t xml:space="preserve"> presente apartado, y siempre </w:t>
      </w:r>
      <w:r w:rsidRPr="00764160">
        <w:t>dentro de la siguiente hora (60 minutos) de haber recibido la notificación del adquirente, el BCCR actualizar</w:t>
      </w:r>
      <w:r>
        <w:t>á</w:t>
      </w:r>
      <w:r w:rsidRPr="00764160">
        <w:t xml:space="preserve"> todos los validadores </w:t>
      </w:r>
      <w:r>
        <w:t xml:space="preserve">que se encuentren </w:t>
      </w:r>
      <w:r w:rsidRPr="008A0C76">
        <w:t>habilitados en las unidades de transporte y conectados al Sistema Central de Recaudo, de conformid</w:t>
      </w:r>
      <w:r>
        <w:t>ad con lo dispuesto por los artículos 41 y 42 del Reglamento de SINPE-TP.</w:t>
      </w:r>
    </w:p>
    <w:p w14:paraId="7DE13F17" w14:textId="77777777" w:rsidR="007A7839" w:rsidRDefault="007A7839" w:rsidP="00E23D98">
      <w:pPr>
        <w:pStyle w:val="Ttulo2"/>
        <w:numPr>
          <w:ilvl w:val="1"/>
          <w:numId w:val="3"/>
        </w:numPr>
        <w:tabs>
          <w:tab w:val="clear" w:pos="510"/>
        </w:tabs>
        <w:spacing w:line="276" w:lineRule="auto"/>
        <w:ind w:left="229" w:hanging="229"/>
      </w:pPr>
      <w:bookmarkStart w:id="98" w:name="_Toc213828772"/>
      <w:bookmarkStart w:id="99" w:name="_Toc216697956"/>
      <w:r>
        <w:t>Inspección del pago de pasajes</w:t>
      </w:r>
      <w:bookmarkEnd w:id="98"/>
      <w:bookmarkEnd w:id="99"/>
    </w:p>
    <w:p w14:paraId="453E552F" w14:textId="77777777" w:rsidR="007A7839" w:rsidRDefault="007A7839" w:rsidP="00E23D98">
      <w:pPr>
        <w:rPr>
          <w:rFonts w:cs="Arial"/>
          <w:lang w:val="es-ES_tradnl" w:eastAsia="es-ES"/>
        </w:rPr>
      </w:pPr>
      <w:r>
        <w:rPr>
          <w:rFonts w:cs="Arial"/>
          <w:lang w:val="es-ES_tradnl" w:eastAsia="es-ES"/>
        </w:rPr>
        <w:t xml:space="preserve">El BCCR podrá habilitar en la plataforma de SINPE-TP funcionalidades tecnológicas que permitan al operador inspeccionar dentro de sus unidades de transporte el pago del costo del viaje (tarifa) por parte de los pasajeros, quienes en estos casos deberán </w:t>
      </w:r>
      <w:r w:rsidRPr="00764160">
        <w:rPr>
          <w:rFonts w:cs="Arial"/>
          <w:lang w:val="es-ES_tradnl" w:eastAsia="es-ES"/>
        </w:rPr>
        <w:t xml:space="preserve">colaborar con el personal encargado de las labores de </w:t>
      </w:r>
      <w:r>
        <w:rPr>
          <w:rFonts w:cs="Arial"/>
          <w:lang w:val="es-ES_tradnl" w:eastAsia="es-ES"/>
        </w:rPr>
        <w:t>verificación respectivas.</w:t>
      </w:r>
    </w:p>
    <w:p w14:paraId="0356C16C" w14:textId="77777777" w:rsidR="007A7839" w:rsidRDefault="007A7839" w:rsidP="00E23D98">
      <w:pPr>
        <w:pStyle w:val="Ttulo2"/>
        <w:numPr>
          <w:ilvl w:val="1"/>
          <w:numId w:val="3"/>
        </w:numPr>
        <w:tabs>
          <w:tab w:val="clear" w:pos="510"/>
        </w:tabs>
        <w:spacing w:line="276" w:lineRule="auto"/>
        <w:ind w:left="229" w:hanging="229"/>
      </w:pPr>
      <w:bookmarkStart w:id="100" w:name="_Toc213828773"/>
      <w:bookmarkStart w:id="101" w:name="_Toc216697957"/>
      <w:r>
        <w:t>Notificación de transacciones</w:t>
      </w:r>
      <w:bookmarkEnd w:id="100"/>
      <w:bookmarkEnd w:id="101"/>
    </w:p>
    <w:p w14:paraId="3246FB71" w14:textId="77777777" w:rsidR="007A7839" w:rsidRDefault="007A7839" w:rsidP="00E23D98">
      <w:pPr>
        <w:rPr>
          <w:rFonts w:cs="Arial"/>
          <w:lang w:val="es-ES_tradnl" w:eastAsia="es-ES"/>
        </w:rPr>
      </w:pPr>
      <w:r w:rsidRPr="00FF34FD">
        <w:rPr>
          <w:rFonts w:cs="Arial"/>
          <w:lang w:val="es-ES_tradnl" w:eastAsia="es-ES"/>
        </w:rPr>
        <w:t xml:space="preserve">Las transacciones que </w:t>
      </w:r>
      <w:r>
        <w:rPr>
          <w:rFonts w:cs="Arial"/>
          <w:lang w:val="es-ES_tradnl" w:eastAsia="es-ES"/>
        </w:rPr>
        <w:t>registren</w:t>
      </w:r>
      <w:r w:rsidRPr="00FF34FD">
        <w:rPr>
          <w:rFonts w:cs="Arial"/>
          <w:lang w:val="es-ES_tradnl" w:eastAsia="es-ES"/>
        </w:rPr>
        <w:t xml:space="preserve"> los </w:t>
      </w:r>
      <w:r>
        <w:rPr>
          <w:rFonts w:cs="Arial"/>
          <w:lang w:val="es-ES_tradnl" w:eastAsia="es-ES"/>
        </w:rPr>
        <w:t>usuarios</w:t>
      </w:r>
      <w:r w:rsidRPr="00FF34FD">
        <w:rPr>
          <w:rFonts w:cs="Arial"/>
          <w:lang w:val="es-ES_tradnl" w:eastAsia="es-ES"/>
        </w:rPr>
        <w:t xml:space="preserve"> en el servicio SINPE-TP con el uso de sus dispositivos de pago para la cancelación de pasajes, </w:t>
      </w:r>
      <w:r>
        <w:rPr>
          <w:rFonts w:cs="Arial"/>
          <w:lang w:val="es-ES_tradnl" w:eastAsia="es-ES"/>
        </w:rPr>
        <w:t>son</w:t>
      </w:r>
      <w:r w:rsidRPr="00FF34FD">
        <w:rPr>
          <w:rFonts w:cs="Arial"/>
          <w:lang w:val="es-ES_tradnl" w:eastAsia="es-ES"/>
        </w:rPr>
        <w:t xml:space="preserve"> notificadas </w:t>
      </w:r>
      <w:r>
        <w:rPr>
          <w:rFonts w:cs="Arial"/>
          <w:lang w:val="es-ES_tradnl" w:eastAsia="es-ES"/>
        </w:rPr>
        <w:t>a los tarjetahabientes de conformidad con lo dispuesto por el Reglamento del Sistema de Tarjetas de Pago, emitido por la Junta Directiva del BCCR de conformidad con el artículo 69 de la ley 7558.</w:t>
      </w:r>
    </w:p>
    <w:p w14:paraId="6828E229" w14:textId="77777777" w:rsidR="007A7839" w:rsidRDefault="007A7839" w:rsidP="00E23D98">
      <w:pPr>
        <w:pStyle w:val="Ttulo1"/>
        <w:numPr>
          <w:ilvl w:val="0"/>
          <w:numId w:val="3"/>
        </w:numPr>
        <w:tabs>
          <w:tab w:val="clear" w:pos="340"/>
        </w:tabs>
        <w:spacing w:line="276" w:lineRule="auto"/>
        <w:ind w:left="426" w:hanging="426"/>
      </w:pPr>
      <w:bookmarkStart w:id="102" w:name="_Toc213828774"/>
      <w:bookmarkStart w:id="103" w:name="_Toc216697958"/>
      <w:r>
        <w:t>Manejo de información</w:t>
      </w:r>
      <w:bookmarkEnd w:id="102"/>
      <w:bookmarkEnd w:id="103"/>
    </w:p>
    <w:p w14:paraId="03791D02" w14:textId="77777777" w:rsidR="007A7839" w:rsidRDefault="007A7839" w:rsidP="00E23D98">
      <w:pPr>
        <w:rPr>
          <w:lang w:val="es-ES_tradnl" w:eastAsia="es-ES"/>
        </w:rPr>
      </w:pPr>
      <w:r>
        <w:rPr>
          <w:lang w:val="es-ES_tradnl" w:eastAsia="es-ES"/>
        </w:rPr>
        <w:t xml:space="preserve">El </w:t>
      </w:r>
      <w:r w:rsidRPr="00764160">
        <w:rPr>
          <w:lang w:val="es-ES_tradnl" w:eastAsia="es-ES"/>
        </w:rPr>
        <w:t xml:space="preserve">intercambio de información entre el BCCR y </w:t>
      </w:r>
      <w:r>
        <w:rPr>
          <w:lang w:val="es-ES_tradnl" w:eastAsia="es-ES"/>
        </w:rPr>
        <w:t>los participantes</w:t>
      </w:r>
      <w:r w:rsidRPr="00764160">
        <w:rPr>
          <w:lang w:val="es-ES_tradnl" w:eastAsia="es-ES"/>
        </w:rPr>
        <w:t xml:space="preserve"> </w:t>
      </w:r>
      <w:r>
        <w:rPr>
          <w:lang w:val="es-ES_tradnl" w:eastAsia="es-ES"/>
        </w:rPr>
        <w:t xml:space="preserve">de SINPE-TP </w:t>
      </w:r>
      <w:r w:rsidRPr="00764160">
        <w:rPr>
          <w:lang w:val="es-ES_tradnl" w:eastAsia="es-ES"/>
        </w:rPr>
        <w:t xml:space="preserve">se rige por </w:t>
      </w:r>
      <w:r>
        <w:rPr>
          <w:lang w:val="es-ES_tradnl" w:eastAsia="es-ES"/>
        </w:rPr>
        <w:t xml:space="preserve">lo dispuesto en los </w:t>
      </w:r>
      <w:r w:rsidRPr="00764160">
        <w:rPr>
          <w:lang w:val="es-ES_tradnl" w:eastAsia="es-ES"/>
        </w:rPr>
        <w:t>siguientes apartados.</w:t>
      </w:r>
    </w:p>
    <w:p w14:paraId="585A8E99" w14:textId="77777777" w:rsidR="007A7839" w:rsidRDefault="007A7839" w:rsidP="00E23D98">
      <w:pPr>
        <w:pStyle w:val="Ttulo2"/>
        <w:numPr>
          <w:ilvl w:val="1"/>
          <w:numId w:val="3"/>
        </w:numPr>
        <w:tabs>
          <w:tab w:val="clear" w:pos="510"/>
        </w:tabs>
        <w:spacing w:line="276" w:lineRule="auto"/>
        <w:ind w:left="229" w:hanging="229"/>
      </w:pPr>
      <w:bookmarkStart w:id="104" w:name="_Toc213828775"/>
      <w:bookmarkStart w:id="105" w:name="_Toc216697959"/>
      <w:r>
        <w:lastRenderedPageBreak/>
        <w:t>Principio registral</w:t>
      </w:r>
      <w:bookmarkEnd w:id="104"/>
      <w:bookmarkEnd w:id="105"/>
    </w:p>
    <w:p w14:paraId="251D5841" w14:textId="77777777" w:rsidR="007A7839" w:rsidRDefault="007A7839" w:rsidP="00E23D98">
      <w:r>
        <w:t>El servicio SINPE-TP se rige por el principio de buena fe registral, por lo que el BCCR asume que la información reportada, facilitada o registrada por los participantes del servicio es veraz, legítima, completa y se encuentra exenta de vicios registrales.</w:t>
      </w:r>
    </w:p>
    <w:p w14:paraId="71CF72D4" w14:textId="77777777" w:rsidR="007A7839" w:rsidRDefault="007A7839" w:rsidP="00E23D98">
      <w:pPr>
        <w:pStyle w:val="Ttulo2"/>
        <w:numPr>
          <w:ilvl w:val="1"/>
          <w:numId w:val="3"/>
        </w:numPr>
        <w:tabs>
          <w:tab w:val="clear" w:pos="510"/>
        </w:tabs>
        <w:spacing w:line="276" w:lineRule="auto"/>
        <w:ind w:left="229" w:hanging="229"/>
      </w:pPr>
      <w:bookmarkStart w:id="106" w:name="_Toc213828776"/>
      <w:bookmarkStart w:id="107" w:name="_Toc216697960"/>
      <w:r>
        <w:t>Información a cargo del CTP</w:t>
      </w:r>
      <w:bookmarkEnd w:id="106"/>
      <w:bookmarkEnd w:id="107"/>
    </w:p>
    <w:p w14:paraId="3E751837" w14:textId="77777777" w:rsidR="007A7839" w:rsidRPr="00FF34FD" w:rsidRDefault="007A7839" w:rsidP="00E23D98">
      <w:pPr>
        <w:rPr>
          <w:rFonts w:cs="Arial"/>
          <w:lang w:val="es-ES_tradnl" w:eastAsia="es-ES"/>
        </w:rPr>
      </w:pPr>
      <w:r w:rsidRPr="00FF34FD">
        <w:rPr>
          <w:rFonts w:cs="Arial"/>
          <w:lang w:val="es-ES_tradnl" w:eastAsia="es-ES"/>
        </w:rPr>
        <w:t>Con el propósito de atender las necesidades operativas del servicio SINPE-TP, y cada vez que se requiera, el CTP debe comunicar al BCCR la información relacionada con la operación del servicio de autobús, tal como: características de los modelos de operación, trazado de rutas y ramales, operadores</w:t>
      </w:r>
      <w:r>
        <w:rPr>
          <w:rFonts w:cs="Arial"/>
          <w:lang w:val="es-ES_tradnl" w:eastAsia="es-ES"/>
        </w:rPr>
        <w:t xml:space="preserve"> de transporte autorizados</w:t>
      </w:r>
      <w:r w:rsidRPr="00FF34FD">
        <w:rPr>
          <w:rFonts w:cs="Arial"/>
          <w:lang w:val="es-ES_tradnl" w:eastAsia="es-ES"/>
        </w:rPr>
        <w:t>, flota autorizada y conductores acreditados, así como la demás información que se requiera para el normal funcionamiento del sistema.</w:t>
      </w:r>
    </w:p>
    <w:p w14:paraId="2D2ED0B8" w14:textId="77777777" w:rsidR="007A7839" w:rsidRDefault="007A7839" w:rsidP="00E23D98">
      <w:pPr>
        <w:rPr>
          <w:rFonts w:cs="Arial"/>
          <w:lang w:val="es-ES_tradnl" w:eastAsia="es-ES"/>
        </w:rPr>
      </w:pPr>
      <w:r>
        <w:rPr>
          <w:rFonts w:cs="Arial"/>
          <w:lang w:val="es-ES_tradnl" w:eastAsia="es-ES"/>
        </w:rPr>
        <w:t xml:space="preserve">El CTP deberá reportar la </w:t>
      </w:r>
      <w:r w:rsidRPr="00FF34FD">
        <w:rPr>
          <w:rFonts w:cs="Arial"/>
          <w:lang w:val="es-ES_tradnl" w:eastAsia="es-ES"/>
        </w:rPr>
        <w:t xml:space="preserve">información por los medios y en </w:t>
      </w:r>
      <w:r>
        <w:rPr>
          <w:rFonts w:cs="Arial"/>
          <w:lang w:val="es-ES_tradnl" w:eastAsia="es-ES"/>
        </w:rPr>
        <w:t xml:space="preserve">las </w:t>
      </w:r>
      <w:r w:rsidRPr="00FF34FD">
        <w:rPr>
          <w:rFonts w:cs="Arial"/>
          <w:lang w:val="es-ES_tradnl" w:eastAsia="es-ES"/>
        </w:rPr>
        <w:t xml:space="preserve">condiciones de tiempo y forma requeridos </w:t>
      </w:r>
      <w:r>
        <w:rPr>
          <w:rFonts w:cs="Arial"/>
          <w:lang w:val="es-ES_tradnl" w:eastAsia="es-ES"/>
        </w:rPr>
        <w:t xml:space="preserve">por el BCCR para </w:t>
      </w:r>
      <w:r w:rsidRPr="00FF34FD">
        <w:rPr>
          <w:rFonts w:cs="Arial"/>
          <w:lang w:val="es-ES_tradnl" w:eastAsia="es-ES"/>
        </w:rPr>
        <w:t>el funcionamiento de</w:t>
      </w:r>
      <w:r>
        <w:rPr>
          <w:rFonts w:cs="Arial"/>
          <w:lang w:val="es-ES_tradnl" w:eastAsia="es-ES"/>
        </w:rPr>
        <w:t>l servicio</w:t>
      </w:r>
      <w:r w:rsidRPr="00FF34FD">
        <w:rPr>
          <w:rFonts w:cs="Arial"/>
          <w:lang w:val="es-ES_tradnl" w:eastAsia="es-ES"/>
        </w:rPr>
        <w:t xml:space="preserve"> SINPE-TP.</w:t>
      </w:r>
    </w:p>
    <w:p w14:paraId="7809FB68" w14:textId="77777777" w:rsidR="007A7839" w:rsidRDefault="007A7839" w:rsidP="00E23D98">
      <w:pPr>
        <w:pStyle w:val="Ttulo2"/>
        <w:numPr>
          <w:ilvl w:val="1"/>
          <w:numId w:val="3"/>
        </w:numPr>
        <w:tabs>
          <w:tab w:val="clear" w:pos="510"/>
        </w:tabs>
        <w:spacing w:line="276" w:lineRule="auto"/>
        <w:ind w:left="229" w:hanging="229"/>
      </w:pPr>
      <w:bookmarkStart w:id="108" w:name="_Toc213828777"/>
      <w:bookmarkStart w:id="109" w:name="_Toc216697961"/>
      <w:bookmarkStart w:id="110" w:name="_Hlk178589592"/>
      <w:r>
        <w:t>Información a cargo de la Aresep</w:t>
      </w:r>
      <w:bookmarkEnd w:id="108"/>
      <w:bookmarkEnd w:id="109"/>
    </w:p>
    <w:p w14:paraId="31FEB972" w14:textId="77777777" w:rsidR="007A7839" w:rsidRPr="00266938" w:rsidRDefault="007A7839" w:rsidP="00E23D98">
      <w:pPr>
        <w:rPr>
          <w:lang w:val="es-ES_tradnl" w:eastAsia="es-ES"/>
        </w:rPr>
      </w:pPr>
      <w:r w:rsidRPr="00FF34FD">
        <w:rPr>
          <w:lang w:val="es-ES_tradnl" w:eastAsia="es-ES"/>
        </w:rPr>
        <w:t>Con el propósito de atender las necesidades operativas de</w:t>
      </w:r>
      <w:r>
        <w:rPr>
          <w:lang w:val="es-ES_tradnl" w:eastAsia="es-ES"/>
        </w:rPr>
        <w:t>l servicio</w:t>
      </w:r>
      <w:r w:rsidRPr="00FF34FD">
        <w:rPr>
          <w:lang w:val="es-ES_tradnl" w:eastAsia="es-ES"/>
        </w:rPr>
        <w:t xml:space="preserve"> SINPE-TP, y cada vez que se </w:t>
      </w:r>
      <w:r w:rsidRPr="00266938">
        <w:rPr>
          <w:lang w:val="es-ES_tradnl" w:eastAsia="es-ES"/>
        </w:rPr>
        <w:t xml:space="preserve">requiera, la Aresep debe comunicar al BCCR el monto de las tarifas oficiales del servicio de transporte público, así como cualquier cambio o ajuste que </w:t>
      </w:r>
      <w:r>
        <w:rPr>
          <w:lang w:val="es-ES_tradnl" w:eastAsia="es-ES"/>
        </w:rPr>
        <w:t>autorice</w:t>
      </w:r>
      <w:r w:rsidRPr="00266938">
        <w:rPr>
          <w:lang w:val="es-ES_tradnl" w:eastAsia="es-ES"/>
        </w:rPr>
        <w:t xml:space="preserve"> para las mismas.</w:t>
      </w:r>
    </w:p>
    <w:p w14:paraId="141D1D36" w14:textId="77777777" w:rsidR="007A7839" w:rsidRPr="00266938" w:rsidRDefault="007A7839" w:rsidP="00E23D98">
      <w:pPr>
        <w:rPr>
          <w:lang w:val="es-ES_tradnl" w:eastAsia="es-ES"/>
        </w:rPr>
      </w:pPr>
      <w:r w:rsidRPr="00063DEA">
        <w:rPr>
          <w:lang w:val="es-ES_tradnl" w:eastAsia="es-ES"/>
        </w:rPr>
        <w:t xml:space="preserve">Para preparar la herramienta tecnológica de SINPE-TP con la habilitación de los cambios tarifarios que </w:t>
      </w:r>
      <w:r w:rsidRPr="00CF263B">
        <w:rPr>
          <w:lang w:val="es-ES_tradnl" w:eastAsia="es-ES"/>
        </w:rPr>
        <w:t>autorice</w:t>
      </w:r>
      <w:r w:rsidRPr="00063DEA">
        <w:rPr>
          <w:lang w:val="es-ES_tradnl" w:eastAsia="es-ES"/>
        </w:rPr>
        <w:t xml:space="preserve"> la Aresep, la información debe</w:t>
      </w:r>
      <w:r w:rsidRPr="00CF263B">
        <w:rPr>
          <w:lang w:val="es-ES_tradnl" w:eastAsia="es-ES"/>
        </w:rPr>
        <w:t>rá</w:t>
      </w:r>
      <w:r w:rsidRPr="00063DEA">
        <w:rPr>
          <w:lang w:val="es-ES_tradnl" w:eastAsia="es-ES"/>
        </w:rPr>
        <w:t xml:space="preserve"> reportarse al BCCR con una antelación mínima de cinco días hábiles a su entrada en operación.</w:t>
      </w:r>
    </w:p>
    <w:p w14:paraId="3BF66F71" w14:textId="77777777" w:rsidR="007A7839" w:rsidRDefault="007A7839" w:rsidP="00E23D98">
      <w:pPr>
        <w:pStyle w:val="Ttulo2"/>
        <w:numPr>
          <w:ilvl w:val="1"/>
          <w:numId w:val="3"/>
        </w:numPr>
        <w:tabs>
          <w:tab w:val="clear" w:pos="510"/>
        </w:tabs>
        <w:spacing w:line="276" w:lineRule="auto"/>
        <w:ind w:left="229" w:hanging="229"/>
      </w:pPr>
      <w:bookmarkStart w:id="111" w:name="_Toc178596981"/>
      <w:bookmarkStart w:id="112" w:name="_Toc178597040"/>
      <w:bookmarkStart w:id="113" w:name="_Toc213828778"/>
      <w:bookmarkStart w:id="114" w:name="_Toc216697962"/>
      <w:bookmarkEnd w:id="110"/>
      <w:bookmarkEnd w:id="111"/>
      <w:bookmarkEnd w:id="112"/>
      <w:r>
        <w:t>Información a cargo de los operadores del servicio de autobús</w:t>
      </w:r>
      <w:bookmarkEnd w:id="113"/>
      <w:bookmarkEnd w:id="114"/>
    </w:p>
    <w:p w14:paraId="781E1F2F" w14:textId="77777777" w:rsidR="007A7839" w:rsidRPr="00A3388C" w:rsidRDefault="007A7839" w:rsidP="00E23D98">
      <w:pPr>
        <w:rPr>
          <w:lang w:val="es-ES_tradnl" w:eastAsia="es-ES"/>
        </w:rPr>
      </w:pPr>
      <w:r w:rsidRPr="00265E33">
        <w:rPr>
          <w:lang w:val="es-ES_tradnl" w:eastAsia="es-ES"/>
        </w:rPr>
        <w:t>Con el propósito de atender las necesidades operativas del servicio SINPE-TP, y cada vez que se requiera, los operadores del servicio de autobús de ruta regular deben proveer al BCCR la siguiente información</w:t>
      </w:r>
      <w:r w:rsidRPr="00A3388C">
        <w:rPr>
          <w:lang w:val="es-ES_tradnl" w:eastAsia="es-ES"/>
        </w:rPr>
        <w:t>:</w:t>
      </w:r>
    </w:p>
    <w:p w14:paraId="369F45CF" w14:textId="77777777" w:rsidR="007A7839" w:rsidRPr="00A3388C" w:rsidRDefault="007A7839" w:rsidP="00FA10A3">
      <w:pPr>
        <w:pStyle w:val="ListaNivel2"/>
        <w:numPr>
          <w:ilvl w:val="0"/>
          <w:numId w:val="11"/>
        </w:numPr>
        <w:spacing w:line="276" w:lineRule="auto"/>
      </w:pPr>
      <w:r w:rsidRPr="00A3388C">
        <w:t xml:space="preserve">Código y nombre de </w:t>
      </w:r>
      <w:r>
        <w:t xml:space="preserve">las rutas y ramales </w:t>
      </w:r>
      <w:r w:rsidRPr="00A3388C">
        <w:t>en l</w:t>
      </w:r>
      <w:r>
        <w:t>os</w:t>
      </w:r>
      <w:r w:rsidRPr="00A3388C">
        <w:t xml:space="preserve"> que se habilita </w:t>
      </w:r>
      <w:r>
        <w:t xml:space="preserve">la plataforma </w:t>
      </w:r>
      <w:r w:rsidRPr="00A3388C">
        <w:t xml:space="preserve">SINPE-TP. </w:t>
      </w:r>
    </w:p>
    <w:p w14:paraId="1745FA3B" w14:textId="77777777" w:rsidR="007A7839" w:rsidRPr="00A3388C" w:rsidRDefault="007A7839" w:rsidP="00FA10A3">
      <w:pPr>
        <w:pStyle w:val="ListaNivel2"/>
        <w:numPr>
          <w:ilvl w:val="0"/>
          <w:numId w:val="11"/>
        </w:numPr>
        <w:spacing w:line="276" w:lineRule="auto"/>
      </w:pPr>
      <w:r w:rsidRPr="00A3388C">
        <w:t>Números de placa (matr</w:t>
      </w:r>
      <w:r>
        <w:t>í</w:t>
      </w:r>
      <w:r w:rsidRPr="00A3388C">
        <w:t>cula) de l</w:t>
      </w:r>
      <w:r>
        <w:t>o</w:t>
      </w:r>
      <w:r w:rsidRPr="00A3388C">
        <w:t xml:space="preserve">s </w:t>
      </w:r>
      <w:r>
        <w:t>autobuses</w:t>
      </w:r>
      <w:r w:rsidRPr="00A3388C">
        <w:t xml:space="preserve"> con l</w:t>
      </w:r>
      <w:r>
        <w:t>os</w:t>
      </w:r>
      <w:r w:rsidRPr="00A3388C">
        <w:t xml:space="preserve"> que se atiende</w:t>
      </w:r>
      <w:r>
        <w:t>n</w:t>
      </w:r>
      <w:r w:rsidRPr="00A3388C">
        <w:t xml:space="preserve"> la</w:t>
      </w:r>
      <w:r>
        <w:t>s</w:t>
      </w:r>
      <w:r w:rsidRPr="00A3388C">
        <w:t xml:space="preserve"> ruta</w:t>
      </w:r>
      <w:r>
        <w:t>s y ramales</w:t>
      </w:r>
      <w:r w:rsidRPr="00A3388C">
        <w:t>.</w:t>
      </w:r>
    </w:p>
    <w:p w14:paraId="729D6FB7" w14:textId="77777777" w:rsidR="007A7839" w:rsidRPr="00A3388C" w:rsidRDefault="007A7839" w:rsidP="00FA10A3">
      <w:pPr>
        <w:pStyle w:val="ListaNivel2"/>
        <w:numPr>
          <w:ilvl w:val="0"/>
          <w:numId w:val="11"/>
        </w:numPr>
        <w:spacing w:line="276" w:lineRule="auto"/>
      </w:pPr>
      <w:r w:rsidRPr="00A3388C">
        <w:t>El resultado de la verificación de las tarifas vigentes para sus rutas</w:t>
      </w:r>
      <w:r>
        <w:t>, ramales y fraccionamientos tarifarios</w:t>
      </w:r>
      <w:r w:rsidRPr="00A3388C">
        <w:t>.</w:t>
      </w:r>
    </w:p>
    <w:p w14:paraId="1CD3A7DC" w14:textId="77777777" w:rsidR="007A7839" w:rsidRDefault="007A7839" w:rsidP="00E23D98">
      <w:pPr>
        <w:rPr>
          <w:lang w:val="es-ES_tradnl" w:eastAsia="es-ES"/>
        </w:rPr>
      </w:pPr>
      <w:bookmarkStart w:id="115" w:name="_Hlk178519352"/>
      <w:r w:rsidRPr="00C70FA8">
        <w:rPr>
          <w:lang w:val="es-ES_tradnl" w:eastAsia="es-ES"/>
        </w:rPr>
        <w:t>El operador</w:t>
      </w:r>
      <w:r>
        <w:rPr>
          <w:lang w:val="es-ES_tradnl" w:eastAsia="es-ES"/>
        </w:rPr>
        <w:t xml:space="preserve"> </w:t>
      </w:r>
      <w:r w:rsidRPr="00C70FA8">
        <w:rPr>
          <w:lang w:val="es-ES_tradnl" w:eastAsia="es-ES"/>
        </w:rPr>
        <w:t xml:space="preserve">debe entregar la información </w:t>
      </w:r>
      <w:r>
        <w:rPr>
          <w:lang w:val="es-ES_tradnl" w:eastAsia="es-ES"/>
        </w:rPr>
        <w:t xml:space="preserve">al BCCR </w:t>
      </w:r>
      <w:r w:rsidRPr="00306359">
        <w:rPr>
          <w:lang w:val="es-ES_tradnl" w:eastAsia="es-ES"/>
        </w:rPr>
        <w:t>con al menos cinco días hábiles de anticipación a</w:t>
      </w:r>
      <w:r>
        <w:rPr>
          <w:lang w:val="es-ES_tradnl" w:eastAsia="es-ES"/>
        </w:rPr>
        <w:t xml:space="preserve"> </w:t>
      </w:r>
      <w:r w:rsidRPr="00C70FA8">
        <w:rPr>
          <w:lang w:val="es-ES_tradnl" w:eastAsia="es-ES"/>
        </w:rPr>
        <w:t xml:space="preserve">su entrada en </w:t>
      </w:r>
      <w:r>
        <w:rPr>
          <w:lang w:val="es-ES_tradnl" w:eastAsia="es-ES"/>
        </w:rPr>
        <w:t>operación</w:t>
      </w:r>
      <w:r w:rsidRPr="00C70FA8">
        <w:rPr>
          <w:lang w:val="es-ES_tradnl" w:eastAsia="es-ES"/>
        </w:rPr>
        <w:t xml:space="preserve">, con el uso del </w:t>
      </w:r>
      <w:r w:rsidRPr="004A5E58">
        <w:rPr>
          <w:lang w:val="es-ES_tradnl" w:eastAsia="es-ES"/>
        </w:rPr>
        <w:t>formulario “</w:t>
      </w:r>
      <w:r w:rsidRPr="00B64802">
        <w:rPr>
          <w:i/>
          <w:iCs/>
          <w:lang w:val="es-ES_tradnl" w:eastAsia="es-ES"/>
        </w:rPr>
        <w:t>Reporte de Información del Operador de Transporte – Modalidad Autobús</w:t>
      </w:r>
      <w:r>
        <w:rPr>
          <w:i/>
          <w:iCs/>
          <w:lang w:val="es-ES_tradnl" w:eastAsia="es-ES"/>
        </w:rPr>
        <w:t xml:space="preserve"> de Ruta Regular</w:t>
      </w:r>
      <w:r w:rsidRPr="004A5E58">
        <w:rPr>
          <w:lang w:val="es-ES_tradnl" w:eastAsia="es-ES"/>
        </w:rPr>
        <w:t>” (Anexo 0</w:t>
      </w:r>
      <w:r>
        <w:rPr>
          <w:lang w:val="es-ES_tradnl" w:eastAsia="es-ES"/>
        </w:rPr>
        <w:t>5</w:t>
      </w:r>
      <w:r w:rsidRPr="004A5E58">
        <w:rPr>
          <w:lang w:val="es-ES_tradnl" w:eastAsia="es-ES"/>
        </w:rPr>
        <w:t xml:space="preserve"> de la presente</w:t>
      </w:r>
      <w:r w:rsidRPr="00C70FA8">
        <w:rPr>
          <w:lang w:val="es-ES_tradnl" w:eastAsia="es-ES"/>
        </w:rPr>
        <w:t xml:space="preserve"> norma complementaria).</w:t>
      </w:r>
    </w:p>
    <w:p w14:paraId="7EDB5771" w14:textId="77777777" w:rsidR="007A7839" w:rsidRDefault="007A7839" w:rsidP="00E23D98">
      <w:pPr>
        <w:pStyle w:val="Ttulo2"/>
        <w:numPr>
          <w:ilvl w:val="1"/>
          <w:numId w:val="3"/>
        </w:numPr>
        <w:tabs>
          <w:tab w:val="clear" w:pos="510"/>
        </w:tabs>
        <w:spacing w:line="276" w:lineRule="auto"/>
        <w:ind w:left="229" w:hanging="229"/>
      </w:pPr>
      <w:bookmarkStart w:id="116" w:name="_Toc177998386"/>
      <w:bookmarkStart w:id="117" w:name="_Toc178505000"/>
      <w:bookmarkStart w:id="118" w:name="_Toc178522748"/>
      <w:bookmarkStart w:id="119" w:name="_Toc178596983"/>
      <w:bookmarkStart w:id="120" w:name="_Toc178597042"/>
      <w:bookmarkStart w:id="121" w:name="_Toc177998387"/>
      <w:bookmarkStart w:id="122" w:name="_Toc178505001"/>
      <w:bookmarkStart w:id="123" w:name="_Toc178522749"/>
      <w:bookmarkStart w:id="124" w:name="_Toc178596984"/>
      <w:bookmarkStart w:id="125" w:name="_Toc178597043"/>
      <w:bookmarkStart w:id="126" w:name="_Toc213828779"/>
      <w:bookmarkStart w:id="127" w:name="_Toc216697963"/>
      <w:bookmarkEnd w:id="115"/>
      <w:bookmarkEnd w:id="116"/>
      <w:bookmarkEnd w:id="117"/>
      <w:bookmarkEnd w:id="118"/>
      <w:bookmarkEnd w:id="119"/>
      <w:bookmarkEnd w:id="120"/>
      <w:bookmarkEnd w:id="121"/>
      <w:bookmarkEnd w:id="122"/>
      <w:bookmarkEnd w:id="123"/>
      <w:bookmarkEnd w:id="124"/>
      <w:bookmarkEnd w:id="125"/>
      <w:r>
        <w:t>Información a cargo de Incofer</w:t>
      </w:r>
      <w:bookmarkEnd w:id="126"/>
      <w:bookmarkEnd w:id="127"/>
    </w:p>
    <w:p w14:paraId="3FB696EB" w14:textId="77777777" w:rsidR="007A7839" w:rsidRPr="009F78D7" w:rsidRDefault="007A7839" w:rsidP="00E23D98">
      <w:pPr>
        <w:rPr>
          <w:rFonts w:cs="Arial"/>
          <w:lang w:val="es-ES_tradnl" w:eastAsia="es-ES"/>
        </w:rPr>
      </w:pPr>
      <w:r w:rsidRPr="009F78D7">
        <w:rPr>
          <w:rFonts w:cs="Arial"/>
          <w:lang w:val="es-ES_tradnl" w:eastAsia="es-ES"/>
        </w:rPr>
        <w:t>Con el propósito de atender las necesidades operativas del servicio SINPE-TP, y cada vez que se requiera, Incofer debe proveer al BCCR la siguiente información:</w:t>
      </w:r>
    </w:p>
    <w:p w14:paraId="5AC87B6E" w14:textId="77777777" w:rsidR="007A7839" w:rsidRPr="009F78D7" w:rsidRDefault="007A7839" w:rsidP="00FA10A3">
      <w:pPr>
        <w:pStyle w:val="ListaNivel2"/>
        <w:numPr>
          <w:ilvl w:val="0"/>
          <w:numId w:val="12"/>
        </w:numPr>
        <w:spacing w:line="276" w:lineRule="auto"/>
      </w:pPr>
      <w:r w:rsidRPr="009F78D7">
        <w:t>La localización del origen y destino de las rutas incorporadas al sistema.</w:t>
      </w:r>
    </w:p>
    <w:p w14:paraId="5833FE6E" w14:textId="77777777" w:rsidR="007A7839" w:rsidRPr="009F78D7" w:rsidRDefault="007A7839" w:rsidP="00FA10A3">
      <w:pPr>
        <w:pStyle w:val="ListaNivel2"/>
        <w:numPr>
          <w:ilvl w:val="0"/>
          <w:numId w:val="12"/>
        </w:numPr>
        <w:spacing w:line="276" w:lineRule="auto"/>
      </w:pPr>
      <w:r w:rsidRPr="009F78D7">
        <w:t>El catálogo de cobradores, debiendo suministrar para cada cobrador el nombre completo y su número de documento de identificación.</w:t>
      </w:r>
    </w:p>
    <w:p w14:paraId="5DB4A923" w14:textId="77777777" w:rsidR="007A7839" w:rsidRPr="009F78D7" w:rsidRDefault="007A7839" w:rsidP="00FA10A3">
      <w:pPr>
        <w:pStyle w:val="ListaNivel2"/>
        <w:numPr>
          <w:ilvl w:val="0"/>
          <w:numId w:val="12"/>
        </w:numPr>
        <w:spacing w:line="276" w:lineRule="auto"/>
      </w:pPr>
      <w:r w:rsidRPr="009F78D7">
        <w:t>El resultado de la verificación de las tarifas vigentes para sus rutas.</w:t>
      </w:r>
    </w:p>
    <w:p w14:paraId="76C9821F" w14:textId="77777777" w:rsidR="007A7839" w:rsidRPr="00631381" w:rsidRDefault="007A7839" w:rsidP="00E23D98">
      <w:pPr>
        <w:rPr>
          <w:lang w:val="es-ES_tradnl" w:eastAsia="es-ES"/>
        </w:rPr>
      </w:pPr>
      <w:r w:rsidRPr="000D1C8A">
        <w:rPr>
          <w:rFonts w:cs="Arial"/>
          <w:lang w:val="es-ES_tradnl" w:eastAsia="es-ES"/>
        </w:rPr>
        <w:lastRenderedPageBreak/>
        <w:t xml:space="preserve">Incofer deberá entregar la información al BCCR </w:t>
      </w:r>
      <w:r w:rsidRPr="00CF263B">
        <w:rPr>
          <w:rFonts w:cs="Arial"/>
          <w:lang w:val="es-ES_tradnl" w:eastAsia="es-ES"/>
        </w:rPr>
        <w:t>cinco</w:t>
      </w:r>
      <w:r w:rsidRPr="000D1C8A">
        <w:rPr>
          <w:rFonts w:cs="Arial"/>
          <w:lang w:val="es-ES_tradnl" w:eastAsia="es-ES"/>
        </w:rPr>
        <w:t xml:space="preserve"> días hábiles </w:t>
      </w:r>
      <w:r w:rsidRPr="00CF263B">
        <w:rPr>
          <w:rFonts w:cs="Arial"/>
          <w:lang w:val="es-ES_tradnl" w:eastAsia="es-ES"/>
        </w:rPr>
        <w:t xml:space="preserve">de anticipación A </w:t>
      </w:r>
      <w:r w:rsidRPr="000D1C8A">
        <w:rPr>
          <w:rFonts w:cs="Arial"/>
          <w:lang w:val="es-ES_tradnl" w:eastAsia="es-ES"/>
        </w:rPr>
        <w:t>su entrada en operación, por los medios que el BCCR determine.</w:t>
      </w:r>
    </w:p>
    <w:p w14:paraId="2B91DA5F" w14:textId="77777777" w:rsidR="007A7839" w:rsidRDefault="007A7839" w:rsidP="00E23D98">
      <w:pPr>
        <w:pStyle w:val="Ttulo2"/>
        <w:numPr>
          <w:ilvl w:val="1"/>
          <w:numId w:val="3"/>
        </w:numPr>
        <w:tabs>
          <w:tab w:val="clear" w:pos="510"/>
        </w:tabs>
        <w:spacing w:line="276" w:lineRule="auto"/>
        <w:ind w:left="229" w:hanging="229"/>
      </w:pPr>
      <w:bookmarkStart w:id="128" w:name="_Toc213828780"/>
      <w:bookmarkStart w:id="129" w:name="_Toc216697964"/>
      <w:r>
        <w:t>Información a cargo del BCCR</w:t>
      </w:r>
      <w:bookmarkEnd w:id="128"/>
      <w:bookmarkEnd w:id="129"/>
    </w:p>
    <w:p w14:paraId="157332C6" w14:textId="77777777" w:rsidR="007A7839" w:rsidRPr="009F78D7" w:rsidRDefault="007A7839" w:rsidP="00E23D98">
      <w:pPr>
        <w:rPr>
          <w:rFonts w:cs="Arial"/>
          <w:lang w:val="es-ES_tradnl" w:eastAsia="es-ES"/>
        </w:rPr>
      </w:pPr>
      <w:r w:rsidRPr="009F78D7">
        <w:rPr>
          <w:rFonts w:cs="Arial"/>
          <w:lang w:val="es-ES_tradnl" w:eastAsia="es-ES"/>
        </w:rPr>
        <w:t xml:space="preserve">El BCCR suministrará a los operadores </w:t>
      </w:r>
      <w:r w:rsidRPr="009F78D7">
        <w:rPr>
          <w:lang w:val="es-ES_tradnl" w:eastAsia="es-ES"/>
        </w:rPr>
        <w:t>de transporte reportes de información con el detalle de las transacciones procesadas por medio de la plataforma de</w:t>
      </w:r>
      <w:r>
        <w:rPr>
          <w:lang w:val="es-ES_tradnl" w:eastAsia="es-ES"/>
        </w:rPr>
        <w:t xml:space="preserve"> pagos de</w:t>
      </w:r>
      <w:r w:rsidRPr="009F78D7">
        <w:rPr>
          <w:lang w:val="es-ES_tradnl" w:eastAsia="es-ES"/>
        </w:rPr>
        <w:t xml:space="preserve"> SINPE-TP</w:t>
      </w:r>
      <w:r w:rsidRPr="00B64802">
        <w:rPr>
          <w:lang w:val="es-ES_tradnl" w:eastAsia="es-ES"/>
        </w:rPr>
        <w:t>, así como sobre</w:t>
      </w:r>
      <w:r w:rsidRPr="009F78D7">
        <w:rPr>
          <w:lang w:val="es-ES_tradnl" w:eastAsia="es-ES"/>
        </w:rPr>
        <w:t xml:space="preserve"> los resultados de la liquidación de los ingresos tarifarios recaudados.</w:t>
      </w:r>
      <w:r>
        <w:rPr>
          <w:lang w:val="es-ES_tradnl" w:eastAsia="es-ES"/>
        </w:rPr>
        <w:t xml:space="preserve"> </w:t>
      </w:r>
      <w:r w:rsidRPr="009F78D7">
        <w:rPr>
          <w:lang w:val="es-ES_tradnl" w:eastAsia="es-ES"/>
        </w:rPr>
        <w:t xml:space="preserve">Para los efectos, especificará </w:t>
      </w:r>
      <w:r w:rsidRPr="009F78D7">
        <w:rPr>
          <w:rFonts w:cs="Arial"/>
          <w:lang w:val="es-ES_tradnl" w:eastAsia="es-ES"/>
        </w:rPr>
        <w:t xml:space="preserve">en cada reporte el monto bruto de la recaudación y las deducciones aplicadas, </w:t>
      </w:r>
      <w:r>
        <w:rPr>
          <w:rFonts w:cs="Arial"/>
          <w:lang w:val="es-ES_tradnl" w:eastAsia="es-ES"/>
        </w:rPr>
        <w:t>además de l</w:t>
      </w:r>
      <w:r w:rsidRPr="009F78D7">
        <w:rPr>
          <w:rFonts w:cs="Arial"/>
          <w:lang w:val="es-ES_tradnl" w:eastAsia="es-ES"/>
        </w:rPr>
        <w:t>os detalles que sean requeridos para que los operadores puedan atender sus necesidades de registro y control, en lo que respecta a las transacciones de SINPE-TP.</w:t>
      </w:r>
    </w:p>
    <w:p w14:paraId="7F6F9B9C" w14:textId="77777777" w:rsidR="007A7839" w:rsidRPr="00B64802" w:rsidRDefault="007A7839" w:rsidP="00E23D98">
      <w:pPr>
        <w:rPr>
          <w:rFonts w:cs="Arial"/>
          <w:lang w:val="es-ES_tradnl" w:eastAsia="es-ES"/>
        </w:rPr>
      </w:pPr>
      <w:r w:rsidRPr="009F78D7">
        <w:rPr>
          <w:rFonts w:cs="Arial"/>
          <w:lang w:val="es-ES_tradnl" w:eastAsia="es-ES"/>
        </w:rPr>
        <w:t>El reporte de los operadores del servicio de autobús de ruta regular cumple con el formato de la “</w:t>
      </w:r>
      <w:r w:rsidRPr="00B64802">
        <w:rPr>
          <w:rFonts w:cs="Arial"/>
          <w:i/>
          <w:iCs/>
          <w:lang w:val="es-ES_tradnl" w:eastAsia="es-ES"/>
        </w:rPr>
        <w:t>Hoja de Liquidación de Ingresos Tarifarios</w:t>
      </w:r>
      <w:r>
        <w:rPr>
          <w:rFonts w:cs="Arial"/>
          <w:i/>
          <w:iCs/>
          <w:lang w:val="es-ES_tradnl" w:eastAsia="es-ES"/>
        </w:rPr>
        <w:t xml:space="preserve"> (Autobús de Ruta Regular)</w:t>
      </w:r>
      <w:r w:rsidRPr="009F78D7">
        <w:rPr>
          <w:rFonts w:cs="Arial"/>
          <w:lang w:val="es-ES_tradnl" w:eastAsia="es-ES"/>
        </w:rPr>
        <w:t>”, del Anexo 06 de la presente norma complementaria.</w:t>
      </w:r>
      <w:r>
        <w:rPr>
          <w:rFonts w:cs="Arial"/>
          <w:lang w:val="es-ES_tradnl" w:eastAsia="es-ES"/>
        </w:rPr>
        <w:t xml:space="preserve"> </w:t>
      </w:r>
      <w:r w:rsidRPr="009F78D7">
        <w:rPr>
          <w:rFonts w:cs="Arial"/>
          <w:lang w:val="es-ES_tradnl" w:eastAsia="es-ES"/>
        </w:rPr>
        <w:t xml:space="preserve">Por su parte, los reportes de Incofer cumplen con los formatos del </w:t>
      </w:r>
      <w:r w:rsidRPr="00B64802">
        <w:rPr>
          <w:rFonts w:cs="Arial"/>
          <w:i/>
          <w:iCs/>
          <w:lang w:val="es-ES_tradnl" w:eastAsia="es-ES"/>
        </w:rPr>
        <w:t xml:space="preserve">“Reporte Diario de Operaciones de Recaudación Tarifaria de Incofer” </w:t>
      </w:r>
      <w:r w:rsidRPr="00B64802">
        <w:rPr>
          <w:rFonts w:cs="Arial"/>
          <w:lang w:val="es-ES_tradnl" w:eastAsia="es-ES"/>
        </w:rPr>
        <w:t>y la “</w:t>
      </w:r>
      <w:r w:rsidRPr="00B64802">
        <w:rPr>
          <w:rFonts w:cs="Arial"/>
          <w:i/>
          <w:iCs/>
          <w:lang w:val="es-ES_tradnl" w:eastAsia="es-ES"/>
        </w:rPr>
        <w:t>Hoja de Liquidación de la Recaudación Tarifaria de Incofer</w:t>
      </w:r>
      <w:r w:rsidRPr="00B64802">
        <w:rPr>
          <w:rFonts w:cs="Arial"/>
          <w:lang w:val="es-ES_tradnl" w:eastAsia="es-ES"/>
        </w:rPr>
        <w:t>”, del mismo anexo.</w:t>
      </w:r>
    </w:p>
    <w:p w14:paraId="77B1AD06" w14:textId="77777777" w:rsidR="007A7839" w:rsidRDefault="007A7839" w:rsidP="00E23D98">
      <w:pPr>
        <w:rPr>
          <w:rFonts w:cs="Arial"/>
          <w:lang w:val="es-ES_tradnl" w:eastAsia="es-ES"/>
        </w:rPr>
      </w:pPr>
      <w:r w:rsidRPr="009F78D7">
        <w:rPr>
          <w:rFonts w:cs="Arial"/>
          <w:lang w:val="es-ES_tradnl" w:eastAsia="es-ES"/>
        </w:rPr>
        <w:t xml:space="preserve">Adicionalmente, el BCCR pondrá a disposición de los reguladores y los operadores </w:t>
      </w:r>
      <w:r w:rsidRPr="009F78D7">
        <w:rPr>
          <w:lang w:val="es-ES_tradnl" w:eastAsia="es-ES"/>
        </w:rPr>
        <w:t xml:space="preserve">de transporte, </w:t>
      </w:r>
      <w:r w:rsidRPr="009F78D7">
        <w:rPr>
          <w:rFonts w:cs="Arial"/>
          <w:lang w:val="es-ES_tradnl" w:eastAsia="es-ES"/>
        </w:rPr>
        <w:t xml:space="preserve">facilitades tecnológicas para acceder a la información administrada por el Sistema Central de Recaudo, de conformidad con </w:t>
      </w:r>
      <w:bookmarkStart w:id="130" w:name="_Hlk132312896"/>
      <w:r w:rsidRPr="009F78D7">
        <w:rPr>
          <w:rFonts w:cs="Arial"/>
          <w:lang w:val="es-ES_tradnl" w:eastAsia="es-ES"/>
        </w:rPr>
        <w:t xml:space="preserve">los derechos y permisos que corresponda para cada caso como parte de la estructura de seguridad </w:t>
      </w:r>
      <w:bookmarkEnd w:id="130"/>
      <w:r>
        <w:rPr>
          <w:rFonts w:cs="Arial"/>
          <w:lang w:val="es-ES_tradnl" w:eastAsia="es-ES"/>
        </w:rPr>
        <w:t>del servicio SINPE-TP</w:t>
      </w:r>
      <w:r w:rsidRPr="009F78D7">
        <w:rPr>
          <w:rFonts w:cs="Arial"/>
          <w:lang w:val="es-ES_tradnl" w:eastAsia="es-ES"/>
        </w:rPr>
        <w:t>.</w:t>
      </w:r>
    </w:p>
    <w:p w14:paraId="7647BB08" w14:textId="77777777" w:rsidR="007A7839" w:rsidRDefault="007A7839" w:rsidP="00E23D98">
      <w:pPr>
        <w:pStyle w:val="Ttulo2"/>
        <w:numPr>
          <w:ilvl w:val="1"/>
          <w:numId w:val="3"/>
        </w:numPr>
        <w:tabs>
          <w:tab w:val="clear" w:pos="510"/>
        </w:tabs>
        <w:spacing w:line="276" w:lineRule="auto"/>
        <w:ind w:left="229" w:hanging="229"/>
      </w:pPr>
      <w:bookmarkStart w:id="131" w:name="_Toc213828781"/>
      <w:bookmarkStart w:id="132" w:name="_Toc216697965"/>
      <w:r>
        <w:t>Suministro automático de datos</w:t>
      </w:r>
      <w:bookmarkEnd w:id="131"/>
      <w:bookmarkEnd w:id="132"/>
    </w:p>
    <w:p w14:paraId="38DF2BDA" w14:textId="77777777" w:rsidR="007A7839" w:rsidRDefault="007A7839" w:rsidP="00E23D98">
      <w:pPr>
        <w:rPr>
          <w:lang w:val="es-ES_tradnl" w:eastAsia="es-ES"/>
        </w:rPr>
      </w:pPr>
      <w:bookmarkStart w:id="133" w:name="_Hlk132313358"/>
      <w:r w:rsidRPr="00A3388C">
        <w:rPr>
          <w:lang w:val="es-ES_tradnl" w:eastAsia="es-ES"/>
        </w:rPr>
        <w:t xml:space="preserve">El servicio SINPE-TP dispone de un mecanismo </w:t>
      </w:r>
      <w:r w:rsidRPr="00FF34FD">
        <w:rPr>
          <w:lang w:val="es-ES_tradnl" w:eastAsia="es-ES"/>
        </w:rPr>
        <w:t xml:space="preserve">electrónico </w:t>
      </w:r>
      <w:r w:rsidRPr="00A3388C">
        <w:rPr>
          <w:lang w:val="es-ES_tradnl" w:eastAsia="es-ES"/>
        </w:rPr>
        <w:t>para el suministro automatizado de datos</w:t>
      </w:r>
      <w:r>
        <w:rPr>
          <w:lang w:val="es-ES_tradnl" w:eastAsia="es-ES"/>
        </w:rPr>
        <w:t xml:space="preserve"> que </w:t>
      </w:r>
      <w:r w:rsidRPr="00A3388C">
        <w:rPr>
          <w:lang w:val="es-ES_tradnl" w:eastAsia="es-ES"/>
        </w:rPr>
        <w:t xml:space="preserve">puede ser utilizado por los operadores </w:t>
      </w:r>
      <w:r>
        <w:rPr>
          <w:lang w:val="es-ES_tradnl" w:eastAsia="es-ES"/>
        </w:rPr>
        <w:t xml:space="preserve">de transporte </w:t>
      </w:r>
      <w:r w:rsidRPr="00A3388C">
        <w:rPr>
          <w:lang w:val="es-ES_tradnl" w:eastAsia="es-ES"/>
        </w:rPr>
        <w:t>mediante el consumo de una API de consulta</w:t>
      </w:r>
      <w:r>
        <w:rPr>
          <w:lang w:val="es-ES_tradnl" w:eastAsia="es-ES"/>
        </w:rPr>
        <w:t xml:space="preserve">, la cual establece un </w:t>
      </w:r>
      <w:r w:rsidRPr="00A3388C">
        <w:rPr>
          <w:lang w:val="es-ES_tradnl" w:eastAsia="es-ES"/>
        </w:rPr>
        <w:t>enlace de comunicación</w:t>
      </w:r>
      <w:r>
        <w:rPr>
          <w:lang w:val="es-ES_tradnl" w:eastAsia="es-ES"/>
        </w:rPr>
        <w:t xml:space="preserve"> </w:t>
      </w:r>
      <w:bookmarkStart w:id="134" w:name="_Hlk132313545"/>
      <w:r>
        <w:rPr>
          <w:lang w:val="es-ES_tradnl" w:eastAsia="es-ES"/>
        </w:rPr>
        <w:t>con el Sistema Central de Recaudo</w:t>
      </w:r>
      <w:bookmarkEnd w:id="134"/>
      <w:r>
        <w:rPr>
          <w:lang w:val="es-ES_tradnl" w:eastAsia="es-ES"/>
        </w:rPr>
        <w:t>,</w:t>
      </w:r>
      <w:r w:rsidRPr="00A3388C">
        <w:rPr>
          <w:lang w:val="es-ES_tradnl" w:eastAsia="es-ES"/>
        </w:rPr>
        <w:t xml:space="preserve"> de conformidad con las condiciones </w:t>
      </w:r>
      <w:r>
        <w:rPr>
          <w:lang w:val="es-ES_tradnl" w:eastAsia="es-ES"/>
        </w:rPr>
        <w:t>dispuestas</w:t>
      </w:r>
      <w:r w:rsidRPr="00A3388C">
        <w:rPr>
          <w:lang w:val="es-ES_tradnl" w:eastAsia="es-ES"/>
        </w:rPr>
        <w:t xml:space="preserve"> en el documento “</w:t>
      </w:r>
      <w:r w:rsidRPr="007964FB">
        <w:rPr>
          <w:i/>
          <w:iCs/>
          <w:u w:val="single"/>
          <w:lang w:val="es-ES_tradnl" w:eastAsia="es-ES"/>
        </w:rPr>
        <w:t>No</w:t>
      </w:r>
      <w:r>
        <w:rPr>
          <w:i/>
          <w:iCs/>
          <w:u w:val="single"/>
          <w:lang w:val="es-ES_tradnl" w:eastAsia="es-ES"/>
        </w:rPr>
        <w:t>rm</w:t>
      </w:r>
      <w:r w:rsidRPr="007964FB">
        <w:rPr>
          <w:i/>
          <w:iCs/>
          <w:u w:val="single"/>
          <w:lang w:val="es-ES_tradnl" w:eastAsia="es-ES"/>
        </w:rPr>
        <w:t xml:space="preserve">a Técnica - </w:t>
      </w:r>
      <w:r w:rsidRPr="00A3388C">
        <w:rPr>
          <w:i/>
          <w:iCs/>
          <w:u w:val="single"/>
          <w:lang w:val="es-ES_tradnl" w:eastAsia="es-ES"/>
        </w:rPr>
        <w:t xml:space="preserve">Estándar </w:t>
      </w:r>
      <w:r>
        <w:rPr>
          <w:i/>
          <w:iCs/>
          <w:u w:val="single"/>
          <w:lang w:val="es-ES_tradnl" w:eastAsia="es-ES"/>
        </w:rPr>
        <w:t>E</w:t>
      </w:r>
      <w:r w:rsidRPr="00A3388C">
        <w:rPr>
          <w:i/>
          <w:iCs/>
          <w:u w:val="single"/>
          <w:lang w:val="es-ES_tradnl" w:eastAsia="es-ES"/>
        </w:rPr>
        <w:t xml:space="preserve">lectrónico para la </w:t>
      </w:r>
      <w:r>
        <w:rPr>
          <w:i/>
          <w:iCs/>
          <w:u w:val="single"/>
          <w:lang w:val="es-ES_tradnl" w:eastAsia="es-ES"/>
        </w:rPr>
        <w:t>C</w:t>
      </w:r>
      <w:r w:rsidRPr="00A3388C">
        <w:rPr>
          <w:i/>
          <w:iCs/>
          <w:u w:val="single"/>
          <w:lang w:val="es-ES_tradnl" w:eastAsia="es-ES"/>
        </w:rPr>
        <w:t xml:space="preserve">omunicación con </w:t>
      </w:r>
      <w:r>
        <w:rPr>
          <w:i/>
          <w:iCs/>
          <w:u w:val="single"/>
          <w:lang w:val="es-ES_tradnl" w:eastAsia="es-ES"/>
        </w:rPr>
        <w:t>O</w:t>
      </w:r>
      <w:r w:rsidRPr="00A3388C">
        <w:rPr>
          <w:i/>
          <w:iCs/>
          <w:u w:val="single"/>
          <w:lang w:val="es-ES_tradnl" w:eastAsia="es-ES"/>
        </w:rPr>
        <w:t>peradores</w:t>
      </w:r>
      <w:r w:rsidRPr="00A3388C">
        <w:rPr>
          <w:lang w:val="es-ES_tradnl" w:eastAsia="es-ES"/>
        </w:rPr>
        <w:t xml:space="preserve">”, de la Serie de Normas </w:t>
      </w:r>
      <w:r>
        <w:rPr>
          <w:lang w:val="es-ES_tradnl" w:eastAsia="es-ES"/>
        </w:rPr>
        <w:t xml:space="preserve">Técnicas de </w:t>
      </w:r>
      <w:r w:rsidRPr="00A3388C">
        <w:rPr>
          <w:lang w:val="es-ES_tradnl" w:eastAsia="es-ES"/>
        </w:rPr>
        <w:t>SINPE.</w:t>
      </w:r>
    </w:p>
    <w:p w14:paraId="64A20D1B" w14:textId="77777777" w:rsidR="007A7839" w:rsidRPr="00266938" w:rsidRDefault="007A7839" w:rsidP="00E23D98">
      <w:pPr>
        <w:rPr>
          <w:lang w:eastAsia="es-ES"/>
        </w:rPr>
      </w:pPr>
      <w:r w:rsidRPr="00266938">
        <w:rPr>
          <w:lang w:eastAsia="es-ES"/>
        </w:rPr>
        <w:t xml:space="preserve">Los operadores </w:t>
      </w:r>
      <w:r w:rsidRPr="00266938">
        <w:rPr>
          <w:lang w:val="es-ES_tradnl" w:eastAsia="es-ES"/>
        </w:rPr>
        <w:t>de transporte</w:t>
      </w:r>
      <w:r w:rsidRPr="00266938">
        <w:rPr>
          <w:lang w:eastAsia="es-ES"/>
        </w:rPr>
        <w:t xml:space="preserve"> también disponen del portal web del BCCR denominado “Central Directo” (</w:t>
      </w:r>
      <w:hyperlink r:id="rId18" w:history="1">
        <w:r w:rsidRPr="00D53791">
          <w:rPr>
            <w:rStyle w:val="Hipervnculo"/>
            <w:color w:val="0000CC"/>
            <w:lang w:eastAsia="es-ES"/>
          </w:rPr>
          <w:t>https://www.centraldirecto.fi.cr/</w:t>
        </w:r>
      </w:hyperlink>
      <w:r w:rsidRPr="00266938">
        <w:rPr>
          <w:lang w:eastAsia="es-ES"/>
        </w:rPr>
        <w:t>), para interactuar con el servicio SINPE-TP y acceder a funcionalidades tales como: gestión de usuarios, generación de reportes, mantenimiento de catálogos y consultas del detalle completo de sus transacciones, entre otras.</w:t>
      </w:r>
    </w:p>
    <w:p w14:paraId="37DDA684" w14:textId="77777777" w:rsidR="007A7839" w:rsidRDefault="007A7839" w:rsidP="00E23D98">
      <w:pPr>
        <w:rPr>
          <w:rFonts w:cs="Arial"/>
          <w:lang w:val="es-ES_tradnl" w:eastAsia="es-ES"/>
        </w:rPr>
      </w:pPr>
      <w:bookmarkStart w:id="135" w:name="_Hlk132313715"/>
      <w:bookmarkEnd w:id="133"/>
      <w:r w:rsidRPr="00096F2C">
        <w:rPr>
          <w:rFonts w:cs="Arial"/>
          <w:lang w:eastAsia="es-ES"/>
        </w:rPr>
        <w:t>Se exceptúan</w:t>
      </w:r>
      <w:r w:rsidRPr="00096F2C">
        <w:rPr>
          <w:rFonts w:cs="Arial"/>
          <w:lang w:val="es-ES_tradnl" w:eastAsia="es-ES"/>
        </w:rPr>
        <w:t xml:space="preserve"> </w:t>
      </w:r>
      <w:r w:rsidRPr="00FF34FD">
        <w:rPr>
          <w:rFonts w:cs="Arial"/>
          <w:lang w:val="es-ES_tradnl" w:eastAsia="es-ES"/>
        </w:rPr>
        <w:t xml:space="preserve">de la comunicación </w:t>
      </w:r>
      <w:r w:rsidRPr="00096F2C">
        <w:rPr>
          <w:rFonts w:cs="Arial"/>
          <w:lang w:val="es-ES_tradnl" w:eastAsia="es-ES"/>
        </w:rPr>
        <w:t xml:space="preserve">los datos sensibles de los </w:t>
      </w:r>
      <w:r>
        <w:rPr>
          <w:rFonts w:cs="Arial"/>
          <w:lang w:val="es-ES_tradnl" w:eastAsia="es-ES"/>
        </w:rPr>
        <w:t>usuarios</w:t>
      </w:r>
      <w:r w:rsidRPr="00C70FA8">
        <w:rPr>
          <w:rFonts w:cs="Arial"/>
          <w:lang w:val="es-ES_tradnl" w:eastAsia="es-ES"/>
        </w:rPr>
        <w:t xml:space="preserve"> que se encuentren protegidos</w:t>
      </w:r>
      <w:r>
        <w:rPr>
          <w:rFonts w:cs="Arial"/>
          <w:lang w:val="es-ES_tradnl" w:eastAsia="es-ES"/>
        </w:rPr>
        <w:t xml:space="preserve"> </w:t>
      </w:r>
      <w:r w:rsidRPr="00C70FA8">
        <w:rPr>
          <w:rFonts w:cs="Arial"/>
          <w:lang w:val="es-ES_tradnl" w:eastAsia="es-ES"/>
        </w:rPr>
        <w:t>por disposiciones legales o en virtud del cumplimiento de la norma PCI DSS.</w:t>
      </w:r>
    </w:p>
    <w:p w14:paraId="4D49EA66" w14:textId="77777777" w:rsidR="007A7839" w:rsidRDefault="007A7839" w:rsidP="00E23D98">
      <w:pPr>
        <w:pStyle w:val="Ttulo2"/>
        <w:numPr>
          <w:ilvl w:val="1"/>
          <w:numId w:val="3"/>
        </w:numPr>
        <w:tabs>
          <w:tab w:val="clear" w:pos="510"/>
        </w:tabs>
        <w:spacing w:line="276" w:lineRule="auto"/>
        <w:ind w:left="229" w:hanging="229"/>
      </w:pPr>
      <w:bookmarkStart w:id="136" w:name="_Toc213828782"/>
      <w:bookmarkStart w:id="137" w:name="_Toc216697966"/>
      <w:r>
        <w:t>Actualizaciones</w:t>
      </w:r>
      <w:bookmarkEnd w:id="136"/>
      <w:bookmarkEnd w:id="137"/>
    </w:p>
    <w:p w14:paraId="27B219BB" w14:textId="77777777" w:rsidR="007A7839" w:rsidRDefault="007A7839" w:rsidP="00E23D98">
      <w:pPr>
        <w:rPr>
          <w:rFonts w:cs="Arial"/>
          <w:lang w:val="es-ES_tradnl" w:eastAsia="es-ES"/>
        </w:rPr>
      </w:pPr>
      <w:r w:rsidRPr="00C41E94">
        <w:rPr>
          <w:rFonts w:cs="Arial"/>
          <w:lang w:val="es-ES_tradnl" w:eastAsia="es-ES"/>
        </w:rPr>
        <w:t xml:space="preserve">El operador </w:t>
      </w:r>
      <w:r>
        <w:rPr>
          <w:lang w:val="es-ES_tradnl" w:eastAsia="es-ES"/>
        </w:rPr>
        <w:t xml:space="preserve">de transporte </w:t>
      </w:r>
      <w:r w:rsidRPr="00C41E94">
        <w:rPr>
          <w:rFonts w:cs="Arial"/>
          <w:lang w:val="es-ES_tradnl" w:eastAsia="es-ES"/>
        </w:rPr>
        <w:t xml:space="preserve">es responsable de mantener actualizada su información administrativa y de operación </w:t>
      </w:r>
      <w:r>
        <w:rPr>
          <w:rFonts w:cs="Arial"/>
          <w:lang w:val="es-ES_tradnl" w:eastAsia="es-ES"/>
        </w:rPr>
        <w:t xml:space="preserve">que sea </w:t>
      </w:r>
      <w:r w:rsidRPr="00C41E94">
        <w:rPr>
          <w:rFonts w:cs="Arial"/>
          <w:lang w:val="es-ES_tradnl" w:eastAsia="es-ES"/>
        </w:rPr>
        <w:t xml:space="preserve">requerida </w:t>
      </w:r>
      <w:r>
        <w:rPr>
          <w:rFonts w:cs="Arial"/>
          <w:lang w:val="es-ES_tradnl" w:eastAsia="es-ES"/>
        </w:rPr>
        <w:t>por</w:t>
      </w:r>
      <w:r w:rsidRPr="00C41E94">
        <w:rPr>
          <w:rFonts w:cs="Arial"/>
          <w:lang w:val="es-ES_tradnl" w:eastAsia="es-ES"/>
        </w:rPr>
        <w:t xml:space="preserve"> el BCCR </w:t>
      </w:r>
      <w:r>
        <w:rPr>
          <w:rFonts w:cs="Arial"/>
          <w:lang w:val="es-ES_tradnl" w:eastAsia="es-ES"/>
        </w:rPr>
        <w:t>para</w:t>
      </w:r>
      <w:r w:rsidRPr="00C41E94">
        <w:rPr>
          <w:rFonts w:cs="Arial"/>
          <w:lang w:val="es-ES_tradnl" w:eastAsia="es-ES"/>
        </w:rPr>
        <w:t xml:space="preserve"> </w:t>
      </w:r>
      <w:r>
        <w:rPr>
          <w:rFonts w:cs="Arial"/>
          <w:lang w:val="es-ES_tradnl" w:eastAsia="es-ES"/>
        </w:rPr>
        <w:t>el funcionamiento d</w:t>
      </w:r>
      <w:r w:rsidRPr="00FF34FD">
        <w:rPr>
          <w:rFonts w:cs="Arial"/>
          <w:lang w:val="es-ES_tradnl" w:eastAsia="es-ES"/>
        </w:rPr>
        <w:t xml:space="preserve">el servicio </w:t>
      </w:r>
      <w:r w:rsidRPr="00C41E94">
        <w:rPr>
          <w:rFonts w:cs="Arial"/>
          <w:lang w:val="es-ES_tradnl" w:eastAsia="es-ES"/>
        </w:rPr>
        <w:t xml:space="preserve">SINPE-TP, de forma que debe mantenerse vigilante para suministrar oportunamente al BCCR las comunicaciones que procedan cada vez que </w:t>
      </w:r>
      <w:r>
        <w:rPr>
          <w:rFonts w:cs="Arial"/>
          <w:lang w:val="es-ES_tradnl" w:eastAsia="es-ES"/>
        </w:rPr>
        <w:t xml:space="preserve">sus </w:t>
      </w:r>
      <w:r w:rsidRPr="00C41E94">
        <w:rPr>
          <w:rFonts w:cs="Arial"/>
          <w:lang w:val="es-ES_tradnl" w:eastAsia="es-ES"/>
        </w:rPr>
        <w:t xml:space="preserve">datos </w:t>
      </w:r>
      <w:r w:rsidRPr="00FF34FD">
        <w:rPr>
          <w:rFonts w:cs="Arial"/>
          <w:lang w:val="es-ES_tradnl" w:eastAsia="es-ES"/>
        </w:rPr>
        <w:t>experimente</w:t>
      </w:r>
      <w:r>
        <w:rPr>
          <w:rFonts w:cs="Arial"/>
          <w:lang w:val="es-ES_tradnl" w:eastAsia="es-ES"/>
        </w:rPr>
        <w:t>n</w:t>
      </w:r>
      <w:r w:rsidRPr="00FF34FD">
        <w:rPr>
          <w:rFonts w:cs="Arial"/>
          <w:lang w:val="es-ES_tradnl" w:eastAsia="es-ES"/>
        </w:rPr>
        <w:t xml:space="preserve"> algún cambio </w:t>
      </w:r>
      <w:r w:rsidRPr="00C41E94">
        <w:rPr>
          <w:rFonts w:cs="Arial"/>
          <w:lang w:val="es-ES_tradnl" w:eastAsia="es-ES"/>
        </w:rPr>
        <w:t xml:space="preserve">o </w:t>
      </w:r>
      <w:r w:rsidRPr="00FF34FD">
        <w:rPr>
          <w:rFonts w:cs="Arial"/>
          <w:lang w:val="es-ES_tradnl" w:eastAsia="es-ES"/>
        </w:rPr>
        <w:t xml:space="preserve">porque </w:t>
      </w:r>
      <w:r w:rsidRPr="00C41E94">
        <w:rPr>
          <w:rFonts w:cs="Arial"/>
          <w:lang w:val="es-ES_tradnl" w:eastAsia="es-ES"/>
        </w:rPr>
        <w:t xml:space="preserve">deba reportar información adicional a la </w:t>
      </w:r>
      <w:r>
        <w:rPr>
          <w:rFonts w:cs="Arial"/>
          <w:lang w:val="es-ES_tradnl" w:eastAsia="es-ES"/>
        </w:rPr>
        <w:t xml:space="preserve">que haya reportado </w:t>
      </w:r>
      <w:r w:rsidRPr="00C41E94">
        <w:rPr>
          <w:rFonts w:cs="Arial"/>
          <w:lang w:val="es-ES_tradnl" w:eastAsia="es-ES"/>
        </w:rPr>
        <w:t>con anterioridad</w:t>
      </w:r>
      <w:r>
        <w:rPr>
          <w:rFonts w:cs="Arial"/>
          <w:lang w:val="es-ES_tradnl" w:eastAsia="es-ES"/>
        </w:rPr>
        <w:t>.</w:t>
      </w:r>
    </w:p>
    <w:p w14:paraId="7691EA21" w14:textId="77777777" w:rsidR="007A7839" w:rsidRDefault="007A7839" w:rsidP="00E23D98">
      <w:pPr>
        <w:pStyle w:val="Ttulo2"/>
        <w:numPr>
          <w:ilvl w:val="1"/>
          <w:numId w:val="3"/>
        </w:numPr>
        <w:tabs>
          <w:tab w:val="clear" w:pos="510"/>
        </w:tabs>
        <w:spacing w:line="276" w:lineRule="auto"/>
        <w:ind w:left="229" w:hanging="229"/>
      </w:pPr>
      <w:bookmarkStart w:id="138" w:name="_Toc213828783"/>
      <w:bookmarkStart w:id="139" w:name="_Toc216697967"/>
      <w:r>
        <w:t>Seguridad de la información sensible</w:t>
      </w:r>
      <w:bookmarkEnd w:id="138"/>
      <w:bookmarkEnd w:id="139"/>
    </w:p>
    <w:p w14:paraId="56CFF3F7" w14:textId="77777777" w:rsidR="007A7839" w:rsidRDefault="007A7839" w:rsidP="00E23D98">
      <w:r w:rsidRPr="00AA4635">
        <w:t>Los proveedores de servicio</w:t>
      </w:r>
      <w:r>
        <w:t>s</w:t>
      </w:r>
      <w:r w:rsidRPr="00AA4635">
        <w:t xml:space="preserve"> que accedan a información sensible de los dispositivos de pago, en virtud de sus funciones y de la </w:t>
      </w:r>
      <w:r w:rsidRPr="00B64802">
        <w:rPr>
          <w:rFonts w:cs="Arial"/>
          <w:lang w:val="es-ES_tradnl" w:eastAsia="es-ES"/>
        </w:rPr>
        <w:t>necesidad</w:t>
      </w:r>
      <w:r w:rsidRPr="00AA4635">
        <w:t xml:space="preserve"> del procesamiento y liquidación de las transacciones de SINPE</w:t>
      </w:r>
      <w:r w:rsidRPr="00AA4635">
        <w:noBreakHyphen/>
        <w:t xml:space="preserve">TP, son responsables por la seguridad de dicha información, debiendo administrarla </w:t>
      </w:r>
      <w:r>
        <w:t xml:space="preserve">con </w:t>
      </w:r>
      <w:r w:rsidRPr="00AA4635">
        <w:t xml:space="preserve">procedimientos </w:t>
      </w:r>
      <w:r w:rsidRPr="00AA4635">
        <w:lastRenderedPageBreak/>
        <w:t xml:space="preserve">tecnológicos y operativos que la protejan con </w:t>
      </w:r>
      <w:r>
        <w:t xml:space="preserve">la aplicación de medidas y </w:t>
      </w:r>
      <w:r w:rsidRPr="00AA4635">
        <w:t>estándares de seguridad fiables.</w:t>
      </w:r>
    </w:p>
    <w:p w14:paraId="02CF2DDD" w14:textId="77777777" w:rsidR="007A7839" w:rsidRDefault="007A7839" w:rsidP="00E23D98">
      <w:pPr>
        <w:pStyle w:val="Ttulo1"/>
        <w:numPr>
          <w:ilvl w:val="0"/>
          <w:numId w:val="3"/>
        </w:numPr>
        <w:tabs>
          <w:tab w:val="clear" w:pos="340"/>
        </w:tabs>
        <w:spacing w:line="276" w:lineRule="auto"/>
        <w:ind w:left="426" w:hanging="426"/>
      </w:pPr>
      <w:bookmarkStart w:id="140" w:name="_Toc213828784"/>
      <w:bookmarkStart w:id="141" w:name="_Toc216697968"/>
      <w:r>
        <w:t>Servicios</w:t>
      </w:r>
      <w:bookmarkEnd w:id="140"/>
      <w:bookmarkEnd w:id="141"/>
      <w:r>
        <w:t xml:space="preserve"> </w:t>
      </w:r>
    </w:p>
    <w:p w14:paraId="611F36AC" w14:textId="77777777" w:rsidR="007A7839" w:rsidRDefault="007A7839" w:rsidP="00E23D98">
      <w:pPr>
        <w:pStyle w:val="Ttulo2"/>
        <w:numPr>
          <w:ilvl w:val="1"/>
          <w:numId w:val="3"/>
        </w:numPr>
        <w:tabs>
          <w:tab w:val="clear" w:pos="510"/>
        </w:tabs>
        <w:spacing w:line="276" w:lineRule="auto"/>
        <w:ind w:left="229" w:hanging="229"/>
      </w:pPr>
      <w:bookmarkStart w:id="142" w:name="_Toc213828785"/>
      <w:bookmarkStart w:id="143" w:name="_Toc216697969"/>
      <w:r>
        <w:t>Servicio de adquirencia</w:t>
      </w:r>
      <w:bookmarkEnd w:id="142"/>
      <w:bookmarkEnd w:id="143"/>
      <w:r>
        <w:t xml:space="preserve"> </w:t>
      </w:r>
    </w:p>
    <w:p w14:paraId="058157F5" w14:textId="77777777" w:rsidR="007A7839" w:rsidRPr="004A5E58" w:rsidRDefault="007A7839" w:rsidP="00E23D98">
      <w:r>
        <w:rPr>
          <w:rFonts w:cs="Arial"/>
          <w:lang w:val="es-ES_tradnl" w:eastAsia="es-ES"/>
        </w:rPr>
        <w:t xml:space="preserve">El </w:t>
      </w:r>
      <w:r w:rsidRPr="003B26D9">
        <w:rPr>
          <w:rFonts w:cs="Arial"/>
          <w:lang w:val="es-ES_tradnl" w:eastAsia="es-ES"/>
        </w:rPr>
        <w:t xml:space="preserve">servicio de adquirencia de SINPE-TP </w:t>
      </w:r>
      <w:r>
        <w:rPr>
          <w:rFonts w:cs="Arial"/>
          <w:lang w:val="es-ES_tradnl" w:eastAsia="es-ES"/>
        </w:rPr>
        <w:t>es</w:t>
      </w:r>
      <w:r w:rsidRPr="003B26D9">
        <w:rPr>
          <w:rFonts w:cs="Arial"/>
          <w:lang w:val="es-ES_tradnl" w:eastAsia="es-ES"/>
        </w:rPr>
        <w:t xml:space="preserve"> provisto por las entidades </w:t>
      </w:r>
      <w:r w:rsidRPr="00FF34FD">
        <w:rPr>
          <w:rFonts w:cs="Arial"/>
          <w:lang w:val="es-ES_tradnl" w:eastAsia="es-ES"/>
        </w:rPr>
        <w:t xml:space="preserve">bancarias </w:t>
      </w:r>
      <w:r w:rsidRPr="003B26D9">
        <w:rPr>
          <w:rFonts w:cs="Arial"/>
          <w:lang w:val="es-ES_tradnl" w:eastAsia="es-ES"/>
        </w:rPr>
        <w:t xml:space="preserve">que se integren a </w:t>
      </w:r>
      <w:r>
        <w:rPr>
          <w:rFonts w:cs="Arial"/>
          <w:lang w:val="es-ES_tradnl" w:eastAsia="es-ES"/>
        </w:rPr>
        <w:t>su</w:t>
      </w:r>
      <w:r w:rsidRPr="003B26D9">
        <w:rPr>
          <w:rFonts w:cs="Arial"/>
          <w:lang w:val="es-ES_tradnl" w:eastAsia="es-ES"/>
        </w:rPr>
        <w:t xml:space="preserve"> plataforma </w:t>
      </w:r>
      <w:r>
        <w:rPr>
          <w:rFonts w:cs="Arial"/>
          <w:lang w:val="es-ES_tradnl" w:eastAsia="es-ES"/>
        </w:rPr>
        <w:t>tecnológica para</w:t>
      </w:r>
      <w:r w:rsidRPr="003B26D9">
        <w:rPr>
          <w:rFonts w:cs="Arial"/>
          <w:lang w:val="es-ES_tradnl" w:eastAsia="es-ES"/>
        </w:rPr>
        <w:t xml:space="preserve"> cumplir con </w:t>
      </w:r>
      <w:r>
        <w:rPr>
          <w:rFonts w:cs="Arial"/>
          <w:lang w:val="es-ES_tradnl" w:eastAsia="es-ES"/>
        </w:rPr>
        <w:t xml:space="preserve">el </w:t>
      </w:r>
      <w:r w:rsidRPr="003B26D9">
        <w:rPr>
          <w:rFonts w:cs="Arial"/>
          <w:lang w:val="es-ES_tradnl" w:eastAsia="es-ES"/>
        </w:rPr>
        <w:t>rol</w:t>
      </w:r>
      <w:r>
        <w:rPr>
          <w:rFonts w:cs="Arial"/>
          <w:lang w:val="es-ES_tradnl" w:eastAsia="es-ES"/>
        </w:rPr>
        <w:t xml:space="preserve"> de adquirentes del sistema de tarjetas de pago</w:t>
      </w:r>
      <w:r w:rsidRPr="003B26D9">
        <w:rPr>
          <w:rFonts w:cs="Arial"/>
          <w:lang w:val="es-ES_tradnl" w:eastAsia="es-ES"/>
        </w:rPr>
        <w:t xml:space="preserve">, </w:t>
      </w:r>
      <w:r>
        <w:rPr>
          <w:rFonts w:cs="Arial"/>
          <w:lang w:val="es-ES_tradnl" w:eastAsia="es-ES"/>
        </w:rPr>
        <w:t xml:space="preserve">lo que implica </w:t>
      </w:r>
      <w:r w:rsidRPr="003B26D9">
        <w:rPr>
          <w:rFonts w:cs="Arial"/>
          <w:lang w:val="es-ES_tradnl" w:eastAsia="es-ES"/>
        </w:rPr>
        <w:t xml:space="preserve">recibir las transacciones y procesarlas bajo el esquema de pagos sin contacto </w:t>
      </w:r>
      <w:r>
        <w:rPr>
          <w:rFonts w:cs="Arial"/>
          <w:lang w:val="es-ES_tradnl" w:eastAsia="es-ES"/>
        </w:rPr>
        <w:t>del</w:t>
      </w:r>
      <w:r w:rsidRPr="003B26D9">
        <w:rPr>
          <w:rFonts w:cs="Arial"/>
          <w:lang w:val="es-ES_tradnl" w:eastAsia="es-ES"/>
        </w:rPr>
        <w:t xml:space="preserve"> transporte, de conformidad con las guías de implementación de VISA</w:t>
      </w:r>
      <w:r w:rsidRPr="00FF34FD">
        <w:rPr>
          <w:rFonts w:cs="Arial"/>
          <w:lang w:val="es-ES_tradnl" w:eastAsia="es-ES"/>
        </w:rPr>
        <w:t xml:space="preserve">, </w:t>
      </w:r>
      <w:r w:rsidRPr="003B26D9">
        <w:rPr>
          <w:rFonts w:cs="Arial"/>
          <w:lang w:val="es-ES_tradnl" w:eastAsia="es-ES"/>
        </w:rPr>
        <w:t>MasterCard</w:t>
      </w:r>
      <w:r w:rsidRPr="00FF34FD">
        <w:rPr>
          <w:rFonts w:cs="Arial"/>
          <w:lang w:val="es-ES_tradnl" w:eastAsia="es-ES"/>
        </w:rPr>
        <w:t xml:space="preserve"> y American Express</w:t>
      </w:r>
      <w:r>
        <w:rPr>
          <w:rFonts w:cs="Arial"/>
          <w:lang w:val="es-ES_tradnl" w:eastAsia="es-ES"/>
        </w:rPr>
        <w:t xml:space="preserve"> </w:t>
      </w:r>
      <w:r w:rsidRPr="004A5E58">
        <w:t>(Anexo 02</w:t>
      </w:r>
      <w:r>
        <w:t xml:space="preserve">, </w:t>
      </w:r>
      <w:r w:rsidRPr="004A5E58">
        <w:t>Anexo 03</w:t>
      </w:r>
      <w:r>
        <w:t xml:space="preserve"> y Anexo 04,</w:t>
      </w:r>
      <w:r w:rsidRPr="004A5E58">
        <w:t xml:space="preserve"> respectivamente).</w:t>
      </w:r>
    </w:p>
    <w:p w14:paraId="4E17F299" w14:textId="77777777" w:rsidR="007A7839" w:rsidRPr="003B26D9" w:rsidRDefault="007A7839" w:rsidP="00E23D98">
      <w:pPr>
        <w:rPr>
          <w:rFonts w:cs="Arial"/>
          <w:lang w:val="es-ES_tradnl" w:eastAsia="es-ES"/>
        </w:rPr>
      </w:pPr>
      <w:r>
        <w:rPr>
          <w:rFonts w:cs="Arial"/>
          <w:lang w:val="es-ES_tradnl" w:eastAsia="es-ES"/>
        </w:rPr>
        <w:t xml:space="preserve">Las entidades bancarias interesadas en participar como adquirentes de SINPE-TP, deben presentar a </w:t>
      </w:r>
      <w:r w:rsidRPr="004A5E58">
        <w:rPr>
          <w:rFonts w:cs="Arial"/>
          <w:lang w:val="es-ES_tradnl" w:eastAsia="es-ES"/>
        </w:rPr>
        <w:t xml:space="preserve">la División </w:t>
      </w:r>
      <w:r>
        <w:rPr>
          <w:rFonts w:cs="Arial"/>
          <w:lang w:val="es-ES_tradnl" w:eastAsia="es-ES"/>
        </w:rPr>
        <w:t>S</w:t>
      </w:r>
      <w:r w:rsidRPr="004A5E58">
        <w:rPr>
          <w:rFonts w:cs="Arial"/>
          <w:lang w:val="es-ES_tradnl" w:eastAsia="es-ES"/>
        </w:rPr>
        <w:t>istemas de Pago del BCCR una solicitud con el formato contenido en el Anexo 0</w:t>
      </w:r>
      <w:r>
        <w:rPr>
          <w:rFonts w:cs="Arial"/>
          <w:lang w:val="es-ES_tradnl" w:eastAsia="es-ES"/>
        </w:rPr>
        <w:t>7</w:t>
      </w:r>
      <w:r w:rsidRPr="004A5E58">
        <w:rPr>
          <w:rFonts w:cs="Arial"/>
          <w:lang w:val="es-ES_tradnl" w:eastAsia="es-ES"/>
        </w:rPr>
        <w:t xml:space="preserve"> de</w:t>
      </w:r>
      <w:r>
        <w:rPr>
          <w:rFonts w:cs="Arial"/>
          <w:lang w:val="es-ES_tradnl" w:eastAsia="es-ES"/>
        </w:rPr>
        <w:t xml:space="preserve"> la presente norma complementaria (</w:t>
      </w:r>
      <w:r w:rsidRPr="007964FB">
        <w:rPr>
          <w:rFonts w:cs="Arial"/>
          <w:i/>
          <w:iCs/>
          <w:lang w:val="es-ES_tradnl" w:eastAsia="es-ES"/>
        </w:rPr>
        <w:t>“Solicitud de Participación como Adquirente de SINPE-TP”</w:t>
      </w:r>
      <w:r>
        <w:rPr>
          <w:rFonts w:cs="Arial"/>
          <w:lang w:val="es-ES_tradnl" w:eastAsia="es-ES"/>
        </w:rPr>
        <w:t>).</w:t>
      </w:r>
    </w:p>
    <w:p w14:paraId="07C2B1F3" w14:textId="77777777" w:rsidR="007A7839" w:rsidRPr="003B26D9" w:rsidRDefault="007A7839" w:rsidP="00E23D98">
      <w:pPr>
        <w:rPr>
          <w:rFonts w:cs="Arial"/>
          <w:lang w:val="es-ES_tradnl" w:eastAsia="es-ES"/>
        </w:rPr>
      </w:pPr>
      <w:r w:rsidRPr="003B26D9">
        <w:rPr>
          <w:rFonts w:cs="Arial"/>
          <w:lang w:val="es-ES_tradnl" w:eastAsia="es-ES"/>
        </w:rPr>
        <w:t xml:space="preserve">La comunicación entre la plataforma </w:t>
      </w:r>
      <w:r>
        <w:rPr>
          <w:rFonts w:cs="Arial"/>
          <w:lang w:val="es-ES_tradnl" w:eastAsia="es-ES"/>
        </w:rPr>
        <w:t xml:space="preserve">tecnológica de </w:t>
      </w:r>
      <w:r w:rsidRPr="003B26D9">
        <w:rPr>
          <w:rFonts w:cs="Arial"/>
          <w:lang w:val="es-ES_tradnl" w:eastAsia="es-ES"/>
        </w:rPr>
        <w:t xml:space="preserve">SINPE-TP y </w:t>
      </w:r>
      <w:r w:rsidRPr="00FF34FD">
        <w:rPr>
          <w:rFonts w:cs="Arial"/>
          <w:lang w:val="es-ES_tradnl" w:eastAsia="es-ES"/>
        </w:rPr>
        <w:t xml:space="preserve">los </w:t>
      </w:r>
      <w:r w:rsidRPr="003B26D9">
        <w:rPr>
          <w:rFonts w:cs="Arial"/>
          <w:lang w:val="es-ES_tradnl" w:eastAsia="es-ES"/>
        </w:rPr>
        <w:t>adquirentes se realiza de conformidad con las condiciones establecidas en el documento “</w:t>
      </w:r>
      <w:r w:rsidRPr="00E962F8">
        <w:rPr>
          <w:rFonts w:cs="Arial"/>
          <w:i/>
          <w:iCs/>
          <w:u w:val="single"/>
          <w:lang w:val="es-ES_tradnl" w:eastAsia="es-ES"/>
        </w:rPr>
        <w:t>No</w:t>
      </w:r>
      <w:r>
        <w:rPr>
          <w:rFonts w:cs="Arial"/>
          <w:i/>
          <w:iCs/>
          <w:u w:val="single"/>
          <w:lang w:val="es-ES_tradnl" w:eastAsia="es-ES"/>
        </w:rPr>
        <w:t>rm</w:t>
      </w:r>
      <w:r w:rsidRPr="00E962F8">
        <w:rPr>
          <w:rFonts w:cs="Arial"/>
          <w:i/>
          <w:iCs/>
          <w:u w:val="single"/>
          <w:lang w:val="es-ES_tradnl" w:eastAsia="es-ES"/>
        </w:rPr>
        <w:t xml:space="preserve">a Técnica - </w:t>
      </w:r>
      <w:r w:rsidRPr="003B26D9">
        <w:rPr>
          <w:rFonts w:cs="Arial"/>
          <w:i/>
          <w:iCs/>
          <w:u w:val="single"/>
          <w:lang w:val="es-ES_tradnl" w:eastAsia="es-ES"/>
        </w:rPr>
        <w:t xml:space="preserve">Estándar </w:t>
      </w:r>
      <w:r>
        <w:rPr>
          <w:rFonts w:cs="Arial"/>
          <w:i/>
          <w:iCs/>
          <w:u w:val="single"/>
          <w:lang w:val="es-ES_tradnl" w:eastAsia="es-ES"/>
        </w:rPr>
        <w:t>E</w:t>
      </w:r>
      <w:r w:rsidRPr="003B26D9">
        <w:rPr>
          <w:rFonts w:cs="Arial"/>
          <w:i/>
          <w:iCs/>
          <w:u w:val="single"/>
          <w:lang w:val="es-ES_tradnl" w:eastAsia="es-ES"/>
        </w:rPr>
        <w:t xml:space="preserve">lectrónico para la </w:t>
      </w:r>
      <w:r>
        <w:rPr>
          <w:rFonts w:cs="Arial"/>
          <w:i/>
          <w:iCs/>
          <w:u w:val="single"/>
          <w:lang w:val="es-ES_tradnl" w:eastAsia="es-ES"/>
        </w:rPr>
        <w:t>C</w:t>
      </w:r>
      <w:r w:rsidRPr="003B26D9">
        <w:rPr>
          <w:rFonts w:cs="Arial"/>
          <w:i/>
          <w:iCs/>
          <w:u w:val="single"/>
          <w:lang w:val="es-ES_tradnl" w:eastAsia="es-ES"/>
        </w:rPr>
        <w:t xml:space="preserve">omunicación con </w:t>
      </w:r>
      <w:r>
        <w:rPr>
          <w:rFonts w:cs="Arial"/>
          <w:i/>
          <w:iCs/>
          <w:u w:val="single"/>
          <w:lang w:val="es-ES_tradnl" w:eastAsia="es-ES"/>
        </w:rPr>
        <w:t>A</w:t>
      </w:r>
      <w:r w:rsidRPr="003B26D9">
        <w:rPr>
          <w:rFonts w:cs="Arial"/>
          <w:i/>
          <w:iCs/>
          <w:u w:val="single"/>
          <w:lang w:val="es-ES_tradnl" w:eastAsia="es-ES"/>
        </w:rPr>
        <w:t>dquirentes</w:t>
      </w:r>
      <w:r w:rsidRPr="003B26D9">
        <w:rPr>
          <w:rFonts w:cs="Arial"/>
          <w:lang w:val="es-ES_tradnl" w:eastAsia="es-ES"/>
        </w:rPr>
        <w:t xml:space="preserve">”, de la Serie de Normas </w:t>
      </w:r>
      <w:r>
        <w:rPr>
          <w:rFonts w:cs="Arial"/>
          <w:lang w:val="es-ES_tradnl" w:eastAsia="es-ES"/>
        </w:rPr>
        <w:t xml:space="preserve">Técnicas </w:t>
      </w:r>
      <w:r w:rsidRPr="003B26D9">
        <w:rPr>
          <w:rFonts w:cs="Arial"/>
          <w:lang w:val="es-ES_tradnl" w:eastAsia="es-ES"/>
        </w:rPr>
        <w:t>de SINPE</w:t>
      </w:r>
      <w:r>
        <w:rPr>
          <w:rFonts w:cs="Arial"/>
          <w:lang w:val="es-ES_tradnl" w:eastAsia="es-ES"/>
        </w:rPr>
        <w:t>-TP</w:t>
      </w:r>
      <w:r w:rsidRPr="003B26D9">
        <w:rPr>
          <w:rFonts w:cs="Arial"/>
          <w:lang w:val="es-ES_tradnl" w:eastAsia="es-ES"/>
        </w:rPr>
        <w:t>.</w:t>
      </w:r>
    </w:p>
    <w:p w14:paraId="53316D00" w14:textId="77777777" w:rsidR="007A7839" w:rsidRDefault="007A7839" w:rsidP="00E23D98">
      <w:pPr>
        <w:rPr>
          <w:rFonts w:cs="Arial"/>
          <w:lang w:val="es-ES_tradnl" w:eastAsia="es-ES"/>
        </w:rPr>
      </w:pPr>
      <w:r w:rsidRPr="001A141C">
        <w:rPr>
          <w:rFonts w:cs="Arial"/>
          <w:lang w:val="es-ES_tradnl" w:eastAsia="es-ES"/>
        </w:rPr>
        <w:t xml:space="preserve">Con la prestación de sus servicios </w:t>
      </w:r>
      <w:r>
        <w:rPr>
          <w:rFonts w:cs="Arial"/>
          <w:lang w:val="es-ES_tradnl" w:eastAsia="es-ES"/>
        </w:rPr>
        <w:t xml:space="preserve">de procesamiento </w:t>
      </w:r>
      <w:r w:rsidRPr="001A141C">
        <w:rPr>
          <w:rFonts w:cs="Arial"/>
          <w:lang w:val="es-ES_tradnl" w:eastAsia="es-ES"/>
        </w:rPr>
        <w:t>a SINPE-TP, el adquirente debe mantener un nivel de disponibilidad de al menos 99</w:t>
      </w:r>
      <w:r>
        <w:rPr>
          <w:rFonts w:cs="Arial"/>
          <w:lang w:val="es-ES_tradnl" w:eastAsia="es-ES"/>
        </w:rPr>
        <w:t>,</w:t>
      </w:r>
      <w:r w:rsidRPr="001A141C">
        <w:rPr>
          <w:rFonts w:cs="Arial"/>
          <w:lang w:val="es-ES_tradnl" w:eastAsia="es-ES"/>
        </w:rPr>
        <w:t>99%.</w:t>
      </w:r>
      <w:r>
        <w:rPr>
          <w:rFonts w:cs="Arial"/>
          <w:lang w:val="es-ES_tradnl" w:eastAsia="es-ES"/>
        </w:rPr>
        <w:t xml:space="preserve"> </w:t>
      </w:r>
      <w:r w:rsidRPr="001A141C">
        <w:rPr>
          <w:rFonts w:cs="Arial"/>
          <w:lang w:val="es-ES_tradnl" w:eastAsia="es-ES"/>
        </w:rPr>
        <w:t xml:space="preserve">También deberá atender diligentemente en tiempo y forma las solicitudes de trabajo y las mejoras </w:t>
      </w:r>
      <w:r>
        <w:rPr>
          <w:rFonts w:cs="Arial"/>
          <w:lang w:val="es-ES_tradnl" w:eastAsia="es-ES"/>
        </w:rPr>
        <w:t>a la plataforma</w:t>
      </w:r>
      <w:r w:rsidRPr="001A141C">
        <w:rPr>
          <w:rFonts w:cs="Arial"/>
          <w:lang w:val="es-ES_tradnl" w:eastAsia="es-ES"/>
        </w:rPr>
        <w:t xml:space="preserve"> SINPE-TP que requieran de su participación como adquirente del sistema.</w:t>
      </w:r>
    </w:p>
    <w:p w14:paraId="2A2F7BE8" w14:textId="77777777" w:rsidR="007A7839" w:rsidRPr="008F1503" w:rsidRDefault="007A7839" w:rsidP="00E23D98">
      <w:pPr>
        <w:rPr>
          <w:rFonts w:cs="Arial"/>
          <w:lang w:val="es-ES_tradnl" w:eastAsia="es-ES"/>
        </w:rPr>
      </w:pPr>
      <w:r w:rsidRPr="00CF263B">
        <w:rPr>
          <w:rFonts w:cs="Arial"/>
          <w:lang w:val="es-ES_tradnl" w:eastAsia="es-ES"/>
        </w:rPr>
        <w:t xml:space="preserve">Las tasas de comisión de adquirencia resultantes del proceso de subasta competida que establece el artículo 38 del Reglamento de Sistemas Nacional de Pago Electrónico en el Transporte Público, serán comunicadas oficialmente por el BCCR a los entes de regulación y operadores de transporte dentro de los cinco días hábiles siguientes al cierre del proceso de subasta. </w:t>
      </w:r>
    </w:p>
    <w:p w14:paraId="7AB14420" w14:textId="77777777" w:rsidR="007A7839" w:rsidRDefault="007A7839" w:rsidP="00E23D98">
      <w:pPr>
        <w:pStyle w:val="Ttulo3"/>
        <w:numPr>
          <w:ilvl w:val="2"/>
          <w:numId w:val="3"/>
        </w:numPr>
        <w:tabs>
          <w:tab w:val="clear" w:pos="624"/>
        </w:tabs>
        <w:spacing w:line="276" w:lineRule="auto"/>
        <w:ind w:left="426" w:hanging="360"/>
      </w:pPr>
      <w:bookmarkStart w:id="144" w:name="_Toc213828786"/>
      <w:bookmarkStart w:id="145" w:name="_Toc216697970"/>
      <w:bookmarkStart w:id="146" w:name="_Hlk212197577"/>
      <w:r>
        <w:t>Cobro y liquidación de comisiones</w:t>
      </w:r>
      <w:bookmarkEnd w:id="144"/>
      <w:bookmarkEnd w:id="145"/>
    </w:p>
    <w:bookmarkEnd w:id="146"/>
    <w:p w14:paraId="7D8F7F73" w14:textId="77777777" w:rsidR="007A7839" w:rsidRPr="002E7E32" w:rsidRDefault="007A7839" w:rsidP="00E23D98">
      <w:pPr>
        <w:rPr>
          <w:lang w:val="es-ES_tradnl" w:eastAsia="es-ES"/>
        </w:rPr>
      </w:pPr>
      <w:r w:rsidRPr="002E7E32">
        <w:rPr>
          <w:lang w:val="es-ES_tradnl" w:eastAsia="es-ES"/>
        </w:rPr>
        <w:t>La tasa de comisión del servicio de adquirencia se establece con base en las tasas comunicadas al BCCR por los adquirentes</w:t>
      </w:r>
      <w:r>
        <w:rPr>
          <w:lang w:val="es-ES_tradnl" w:eastAsia="es-ES"/>
        </w:rPr>
        <w:t>,</w:t>
      </w:r>
      <w:r w:rsidRPr="002E7E32">
        <w:rPr>
          <w:lang w:val="es-ES_tradnl" w:eastAsia="es-ES"/>
        </w:rPr>
        <w:t xml:space="preserve"> y de conformidad con el procedimiento competido para el procesamiento de transacciones que establece el artículo </w:t>
      </w:r>
      <w:r>
        <w:rPr>
          <w:lang w:val="es-ES_tradnl" w:eastAsia="es-ES"/>
        </w:rPr>
        <w:t>38</w:t>
      </w:r>
      <w:r w:rsidRPr="002E7E32">
        <w:rPr>
          <w:lang w:val="es-ES_tradnl" w:eastAsia="es-ES"/>
        </w:rPr>
        <w:t xml:space="preserve"> del Reglamento </w:t>
      </w:r>
      <w:r>
        <w:rPr>
          <w:lang w:val="es-ES_tradnl" w:eastAsia="es-ES"/>
        </w:rPr>
        <w:t>de SINPE-TP</w:t>
      </w:r>
      <w:r w:rsidRPr="002E7E32">
        <w:rPr>
          <w:lang w:val="es-ES_tradnl" w:eastAsia="es-ES"/>
        </w:rPr>
        <w:t>.</w:t>
      </w:r>
    </w:p>
    <w:p w14:paraId="05195A7D" w14:textId="77777777" w:rsidR="007A7839" w:rsidRPr="002E7E32" w:rsidRDefault="007A7839" w:rsidP="00E23D98">
      <w:pPr>
        <w:rPr>
          <w:rFonts w:cs="Arial"/>
          <w:lang w:val="es-ES_tradnl" w:eastAsia="es-ES"/>
        </w:rPr>
      </w:pPr>
      <w:r w:rsidRPr="002E7E32">
        <w:rPr>
          <w:rFonts w:cs="Arial"/>
          <w:lang w:val="es-ES_tradnl" w:eastAsia="es-ES"/>
        </w:rPr>
        <w:t>La comisión por el servicio de adquirencia se cobra sobre el monto de las transacciones efectivamente liquidadas a los operadores de transporte (según el inciso c)</w:t>
      </w:r>
      <w:r>
        <w:rPr>
          <w:rFonts w:cs="Arial"/>
          <w:lang w:val="es-ES_tradnl" w:eastAsia="es-ES"/>
        </w:rPr>
        <w:t xml:space="preserve">, </w:t>
      </w:r>
      <w:r w:rsidRPr="002E7E32">
        <w:rPr>
          <w:rFonts w:cs="Arial"/>
          <w:lang w:val="es-ES_tradnl" w:eastAsia="es-ES"/>
        </w:rPr>
        <w:t xml:space="preserve">del apartado </w:t>
      </w:r>
      <w:r>
        <w:rPr>
          <w:rFonts w:cs="Arial"/>
          <w:lang w:val="es-ES_tradnl" w:eastAsia="es-ES"/>
        </w:rPr>
        <w:t>3</w:t>
      </w:r>
      <w:r w:rsidRPr="002E7E32">
        <w:rPr>
          <w:rFonts w:cs="Arial"/>
          <w:lang w:val="es-ES_tradnl" w:eastAsia="es-ES"/>
        </w:rPr>
        <w:t>.2</w:t>
      </w:r>
      <w:r>
        <w:rPr>
          <w:rFonts w:cs="Arial"/>
          <w:lang w:val="es-ES_tradnl" w:eastAsia="es-ES"/>
        </w:rPr>
        <w:t xml:space="preserve"> de la presente norma complementaria</w:t>
      </w:r>
      <w:r w:rsidRPr="002E7E32">
        <w:rPr>
          <w:rFonts w:cs="Arial"/>
          <w:lang w:val="es-ES_tradnl" w:eastAsia="es-ES"/>
        </w:rPr>
        <w:t xml:space="preserve">) y de conformidad con lo dispuesto por el artículo </w:t>
      </w:r>
      <w:r>
        <w:rPr>
          <w:rFonts w:cs="Arial"/>
          <w:lang w:val="es-ES_tradnl" w:eastAsia="es-ES"/>
        </w:rPr>
        <w:t>45</w:t>
      </w:r>
      <w:r w:rsidRPr="002E7E32">
        <w:rPr>
          <w:rFonts w:cs="Arial"/>
          <w:lang w:val="es-ES_tradnl" w:eastAsia="es-ES"/>
        </w:rPr>
        <w:t xml:space="preserve"> del Reglamento </w:t>
      </w:r>
      <w:bookmarkStart w:id="147" w:name="_Hlk134124199"/>
      <w:r>
        <w:rPr>
          <w:rFonts w:cs="Arial"/>
          <w:lang w:val="es-ES_tradnl" w:eastAsia="es-ES"/>
        </w:rPr>
        <w:t>de SINPE-TP</w:t>
      </w:r>
      <w:r w:rsidRPr="002E7E32">
        <w:rPr>
          <w:rFonts w:cs="Arial"/>
          <w:lang w:val="es-ES_tradnl" w:eastAsia="es-ES"/>
        </w:rPr>
        <w:t>.</w:t>
      </w:r>
      <w:r>
        <w:rPr>
          <w:rFonts w:cs="Arial"/>
          <w:lang w:val="es-ES_tradnl" w:eastAsia="es-ES"/>
        </w:rPr>
        <w:t xml:space="preserve"> </w:t>
      </w:r>
      <w:r w:rsidRPr="002E7E32">
        <w:rPr>
          <w:rFonts w:cs="Arial"/>
          <w:lang w:val="es-ES_tradnl" w:eastAsia="es-ES"/>
        </w:rPr>
        <w:t xml:space="preserve">Dicha comisión </w:t>
      </w:r>
      <w:bookmarkStart w:id="148" w:name="_Hlk134124572"/>
      <w:r w:rsidRPr="002E7E32">
        <w:rPr>
          <w:rFonts w:cs="Arial"/>
          <w:lang w:val="es-ES_tradnl" w:eastAsia="es-ES"/>
        </w:rPr>
        <w:t xml:space="preserve">es cobrada directamente por los adquirentes </w:t>
      </w:r>
      <w:bookmarkEnd w:id="148"/>
      <w:r w:rsidRPr="002E7E32">
        <w:rPr>
          <w:rFonts w:cs="Arial"/>
          <w:lang w:val="es-ES_tradnl" w:eastAsia="es-ES"/>
        </w:rPr>
        <w:t xml:space="preserve">y deducida por </w:t>
      </w:r>
      <w:r>
        <w:rPr>
          <w:rFonts w:cs="Arial"/>
          <w:lang w:val="es-ES_tradnl" w:eastAsia="es-ES"/>
        </w:rPr>
        <w:t xml:space="preserve">el Sistema Central de Recaudo </w:t>
      </w:r>
      <w:r w:rsidRPr="002E7E32">
        <w:rPr>
          <w:rFonts w:cs="Arial"/>
          <w:lang w:val="es-ES_tradnl" w:eastAsia="es-ES"/>
        </w:rPr>
        <w:t>de los ingresos tarifarios de los operadores, en el ciclo de liquidación dentro del cual corresponda su pago.</w:t>
      </w:r>
      <w:bookmarkEnd w:id="147"/>
    </w:p>
    <w:p w14:paraId="38B11CB1" w14:textId="77777777" w:rsidR="007A7839" w:rsidRDefault="007A7839" w:rsidP="00E23D98">
      <w:pPr>
        <w:rPr>
          <w:rFonts w:cs="Arial"/>
          <w:lang w:val="es-ES_tradnl" w:eastAsia="es-ES"/>
        </w:rPr>
      </w:pPr>
      <w:r w:rsidRPr="00BA2173">
        <w:rPr>
          <w:rFonts w:cs="Arial"/>
          <w:lang w:val="es-ES_tradnl" w:eastAsia="es-ES"/>
        </w:rPr>
        <w:t>Las transacciones que presenten un problema en su procesamiento</w:t>
      </w:r>
      <w:r>
        <w:rPr>
          <w:rFonts w:cs="Arial"/>
          <w:lang w:val="es-ES_tradnl" w:eastAsia="es-ES"/>
        </w:rPr>
        <w:t xml:space="preserve"> </w:t>
      </w:r>
      <w:r w:rsidRPr="00BA2173">
        <w:rPr>
          <w:rFonts w:cs="Arial"/>
          <w:lang w:val="es-ES_tradnl" w:eastAsia="es-ES"/>
        </w:rPr>
        <w:t xml:space="preserve">por el </w:t>
      </w:r>
      <w:r>
        <w:rPr>
          <w:rFonts w:cs="Arial"/>
          <w:lang w:val="es-ES_tradnl" w:eastAsia="es-ES"/>
        </w:rPr>
        <w:t xml:space="preserve">que </w:t>
      </w:r>
      <w:r w:rsidRPr="00BA2173">
        <w:rPr>
          <w:rFonts w:cs="Arial"/>
          <w:lang w:val="es-ES_tradnl" w:eastAsia="es-ES"/>
        </w:rPr>
        <w:t>deban liquidarse en un ciclo posterior al que le</w:t>
      </w:r>
      <w:r>
        <w:rPr>
          <w:rFonts w:cs="Arial"/>
          <w:lang w:val="es-ES_tradnl" w:eastAsia="es-ES"/>
        </w:rPr>
        <w:t>s</w:t>
      </w:r>
      <w:r w:rsidRPr="00BA2173">
        <w:rPr>
          <w:rFonts w:cs="Arial"/>
          <w:lang w:val="es-ES_tradnl" w:eastAsia="es-ES"/>
        </w:rPr>
        <w:t xml:space="preserve"> corresponde, estarán sujetas a la aplicación de una comisión de adquirencia igual a la menor tasa de comisión cobrada por los adquirentes para las transacciones de SINPE-TP.</w:t>
      </w:r>
    </w:p>
    <w:p w14:paraId="7DA67D60" w14:textId="77777777" w:rsidR="007A7839" w:rsidRPr="00AA4635" w:rsidRDefault="007A7839" w:rsidP="00E23D98">
      <w:pPr>
        <w:rPr>
          <w:rFonts w:cs="Arial"/>
          <w:szCs w:val="20"/>
        </w:rPr>
      </w:pPr>
      <w:r w:rsidRPr="002E7E32">
        <w:rPr>
          <w:rFonts w:cs="Arial"/>
          <w:lang w:val="es-ES_tradnl" w:eastAsia="es-ES"/>
        </w:rPr>
        <w:t xml:space="preserve">La comisión de adquirencia se calcula tomando cada transacción individualmente y su resultado es redondeado a dos decimales. </w:t>
      </w:r>
      <w:r>
        <w:rPr>
          <w:rFonts w:cs="Arial"/>
          <w:lang w:val="es-ES_tradnl" w:eastAsia="es-ES"/>
        </w:rPr>
        <w:t xml:space="preserve">Con </w:t>
      </w:r>
      <w:r w:rsidRPr="002E7E32">
        <w:rPr>
          <w:rFonts w:cs="Arial"/>
          <w:szCs w:val="20"/>
        </w:rPr>
        <w:t xml:space="preserve">la liquidación de los ingresos tarifarios, el BCCR </w:t>
      </w:r>
      <w:r w:rsidRPr="00AA4635">
        <w:rPr>
          <w:rFonts w:cs="Arial"/>
          <w:szCs w:val="20"/>
        </w:rPr>
        <w:t>informará al operador de transporte el monto total de la comisión cobrada sobre sus transacciones y pondrá a su disposición el detalle por transacción.</w:t>
      </w:r>
    </w:p>
    <w:p w14:paraId="7724CC39" w14:textId="77777777" w:rsidR="007A7839" w:rsidRDefault="007A7839" w:rsidP="00E23D98">
      <w:pPr>
        <w:rPr>
          <w:lang w:val="es-ES_tradnl" w:eastAsia="es-ES"/>
        </w:rPr>
      </w:pPr>
      <w:bookmarkStart w:id="149" w:name="_Hlk212197690"/>
      <w:r w:rsidRPr="00AA4635">
        <w:rPr>
          <w:lang w:val="es-ES_tradnl" w:eastAsia="es-ES"/>
        </w:rPr>
        <w:lastRenderedPageBreak/>
        <w:t>El BCCR divulgará las tasas de comisión de los adquirentes mediante su página web, y las tasas efectivas de cobro las comunicará a los operadores de transporte mediante los reportes diarios de liquidación de transacciones distribuidos por el Sistema Central de Recaudo</w:t>
      </w:r>
      <w:bookmarkEnd w:id="149"/>
      <w:r>
        <w:rPr>
          <w:lang w:val="es-ES_tradnl" w:eastAsia="es-ES"/>
        </w:rPr>
        <w:t>.</w:t>
      </w:r>
    </w:p>
    <w:p w14:paraId="59BBACC1" w14:textId="77777777" w:rsidR="007A7839" w:rsidRDefault="007A7839" w:rsidP="00FA10A3">
      <w:pPr>
        <w:pStyle w:val="Ttulo3"/>
        <w:numPr>
          <w:ilvl w:val="2"/>
          <w:numId w:val="3"/>
        </w:numPr>
        <w:tabs>
          <w:tab w:val="clear" w:pos="624"/>
        </w:tabs>
        <w:spacing w:line="276" w:lineRule="auto"/>
        <w:ind w:left="426" w:hanging="426"/>
      </w:pPr>
      <w:bookmarkStart w:id="150" w:name="_Toc213828787"/>
      <w:bookmarkStart w:id="151" w:name="_Toc216697971"/>
      <w:r>
        <w:t>Conservación de datos de la autorización de transacciones</w:t>
      </w:r>
      <w:bookmarkEnd w:id="150"/>
      <w:bookmarkEnd w:id="151"/>
    </w:p>
    <w:p w14:paraId="0FDF404F" w14:textId="77777777" w:rsidR="007A7839" w:rsidRPr="00A77B2C" w:rsidRDefault="007A7839" w:rsidP="00E23D98">
      <w:pPr>
        <w:rPr>
          <w:rFonts w:cs="Arial"/>
          <w:color w:val="000000"/>
          <w:szCs w:val="20"/>
          <w:lang w:eastAsia="es-ES"/>
        </w:rPr>
      </w:pPr>
      <w:bookmarkStart w:id="152" w:name="_Hlk163068951"/>
      <w:r w:rsidRPr="00A77B2C">
        <w:rPr>
          <w:rFonts w:cs="Arial"/>
          <w:color w:val="000000"/>
          <w:szCs w:val="20"/>
          <w:lang w:eastAsia="es-ES"/>
        </w:rPr>
        <w:t xml:space="preserve">El BCCR </w:t>
      </w:r>
      <w:r>
        <w:rPr>
          <w:rFonts w:cs="Arial"/>
          <w:color w:val="000000"/>
          <w:szCs w:val="20"/>
          <w:lang w:eastAsia="es-ES"/>
        </w:rPr>
        <w:t xml:space="preserve">conservará </w:t>
      </w:r>
      <w:r w:rsidRPr="00A77B2C">
        <w:rPr>
          <w:rFonts w:cs="Arial"/>
          <w:color w:val="000000"/>
          <w:szCs w:val="20"/>
          <w:lang w:eastAsia="es-ES"/>
        </w:rPr>
        <w:t>hasta por un máximo de 14 días naturales</w:t>
      </w:r>
      <w:r>
        <w:rPr>
          <w:rFonts w:cs="Arial"/>
          <w:color w:val="000000"/>
          <w:szCs w:val="20"/>
          <w:lang w:eastAsia="es-ES"/>
        </w:rPr>
        <w:t>,</w:t>
      </w:r>
      <w:r w:rsidRPr="00A77B2C">
        <w:rPr>
          <w:rFonts w:cs="Arial"/>
          <w:color w:val="000000"/>
          <w:szCs w:val="20"/>
          <w:lang w:eastAsia="es-ES"/>
        </w:rPr>
        <w:t xml:space="preserve"> una copia de los datos con los que el emisor autoriza una transacción</w:t>
      </w:r>
      <w:r>
        <w:rPr>
          <w:rFonts w:cs="Arial"/>
          <w:color w:val="000000"/>
          <w:szCs w:val="20"/>
          <w:lang w:eastAsia="es-ES"/>
        </w:rPr>
        <w:t xml:space="preserve">. Esta copia la mantiene el BCCR como medida contingente, </w:t>
      </w:r>
      <w:r w:rsidRPr="00A77B2C">
        <w:rPr>
          <w:rFonts w:cs="Arial"/>
          <w:color w:val="000000"/>
          <w:szCs w:val="20"/>
          <w:lang w:eastAsia="es-ES"/>
        </w:rPr>
        <w:t xml:space="preserve">de conformidad con los parámetros </w:t>
      </w:r>
      <w:r w:rsidRPr="00CF263B">
        <w:rPr>
          <w:lang w:val="es-ES_tradnl" w:eastAsia="es-ES"/>
        </w:rPr>
        <w:t>de</w:t>
      </w:r>
      <w:r w:rsidRPr="00A77B2C">
        <w:rPr>
          <w:rFonts w:cs="Arial"/>
          <w:color w:val="000000"/>
          <w:szCs w:val="20"/>
          <w:lang w:eastAsia="es-ES"/>
        </w:rPr>
        <w:t xml:space="preserve"> riesgo de SINPE−TP</w:t>
      </w:r>
      <w:bookmarkEnd w:id="152"/>
      <w:r w:rsidRPr="00A77B2C">
        <w:rPr>
          <w:rFonts w:cs="Arial"/>
          <w:color w:val="000000"/>
          <w:szCs w:val="20"/>
          <w:lang w:eastAsia="es-ES"/>
        </w:rPr>
        <w:t>.</w:t>
      </w:r>
    </w:p>
    <w:p w14:paraId="02B2C229" w14:textId="77777777" w:rsidR="007A7839" w:rsidRDefault="007A7839" w:rsidP="00A40A30">
      <w:pPr>
        <w:pStyle w:val="Ttulo3"/>
        <w:numPr>
          <w:ilvl w:val="2"/>
          <w:numId w:val="3"/>
        </w:numPr>
        <w:tabs>
          <w:tab w:val="clear" w:pos="624"/>
        </w:tabs>
        <w:spacing w:line="276" w:lineRule="auto"/>
        <w:ind w:left="426" w:hanging="426"/>
      </w:pPr>
      <w:bookmarkStart w:id="153" w:name="_Toc213828788"/>
      <w:bookmarkStart w:id="154" w:name="_Toc216697972"/>
      <w:r>
        <w:t>Interoperabilidad de pagos</w:t>
      </w:r>
      <w:bookmarkEnd w:id="153"/>
      <w:bookmarkEnd w:id="154"/>
      <w:r>
        <w:t xml:space="preserve"> </w:t>
      </w:r>
    </w:p>
    <w:p w14:paraId="1ECF5FDC" w14:textId="77777777" w:rsidR="007A7839" w:rsidRDefault="007A7839" w:rsidP="00E23D98">
      <w:pPr>
        <w:rPr>
          <w:lang w:val="es-ES_tradnl" w:eastAsia="es-ES"/>
        </w:rPr>
      </w:pPr>
      <w:r>
        <w:rPr>
          <w:lang w:val="es-ES_tradnl" w:eastAsia="es-ES"/>
        </w:rPr>
        <w:t>El adquirente debe preparar y mantener su infraestructura habilitada para el procesamiento de las transacciones de todas las marcas de tarjetas que sean válidas dentro del ecosistema de pagos de SINPE-TP.</w:t>
      </w:r>
    </w:p>
    <w:p w14:paraId="149D40E9" w14:textId="77777777" w:rsidR="007A7839" w:rsidRDefault="007A7839" w:rsidP="00E23D98">
      <w:pPr>
        <w:pStyle w:val="Ttulo2"/>
        <w:numPr>
          <w:ilvl w:val="1"/>
          <w:numId w:val="3"/>
        </w:numPr>
        <w:tabs>
          <w:tab w:val="clear" w:pos="510"/>
        </w:tabs>
        <w:spacing w:line="276" w:lineRule="auto"/>
        <w:ind w:left="229" w:hanging="229"/>
      </w:pPr>
      <w:bookmarkStart w:id="155" w:name="_Toc213828789"/>
      <w:bookmarkStart w:id="156" w:name="_Toc216697973"/>
      <w:r>
        <w:t>Servicio de pasarela de pagos</w:t>
      </w:r>
      <w:bookmarkEnd w:id="155"/>
      <w:bookmarkEnd w:id="156"/>
      <w:r>
        <w:t xml:space="preserve"> </w:t>
      </w:r>
    </w:p>
    <w:p w14:paraId="6FCFE7C9" w14:textId="77777777" w:rsidR="007A7839" w:rsidRPr="00EA119D" w:rsidRDefault="007A7839" w:rsidP="00E23D98">
      <w:pPr>
        <w:rPr>
          <w:lang w:val="es-ES_tradnl" w:eastAsia="es-ES"/>
        </w:rPr>
      </w:pPr>
      <w:r w:rsidRPr="00EA119D">
        <w:rPr>
          <w:lang w:val="es-ES_tradnl" w:eastAsia="es-ES"/>
        </w:rPr>
        <w:t xml:space="preserve">El servicio de pasarela de pagos se refiere a la gestión de cobro de las transacciones SINPE-TP que registran los usuarios en </w:t>
      </w:r>
      <w:r>
        <w:rPr>
          <w:lang w:val="es-ES_tradnl" w:eastAsia="es-ES"/>
        </w:rPr>
        <w:t xml:space="preserve">la red de </w:t>
      </w:r>
      <w:r w:rsidRPr="00EA119D">
        <w:rPr>
          <w:lang w:val="es-ES_tradnl" w:eastAsia="es-ES"/>
        </w:rPr>
        <w:t xml:space="preserve">equipos de validación, la cual se realiza con la participación del proveedor de la pasarela de </w:t>
      </w:r>
      <w:r>
        <w:rPr>
          <w:lang w:val="es-ES_tradnl" w:eastAsia="es-ES"/>
        </w:rPr>
        <w:t>transporte</w:t>
      </w:r>
      <w:r w:rsidRPr="00EA119D">
        <w:rPr>
          <w:lang w:val="es-ES_tradnl" w:eastAsia="es-ES"/>
        </w:rPr>
        <w:t>, los adquirentes, las entidades emisoras de los dispositivos de pago y el Sistema Central de Recaudo, de conformidad con lo establecido en la Contratación Directa 2021CD-000090-0004900001, denominada “CONTRATACIÓN DE HORAS DE SERVICIO PARA UNA SOLUCIÓN DE PASARELA DE TRANSPORTE, COMPONENTE ESENCIAL DEL SISTEMA NACIONAL DE PAGO ELECTRÓNICO EN EL TRANSPORTE PÚBLICO”.</w:t>
      </w:r>
    </w:p>
    <w:p w14:paraId="15FBEC41" w14:textId="77777777" w:rsidR="007A7839" w:rsidRDefault="007A7839" w:rsidP="00E23D98">
      <w:pPr>
        <w:pStyle w:val="Ttulo3"/>
        <w:numPr>
          <w:ilvl w:val="2"/>
          <w:numId w:val="3"/>
        </w:numPr>
        <w:tabs>
          <w:tab w:val="clear" w:pos="624"/>
        </w:tabs>
        <w:spacing w:line="276" w:lineRule="auto"/>
        <w:ind w:left="426" w:hanging="360"/>
      </w:pPr>
      <w:bookmarkStart w:id="157" w:name="_Toc213828790"/>
      <w:bookmarkStart w:id="158" w:name="_Toc216697974"/>
      <w:r>
        <w:t>Cobro y liquidación de comisiones</w:t>
      </w:r>
      <w:bookmarkEnd w:id="157"/>
      <w:bookmarkEnd w:id="158"/>
    </w:p>
    <w:p w14:paraId="7CA3322E" w14:textId="77777777" w:rsidR="007A7839" w:rsidRPr="00FF34FD" w:rsidRDefault="007A7839" w:rsidP="00E23D98">
      <w:pPr>
        <w:rPr>
          <w:lang w:val="es-ES_tradnl" w:eastAsia="es-ES"/>
        </w:rPr>
      </w:pPr>
      <w:r>
        <w:rPr>
          <w:lang w:val="es-ES_tradnl" w:eastAsia="es-ES"/>
        </w:rPr>
        <w:t xml:space="preserve">La tasa de comisión de los servicios de pasarela de transporte es de 1,50% (ad valorem), de acuerdo con lo establecido en la </w:t>
      </w:r>
      <w:r w:rsidRPr="00FF34FD">
        <w:rPr>
          <w:lang w:val="es-ES_tradnl" w:eastAsia="es-ES"/>
        </w:rPr>
        <w:t>Contratación Directa 2021CD-000090-0004900001</w:t>
      </w:r>
      <w:r>
        <w:rPr>
          <w:lang w:val="es-ES_tradnl" w:eastAsia="es-ES"/>
        </w:rPr>
        <w:t>. El BCCR comunicará esta tasa a los interesados mediante el Sistema Central de Recaudo y su página web.</w:t>
      </w:r>
      <w:r w:rsidRPr="00FF34FD">
        <w:rPr>
          <w:lang w:val="es-ES_tradnl" w:eastAsia="es-ES"/>
        </w:rPr>
        <w:t xml:space="preserve"> </w:t>
      </w:r>
    </w:p>
    <w:p w14:paraId="1BC9143C" w14:textId="77777777" w:rsidR="007A7839" w:rsidRDefault="007A7839" w:rsidP="00E23D98">
      <w:pPr>
        <w:rPr>
          <w:lang w:val="es-ES_tradnl" w:eastAsia="es-ES"/>
        </w:rPr>
      </w:pPr>
      <w:r w:rsidRPr="00FF34FD">
        <w:rPr>
          <w:lang w:val="es-ES_tradnl" w:eastAsia="es-ES"/>
        </w:rPr>
        <w:t xml:space="preserve">El cobro de la comisión a los operadores </w:t>
      </w:r>
      <w:r>
        <w:rPr>
          <w:lang w:val="es-ES_tradnl" w:eastAsia="es-ES"/>
        </w:rPr>
        <w:t xml:space="preserve">de transporte </w:t>
      </w:r>
      <w:r w:rsidRPr="00FF34FD">
        <w:rPr>
          <w:lang w:val="es-ES_tradnl" w:eastAsia="es-ES"/>
        </w:rPr>
        <w:t xml:space="preserve">se </w:t>
      </w:r>
      <w:r>
        <w:rPr>
          <w:lang w:val="es-ES_tradnl" w:eastAsia="es-ES"/>
        </w:rPr>
        <w:t>hace</w:t>
      </w:r>
      <w:r w:rsidRPr="00FF34FD">
        <w:rPr>
          <w:lang w:val="es-ES_tradnl" w:eastAsia="es-ES"/>
        </w:rPr>
        <w:t xml:space="preserve"> efectivo en forma diaria</w:t>
      </w:r>
      <w:r>
        <w:rPr>
          <w:lang w:val="es-ES_tradnl" w:eastAsia="es-ES"/>
        </w:rPr>
        <w:t xml:space="preserve">, aplicando la tasa de comisión </w:t>
      </w:r>
      <w:r w:rsidRPr="00FF34FD">
        <w:rPr>
          <w:lang w:val="es-ES_tradnl" w:eastAsia="es-ES"/>
        </w:rPr>
        <w:t xml:space="preserve">sobre el monto bruto </w:t>
      </w:r>
      <w:r>
        <w:rPr>
          <w:lang w:val="es-ES_tradnl" w:eastAsia="es-ES"/>
        </w:rPr>
        <w:t xml:space="preserve">agregado </w:t>
      </w:r>
      <w:r w:rsidRPr="00FF34FD">
        <w:rPr>
          <w:lang w:val="es-ES_tradnl" w:eastAsia="es-ES"/>
        </w:rPr>
        <w:t>de los ingresos tarifarios recaudado</w:t>
      </w:r>
      <w:r>
        <w:rPr>
          <w:lang w:val="es-ES_tradnl" w:eastAsia="es-ES"/>
        </w:rPr>
        <w:t>s</w:t>
      </w:r>
      <w:r w:rsidRPr="00FF34FD">
        <w:rPr>
          <w:lang w:val="es-ES_tradnl" w:eastAsia="es-ES"/>
        </w:rPr>
        <w:t xml:space="preserve"> y liquidado</w:t>
      </w:r>
      <w:r>
        <w:rPr>
          <w:lang w:val="es-ES_tradnl" w:eastAsia="es-ES"/>
        </w:rPr>
        <w:t>s</w:t>
      </w:r>
      <w:r w:rsidRPr="00FF34FD">
        <w:rPr>
          <w:lang w:val="es-ES_tradnl" w:eastAsia="es-ES"/>
        </w:rPr>
        <w:t xml:space="preserve"> por medio de SINPE-TP durante el </w:t>
      </w:r>
      <w:r>
        <w:rPr>
          <w:lang w:val="es-ES_tradnl" w:eastAsia="es-ES"/>
        </w:rPr>
        <w:t xml:space="preserve">ciclo de liquidación </w:t>
      </w:r>
      <w:r w:rsidRPr="00FF34FD">
        <w:rPr>
          <w:lang w:val="es-ES_tradnl" w:eastAsia="es-ES"/>
        </w:rPr>
        <w:t>respectivo</w:t>
      </w:r>
      <w:r>
        <w:rPr>
          <w:lang w:val="es-ES_tradnl" w:eastAsia="es-ES"/>
        </w:rPr>
        <w:t>.</w:t>
      </w:r>
    </w:p>
    <w:p w14:paraId="0C1A0FA7" w14:textId="77777777" w:rsidR="007A7839" w:rsidRDefault="007A7839" w:rsidP="00E23D98">
      <w:pPr>
        <w:pStyle w:val="Ttulo2"/>
        <w:numPr>
          <w:ilvl w:val="1"/>
          <w:numId w:val="3"/>
        </w:numPr>
        <w:tabs>
          <w:tab w:val="clear" w:pos="510"/>
        </w:tabs>
        <w:spacing w:line="276" w:lineRule="auto"/>
        <w:ind w:left="229" w:hanging="229"/>
      </w:pPr>
      <w:bookmarkStart w:id="159" w:name="_Toc177998399"/>
      <w:bookmarkStart w:id="160" w:name="_Toc178505013"/>
      <w:bookmarkStart w:id="161" w:name="_Toc178522761"/>
      <w:bookmarkStart w:id="162" w:name="_Toc178596996"/>
      <w:bookmarkStart w:id="163" w:name="_Toc178597055"/>
      <w:bookmarkStart w:id="164" w:name="_Toc213828791"/>
      <w:bookmarkStart w:id="165" w:name="_Toc216697975"/>
      <w:bookmarkEnd w:id="159"/>
      <w:bookmarkEnd w:id="160"/>
      <w:bookmarkEnd w:id="161"/>
      <w:bookmarkEnd w:id="162"/>
      <w:bookmarkEnd w:id="163"/>
      <w:r>
        <w:t>Servicio de validación</w:t>
      </w:r>
      <w:bookmarkEnd w:id="164"/>
      <w:bookmarkEnd w:id="165"/>
    </w:p>
    <w:p w14:paraId="5ED72294" w14:textId="77777777" w:rsidR="007A7839" w:rsidRPr="003B26D9" w:rsidRDefault="007A7839" w:rsidP="00E23D98">
      <w:pPr>
        <w:rPr>
          <w:lang w:val="es-ES_tradnl" w:eastAsia="es-ES"/>
        </w:rPr>
      </w:pPr>
      <w:r w:rsidRPr="003B26D9">
        <w:rPr>
          <w:lang w:val="es-ES_tradnl" w:eastAsia="es-ES"/>
        </w:rPr>
        <w:t>El servicio de validación de SINPE-TP se refiere al conjunto de protocolos de comunicación, estándares de seguridad, procedimientos operativos e infraestructura tecnológica que interviene</w:t>
      </w:r>
      <w:r w:rsidRPr="00FF34FD">
        <w:rPr>
          <w:lang w:val="es-ES_tradnl" w:eastAsia="es-ES"/>
        </w:rPr>
        <w:t>n</w:t>
      </w:r>
      <w:r w:rsidRPr="003B26D9">
        <w:rPr>
          <w:lang w:val="es-ES_tradnl" w:eastAsia="es-ES"/>
        </w:rPr>
        <w:t xml:space="preserve"> en el registro de transacciones</w:t>
      </w:r>
      <w:r w:rsidRPr="00FF34FD">
        <w:rPr>
          <w:lang w:val="es-ES_tradnl" w:eastAsia="es-ES"/>
        </w:rPr>
        <w:t xml:space="preserve"> </w:t>
      </w:r>
      <w:r w:rsidRPr="003B26D9">
        <w:rPr>
          <w:lang w:val="es-ES_tradnl" w:eastAsia="es-ES"/>
        </w:rPr>
        <w:t xml:space="preserve">en </w:t>
      </w:r>
      <w:r>
        <w:rPr>
          <w:lang w:val="es-ES_tradnl" w:eastAsia="es-ES"/>
        </w:rPr>
        <w:t xml:space="preserve">la red de </w:t>
      </w:r>
      <w:r w:rsidRPr="00FF34FD">
        <w:rPr>
          <w:lang w:val="es-ES_tradnl" w:eastAsia="es-ES"/>
        </w:rPr>
        <w:t>validadores</w:t>
      </w:r>
      <w:r w:rsidRPr="003B26D9">
        <w:rPr>
          <w:lang w:val="es-ES_tradnl" w:eastAsia="es-ES"/>
        </w:rPr>
        <w:t xml:space="preserve">, </w:t>
      </w:r>
      <w:r>
        <w:rPr>
          <w:lang w:val="es-ES_tradnl" w:eastAsia="es-ES"/>
        </w:rPr>
        <w:t xml:space="preserve">así como a </w:t>
      </w:r>
      <w:r w:rsidRPr="003B26D9">
        <w:rPr>
          <w:lang w:val="es-ES_tradnl" w:eastAsia="es-ES"/>
        </w:rPr>
        <w:t xml:space="preserve">la administración local de las listas de denegación de dispositivos de pago y </w:t>
      </w:r>
      <w:r>
        <w:rPr>
          <w:lang w:val="es-ES_tradnl" w:eastAsia="es-ES"/>
        </w:rPr>
        <w:t xml:space="preserve">el envío </w:t>
      </w:r>
      <w:r w:rsidRPr="003B26D9">
        <w:rPr>
          <w:lang w:val="es-ES_tradnl" w:eastAsia="es-ES"/>
        </w:rPr>
        <w:t xml:space="preserve">de </w:t>
      </w:r>
      <w:r w:rsidRPr="00FF34FD">
        <w:rPr>
          <w:lang w:val="es-ES_tradnl" w:eastAsia="es-ES"/>
        </w:rPr>
        <w:t xml:space="preserve">transacciones </w:t>
      </w:r>
      <w:r w:rsidRPr="003B26D9">
        <w:rPr>
          <w:lang w:val="es-ES_tradnl" w:eastAsia="es-ES"/>
        </w:rPr>
        <w:t>al Sistema Central de Recaudo</w:t>
      </w:r>
      <w:r w:rsidRPr="00FF34FD">
        <w:rPr>
          <w:lang w:val="es-ES_tradnl" w:eastAsia="es-ES"/>
        </w:rPr>
        <w:t xml:space="preserve"> para </w:t>
      </w:r>
      <w:r>
        <w:rPr>
          <w:lang w:val="es-ES_tradnl" w:eastAsia="es-ES"/>
        </w:rPr>
        <w:t>su gestión cobratoria</w:t>
      </w:r>
      <w:r w:rsidRPr="003B26D9">
        <w:rPr>
          <w:lang w:val="es-ES_tradnl" w:eastAsia="es-ES"/>
        </w:rPr>
        <w:t xml:space="preserve">, de conformidad con las condiciones establecidas en el </w:t>
      </w:r>
      <w:r>
        <w:rPr>
          <w:lang w:val="es-ES_tradnl" w:eastAsia="es-ES"/>
        </w:rPr>
        <w:t xml:space="preserve">Reglamento de </w:t>
      </w:r>
      <w:r w:rsidRPr="003B26D9">
        <w:rPr>
          <w:lang w:val="es-ES_tradnl" w:eastAsia="es-ES"/>
        </w:rPr>
        <w:t xml:space="preserve">SINPE-TP y las </w:t>
      </w:r>
      <w:r>
        <w:rPr>
          <w:lang w:val="es-ES_tradnl" w:eastAsia="es-ES"/>
        </w:rPr>
        <w:t xml:space="preserve">siguientes </w:t>
      </w:r>
      <w:r w:rsidRPr="003B26D9">
        <w:rPr>
          <w:lang w:val="es-ES_tradnl" w:eastAsia="es-ES"/>
        </w:rPr>
        <w:t>normas técnicas</w:t>
      </w:r>
      <w:r>
        <w:rPr>
          <w:lang w:val="es-ES_tradnl" w:eastAsia="es-ES"/>
        </w:rPr>
        <w:t>, las</w:t>
      </w:r>
      <w:bookmarkStart w:id="166" w:name="_Toc103256006"/>
      <w:bookmarkStart w:id="167" w:name="_Toc103258164"/>
      <w:bookmarkStart w:id="168" w:name="_Toc103258228"/>
      <w:bookmarkStart w:id="169" w:name="_Toc103256007"/>
      <w:bookmarkStart w:id="170" w:name="_Toc103258165"/>
      <w:bookmarkStart w:id="171" w:name="_Toc103258229"/>
      <w:bookmarkStart w:id="172" w:name="_Toc103256008"/>
      <w:bookmarkStart w:id="173" w:name="_Toc103258166"/>
      <w:bookmarkStart w:id="174" w:name="_Toc103258230"/>
      <w:bookmarkStart w:id="175" w:name="_Toc103256009"/>
      <w:bookmarkStart w:id="176" w:name="_Toc103258167"/>
      <w:bookmarkStart w:id="177" w:name="_Toc103258231"/>
      <w:bookmarkStart w:id="178" w:name="_Toc103967588"/>
      <w:bookmarkStart w:id="179" w:name="_Toc103967841"/>
      <w:bookmarkStart w:id="180" w:name="_Toc103968284"/>
      <w:bookmarkStart w:id="181" w:name="_Toc103968719"/>
      <w:bookmarkStart w:id="182" w:name="_Toc103969029"/>
      <w:bookmarkStart w:id="183" w:name="_Toc103969232"/>
      <w:bookmarkStart w:id="184" w:name="_Toc103969559"/>
      <w:bookmarkStart w:id="185" w:name="_Toc103969692"/>
      <w:bookmarkStart w:id="186" w:name="_Toc103967590"/>
      <w:bookmarkStart w:id="187" w:name="_Toc103967843"/>
      <w:bookmarkStart w:id="188" w:name="_Toc103968286"/>
      <w:bookmarkStart w:id="189" w:name="_Toc103968721"/>
      <w:bookmarkStart w:id="190" w:name="_Toc103969031"/>
      <w:bookmarkStart w:id="191" w:name="_Toc103969234"/>
      <w:bookmarkStart w:id="192" w:name="_Toc103969561"/>
      <w:bookmarkStart w:id="193" w:name="_Toc103969694"/>
      <w:bookmarkStart w:id="194" w:name="_Toc103967591"/>
      <w:bookmarkStart w:id="195" w:name="_Toc103967844"/>
      <w:bookmarkStart w:id="196" w:name="_Toc103968287"/>
      <w:bookmarkStart w:id="197" w:name="_Toc103968722"/>
      <w:bookmarkStart w:id="198" w:name="_Toc103969032"/>
      <w:bookmarkStart w:id="199" w:name="_Toc103969235"/>
      <w:bookmarkStart w:id="200" w:name="_Toc103969562"/>
      <w:bookmarkStart w:id="201" w:name="_Toc103969695"/>
      <w:bookmarkStart w:id="202" w:name="_Toc103967592"/>
      <w:bookmarkStart w:id="203" w:name="_Toc103967845"/>
      <w:bookmarkStart w:id="204" w:name="_Toc103968288"/>
      <w:bookmarkStart w:id="205" w:name="_Toc103968723"/>
      <w:bookmarkStart w:id="206" w:name="_Toc103969033"/>
      <w:bookmarkStart w:id="207" w:name="_Toc103969236"/>
      <w:bookmarkStart w:id="208" w:name="_Toc103969563"/>
      <w:bookmarkStart w:id="209" w:name="_Toc103969696"/>
      <w:bookmarkStart w:id="210" w:name="_Toc103967593"/>
      <w:bookmarkStart w:id="211" w:name="_Toc103967846"/>
      <w:bookmarkStart w:id="212" w:name="_Toc103968289"/>
      <w:bookmarkStart w:id="213" w:name="_Toc103968724"/>
      <w:bookmarkStart w:id="214" w:name="_Toc103969034"/>
      <w:bookmarkStart w:id="215" w:name="_Toc103969237"/>
      <w:bookmarkStart w:id="216" w:name="_Toc103969564"/>
      <w:bookmarkStart w:id="217" w:name="_Toc103969697"/>
      <w:bookmarkStart w:id="218" w:name="_Toc103967594"/>
      <w:bookmarkStart w:id="219" w:name="_Toc103967847"/>
      <w:bookmarkStart w:id="220" w:name="_Toc103968290"/>
      <w:bookmarkStart w:id="221" w:name="_Toc103968725"/>
      <w:bookmarkStart w:id="222" w:name="_Toc103969035"/>
      <w:bookmarkStart w:id="223" w:name="_Toc103969238"/>
      <w:bookmarkStart w:id="224" w:name="_Toc103969565"/>
      <w:bookmarkStart w:id="225" w:name="_Toc103969698"/>
      <w:bookmarkStart w:id="226" w:name="_Toc103967595"/>
      <w:bookmarkStart w:id="227" w:name="_Toc103967848"/>
      <w:bookmarkStart w:id="228" w:name="_Toc103968291"/>
      <w:bookmarkStart w:id="229" w:name="_Toc103968726"/>
      <w:bookmarkStart w:id="230" w:name="_Toc103969036"/>
      <w:bookmarkStart w:id="231" w:name="_Toc103969239"/>
      <w:bookmarkStart w:id="232" w:name="_Toc103969566"/>
      <w:bookmarkStart w:id="233" w:name="_Toc103969699"/>
      <w:bookmarkStart w:id="234" w:name="_Toc103967596"/>
      <w:bookmarkStart w:id="235" w:name="_Toc103967849"/>
      <w:bookmarkStart w:id="236" w:name="_Toc103968292"/>
      <w:bookmarkStart w:id="237" w:name="_Toc103968727"/>
      <w:bookmarkStart w:id="238" w:name="_Toc103969037"/>
      <w:bookmarkStart w:id="239" w:name="_Toc103969240"/>
      <w:bookmarkStart w:id="240" w:name="_Toc103969567"/>
      <w:bookmarkStart w:id="241" w:name="_Toc103969700"/>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Pr>
          <w:lang w:val="es-ES_tradnl" w:eastAsia="es-ES"/>
        </w:rPr>
        <w:t xml:space="preserve"> cuales son parte integral de la presente norma complementaria</w:t>
      </w:r>
      <w:r w:rsidRPr="00FF34FD">
        <w:rPr>
          <w:lang w:val="es-ES_tradnl" w:eastAsia="es-ES"/>
        </w:rPr>
        <w:t>:</w:t>
      </w:r>
    </w:p>
    <w:p w14:paraId="7E566858" w14:textId="77777777" w:rsidR="007A7839" w:rsidRPr="003B26D9" w:rsidRDefault="007A7839" w:rsidP="00E23D98">
      <w:pPr>
        <w:pStyle w:val="ListaVietas"/>
        <w:tabs>
          <w:tab w:val="clear" w:pos="425"/>
        </w:tabs>
        <w:spacing w:line="276" w:lineRule="auto"/>
        <w:ind w:left="851" w:hanging="425"/>
      </w:pPr>
      <w:r w:rsidRPr="003B26D9">
        <w:t>Norma Técnica – Homologación de equipos de validación para SINPE-TP.</w:t>
      </w:r>
    </w:p>
    <w:p w14:paraId="53EDFD57" w14:textId="77777777" w:rsidR="007A7839" w:rsidRDefault="007A7839" w:rsidP="00E23D98">
      <w:pPr>
        <w:pStyle w:val="ListaVietas"/>
        <w:tabs>
          <w:tab w:val="clear" w:pos="425"/>
        </w:tabs>
        <w:spacing w:line="276" w:lineRule="auto"/>
        <w:ind w:left="851" w:hanging="425"/>
      </w:pPr>
      <w:r w:rsidRPr="003B26D9">
        <w:t xml:space="preserve">Norma Técnica – Operación del Servicio de Validación </w:t>
      </w:r>
      <w:r>
        <w:t>de</w:t>
      </w:r>
      <w:r w:rsidRPr="003B26D9">
        <w:t xml:space="preserve"> SINPE-TP.</w:t>
      </w:r>
    </w:p>
    <w:p w14:paraId="6C1CD8BB" w14:textId="77777777" w:rsidR="007A7839" w:rsidRPr="00FF34FD" w:rsidRDefault="007A7839" w:rsidP="00E23D98">
      <w:pPr>
        <w:pStyle w:val="ListaVietas"/>
        <w:tabs>
          <w:tab w:val="clear" w:pos="425"/>
        </w:tabs>
        <w:spacing w:line="276" w:lineRule="auto"/>
        <w:ind w:left="851" w:hanging="425"/>
      </w:pPr>
      <w:r w:rsidRPr="003B26D9">
        <w:t xml:space="preserve">Norma Técnica – </w:t>
      </w:r>
      <w:r>
        <w:t>Estándar Electrónico para la Comunicación con los Adquirentes.</w:t>
      </w:r>
    </w:p>
    <w:p w14:paraId="29B36DE1" w14:textId="77777777" w:rsidR="007A7839" w:rsidRPr="00FF34FD" w:rsidRDefault="007A7839" w:rsidP="00E23D98">
      <w:pPr>
        <w:pStyle w:val="ListaVietas"/>
        <w:tabs>
          <w:tab w:val="clear" w:pos="425"/>
        </w:tabs>
        <w:spacing w:line="276" w:lineRule="auto"/>
        <w:ind w:left="851" w:hanging="425"/>
      </w:pPr>
      <w:r w:rsidRPr="003B26D9">
        <w:t xml:space="preserve">Norma Técnica – </w:t>
      </w:r>
      <w:r>
        <w:t>Estándar Electrónico para la Comunicación con los Operadores.</w:t>
      </w:r>
    </w:p>
    <w:p w14:paraId="638B1299" w14:textId="77777777" w:rsidR="007A7839" w:rsidRDefault="007A7839" w:rsidP="00E23D98">
      <w:pPr>
        <w:pStyle w:val="ListaVietas"/>
        <w:tabs>
          <w:tab w:val="clear" w:pos="425"/>
        </w:tabs>
        <w:spacing w:line="276" w:lineRule="auto"/>
        <w:ind w:left="851" w:hanging="425"/>
      </w:pPr>
      <w:r w:rsidRPr="00C53771">
        <w:t>Norma Técnica – Estándar Electrónico para el Registro de Tarjetas Monedero SINPE-TP.</w:t>
      </w:r>
    </w:p>
    <w:p w14:paraId="274908DC" w14:textId="66C449F7" w:rsidR="00393D0F" w:rsidRDefault="00BC2E59" w:rsidP="00E23D98">
      <w:pPr>
        <w:pStyle w:val="ListaVietas"/>
        <w:tabs>
          <w:tab w:val="clear" w:pos="425"/>
        </w:tabs>
        <w:spacing w:line="276" w:lineRule="auto"/>
        <w:ind w:left="851" w:hanging="425"/>
      </w:pPr>
      <w:r w:rsidRPr="00F45F52">
        <w:lastRenderedPageBreak/>
        <w:t xml:space="preserve">Norma </w:t>
      </w:r>
      <w:r w:rsidRPr="00BC2E59">
        <w:t>Técnica</w:t>
      </w:r>
      <w:r w:rsidRPr="00F45F52">
        <w:t xml:space="preserve"> - Estándar Electrónico para </w:t>
      </w:r>
      <w:r w:rsidR="003E7AD9">
        <w:t xml:space="preserve">la Activación </w:t>
      </w:r>
      <w:r w:rsidRPr="00F45F52">
        <w:t>de Tarjetas Monedero SINPE-TP en la Aplicación SINPE-TP Pasajero</w:t>
      </w:r>
      <w:r w:rsidR="00F503BE">
        <w:t>.</w:t>
      </w:r>
    </w:p>
    <w:p w14:paraId="01CD281F" w14:textId="77777777" w:rsidR="00393D0F" w:rsidRDefault="00393D0F" w:rsidP="00393D0F">
      <w:pPr>
        <w:rPr>
          <w:lang w:val="es-ES_tradnl" w:eastAsia="es-ES"/>
        </w:rPr>
      </w:pPr>
      <w:r w:rsidRPr="00393D0F">
        <w:rPr>
          <w:rFonts w:cs="Arial"/>
          <w:lang w:val="es-ES_tradnl" w:eastAsia="es-ES"/>
        </w:rPr>
        <w:t>Todas</w:t>
      </w:r>
      <w:r>
        <w:rPr>
          <w:lang w:val="es-ES_tradnl" w:eastAsia="es-ES"/>
        </w:rPr>
        <w:t xml:space="preserve"> estas </w:t>
      </w:r>
      <w:r w:rsidRPr="00FF34FD">
        <w:rPr>
          <w:lang w:val="es-ES_tradnl" w:eastAsia="es-ES"/>
        </w:rPr>
        <w:t xml:space="preserve">normas forman parte de la Serie de Normas </w:t>
      </w:r>
      <w:r>
        <w:rPr>
          <w:lang w:val="es-ES_tradnl" w:eastAsia="es-ES"/>
        </w:rPr>
        <w:t xml:space="preserve">Técnicas </w:t>
      </w:r>
      <w:r w:rsidRPr="00FF34FD">
        <w:rPr>
          <w:lang w:val="es-ES_tradnl" w:eastAsia="es-ES"/>
        </w:rPr>
        <w:t>de SINPE</w:t>
      </w:r>
      <w:r>
        <w:rPr>
          <w:lang w:val="es-ES_tradnl" w:eastAsia="es-ES"/>
        </w:rPr>
        <w:t>-TP.</w:t>
      </w:r>
    </w:p>
    <w:p w14:paraId="0CEFE211" w14:textId="77777777" w:rsidR="007A7839" w:rsidRDefault="007A7839" w:rsidP="00E23D98">
      <w:pPr>
        <w:pStyle w:val="Ttulo3"/>
        <w:numPr>
          <w:ilvl w:val="2"/>
          <w:numId w:val="3"/>
        </w:numPr>
        <w:tabs>
          <w:tab w:val="clear" w:pos="624"/>
        </w:tabs>
        <w:spacing w:line="276" w:lineRule="auto"/>
        <w:ind w:left="426" w:hanging="360"/>
      </w:pPr>
      <w:bookmarkStart w:id="242" w:name="_Toc213828792"/>
      <w:bookmarkStart w:id="243" w:name="_Toc216697976"/>
      <w:r>
        <w:t>Configuración de parámetros en los equipos de validación</w:t>
      </w:r>
      <w:bookmarkEnd w:id="242"/>
      <w:bookmarkEnd w:id="243"/>
      <w:r>
        <w:t xml:space="preserve"> </w:t>
      </w:r>
    </w:p>
    <w:p w14:paraId="69C06F9A" w14:textId="77777777" w:rsidR="007A7839" w:rsidRDefault="007A7839" w:rsidP="00E23D98">
      <w:pPr>
        <w:rPr>
          <w:rFonts w:cs="Arial"/>
          <w:lang w:val="es-ES_tradnl" w:eastAsia="es-ES"/>
        </w:rPr>
      </w:pPr>
      <w:r w:rsidRPr="003C1E20">
        <w:rPr>
          <w:rFonts w:cs="Arial"/>
          <w:lang w:val="es-ES_tradnl" w:eastAsia="es-ES"/>
        </w:rPr>
        <w:t>El BCCR configurar</w:t>
      </w:r>
      <w:r>
        <w:rPr>
          <w:rFonts w:cs="Arial"/>
          <w:lang w:val="es-ES_tradnl" w:eastAsia="es-ES"/>
        </w:rPr>
        <w:t>á</w:t>
      </w:r>
      <w:r w:rsidRPr="003C1E20">
        <w:rPr>
          <w:rFonts w:cs="Arial"/>
          <w:lang w:val="es-ES_tradnl" w:eastAsia="es-ES"/>
        </w:rPr>
        <w:t xml:space="preserve"> los </w:t>
      </w:r>
      <w:r>
        <w:rPr>
          <w:rFonts w:cs="Arial"/>
          <w:lang w:val="es-ES_tradnl" w:eastAsia="es-ES"/>
        </w:rPr>
        <w:t xml:space="preserve">parámetros de </w:t>
      </w:r>
      <w:r w:rsidRPr="003C1E20">
        <w:rPr>
          <w:rFonts w:cs="Arial"/>
          <w:lang w:val="es-ES_tradnl" w:eastAsia="es-ES"/>
        </w:rPr>
        <w:t xml:space="preserve">SINPE-TP </w:t>
      </w:r>
      <w:r>
        <w:rPr>
          <w:rFonts w:cs="Arial"/>
          <w:lang w:val="es-ES_tradnl" w:eastAsia="es-ES"/>
        </w:rPr>
        <w:t xml:space="preserve">en los </w:t>
      </w:r>
      <w:r w:rsidRPr="003C1E20">
        <w:rPr>
          <w:rFonts w:cs="Arial"/>
          <w:lang w:val="es-ES_tradnl" w:eastAsia="es-ES"/>
        </w:rPr>
        <w:t xml:space="preserve">validadores </w:t>
      </w:r>
      <w:r>
        <w:rPr>
          <w:rFonts w:cs="Arial"/>
          <w:lang w:val="es-ES_tradnl" w:eastAsia="es-ES"/>
        </w:rPr>
        <w:t xml:space="preserve">para </w:t>
      </w:r>
      <w:r w:rsidRPr="003C1E20">
        <w:rPr>
          <w:rFonts w:cs="Arial"/>
          <w:lang w:val="es-ES_tradnl" w:eastAsia="es-ES"/>
        </w:rPr>
        <w:t>prepararlos con la información tarifaria y de rutas requerida</w:t>
      </w:r>
      <w:r>
        <w:rPr>
          <w:rFonts w:cs="Arial"/>
          <w:lang w:val="es-ES_tradnl" w:eastAsia="es-ES"/>
        </w:rPr>
        <w:t xml:space="preserve"> por el servicio de validación, a efectos de que </w:t>
      </w:r>
      <w:r>
        <w:rPr>
          <w:rFonts w:cs="Arial"/>
          <w:szCs w:val="20"/>
          <w:lang w:val="es-ES"/>
        </w:rPr>
        <w:t xml:space="preserve">los operadores </w:t>
      </w:r>
      <w:r>
        <w:rPr>
          <w:lang w:val="es-ES_tradnl" w:eastAsia="es-ES"/>
        </w:rPr>
        <w:t xml:space="preserve">de transporte </w:t>
      </w:r>
      <w:r w:rsidRPr="003C1E20">
        <w:rPr>
          <w:rFonts w:cs="Arial"/>
          <w:lang w:val="es-ES_tradnl" w:eastAsia="es-ES"/>
        </w:rPr>
        <w:t>pueda</w:t>
      </w:r>
      <w:r>
        <w:rPr>
          <w:rFonts w:cs="Arial"/>
          <w:lang w:val="es-ES_tradnl" w:eastAsia="es-ES"/>
        </w:rPr>
        <w:t>n</w:t>
      </w:r>
      <w:r w:rsidRPr="003C1E20">
        <w:rPr>
          <w:rFonts w:cs="Arial"/>
          <w:lang w:val="es-ES_tradnl" w:eastAsia="es-ES"/>
        </w:rPr>
        <w:t xml:space="preserve"> realizar el cobro de las tarifas por los viajes realizados.</w:t>
      </w:r>
      <w:r>
        <w:rPr>
          <w:rFonts w:cs="Arial"/>
          <w:lang w:val="es-ES_tradnl" w:eastAsia="es-ES"/>
        </w:rPr>
        <w:t xml:space="preserve"> Esta </w:t>
      </w:r>
      <w:r w:rsidRPr="003C1E20">
        <w:rPr>
          <w:rFonts w:cs="Arial"/>
          <w:lang w:val="es-ES_tradnl" w:eastAsia="es-ES"/>
        </w:rPr>
        <w:t xml:space="preserve">configuración se lleva a cabo en forma remota </w:t>
      </w:r>
      <w:r>
        <w:rPr>
          <w:rFonts w:cs="Arial"/>
          <w:lang w:val="es-ES_tradnl" w:eastAsia="es-ES"/>
        </w:rPr>
        <w:t xml:space="preserve">o presencial, </w:t>
      </w:r>
      <w:r w:rsidRPr="003C1E20">
        <w:rPr>
          <w:rFonts w:cs="Arial"/>
          <w:lang w:val="es-ES_tradnl" w:eastAsia="es-ES"/>
        </w:rPr>
        <w:t xml:space="preserve">y mediante protocolos que aseguren la transmisión, </w:t>
      </w:r>
      <w:r>
        <w:rPr>
          <w:rFonts w:cs="Arial"/>
          <w:lang w:val="es-ES_tradnl" w:eastAsia="es-ES"/>
        </w:rPr>
        <w:t xml:space="preserve">recepción, </w:t>
      </w:r>
      <w:r w:rsidRPr="003C1E20">
        <w:rPr>
          <w:rFonts w:cs="Arial"/>
          <w:lang w:val="es-ES_tradnl" w:eastAsia="es-ES"/>
        </w:rPr>
        <w:t>inviolabilidad e integridad de los datos</w:t>
      </w:r>
      <w:r>
        <w:rPr>
          <w:rFonts w:cs="Arial"/>
          <w:lang w:val="es-ES_tradnl" w:eastAsia="es-ES"/>
        </w:rPr>
        <w:t>.</w:t>
      </w:r>
    </w:p>
    <w:p w14:paraId="16866773" w14:textId="77777777" w:rsidR="007A7839" w:rsidRDefault="007A7839" w:rsidP="00E23D98">
      <w:pPr>
        <w:pStyle w:val="Ttulo3"/>
        <w:numPr>
          <w:ilvl w:val="2"/>
          <w:numId w:val="3"/>
        </w:numPr>
        <w:tabs>
          <w:tab w:val="clear" w:pos="624"/>
        </w:tabs>
        <w:spacing w:line="276" w:lineRule="auto"/>
        <w:ind w:left="426" w:hanging="360"/>
      </w:pPr>
      <w:bookmarkStart w:id="244" w:name="_Toc213828793"/>
      <w:bookmarkStart w:id="245" w:name="_Toc216697977"/>
      <w:r>
        <w:t>Certificación de los validadores</w:t>
      </w:r>
      <w:bookmarkEnd w:id="244"/>
      <w:bookmarkEnd w:id="245"/>
      <w:r>
        <w:t xml:space="preserve"> </w:t>
      </w:r>
    </w:p>
    <w:p w14:paraId="3D3B6DF6" w14:textId="77777777" w:rsidR="007A7839" w:rsidRPr="003C1E20" w:rsidRDefault="007A7839" w:rsidP="00E23D98">
      <w:pPr>
        <w:rPr>
          <w:rFonts w:cs="Arial"/>
          <w:lang w:val="es-ES_tradnl" w:eastAsia="es-ES"/>
        </w:rPr>
      </w:pPr>
      <w:r w:rsidRPr="003C1E20">
        <w:rPr>
          <w:rFonts w:cs="Arial"/>
          <w:lang w:val="es-ES_tradnl" w:eastAsia="es-ES"/>
        </w:rPr>
        <w:t xml:space="preserve">La arquitectura tecnológica de SINPE-TP y las infraestructuras de </w:t>
      </w:r>
      <w:r>
        <w:rPr>
          <w:rFonts w:cs="Arial"/>
          <w:lang w:val="es-ES_tradnl" w:eastAsia="es-ES"/>
        </w:rPr>
        <w:t>los</w:t>
      </w:r>
      <w:r w:rsidRPr="003C1E20">
        <w:rPr>
          <w:rFonts w:cs="Arial"/>
          <w:lang w:val="es-ES_tradnl" w:eastAsia="es-ES"/>
        </w:rPr>
        <w:t xml:space="preserve"> proveedores de servicio</w:t>
      </w:r>
      <w:r>
        <w:rPr>
          <w:rFonts w:cs="Arial"/>
          <w:lang w:val="es-ES_tradnl" w:eastAsia="es-ES"/>
        </w:rPr>
        <w:t>s</w:t>
      </w:r>
      <w:r w:rsidRPr="003C1E20">
        <w:rPr>
          <w:rFonts w:cs="Arial"/>
          <w:lang w:val="es-ES_tradnl" w:eastAsia="es-ES"/>
        </w:rPr>
        <w:t xml:space="preserve"> que se conecten al sistema, deben funcionar cumpliendo con las disposiciones y estándares de seguridad de las marcas de tarjetas, así como con la certificación PCI</w:t>
      </w:r>
      <w:r>
        <w:rPr>
          <w:rFonts w:cs="Arial"/>
          <w:lang w:val="es-ES_tradnl" w:eastAsia="es-ES"/>
        </w:rPr>
        <w:t xml:space="preserve"> </w:t>
      </w:r>
      <w:r w:rsidRPr="003C1E20">
        <w:rPr>
          <w:rFonts w:cs="Arial"/>
          <w:lang w:val="es-ES_tradnl" w:eastAsia="es-ES"/>
        </w:rPr>
        <w:t>DSS.</w:t>
      </w:r>
    </w:p>
    <w:p w14:paraId="2BF63F46" w14:textId="77777777" w:rsidR="007A7839" w:rsidRDefault="007A7839" w:rsidP="00E23D98">
      <w:pPr>
        <w:rPr>
          <w:rFonts w:cs="Arial"/>
          <w:lang w:val="es-ES_tradnl" w:eastAsia="es-ES"/>
        </w:rPr>
      </w:pPr>
      <w:r>
        <w:rPr>
          <w:rFonts w:cs="Arial"/>
          <w:lang w:val="es-ES_tradnl" w:eastAsia="es-ES"/>
        </w:rPr>
        <w:t>Los v</w:t>
      </w:r>
      <w:r w:rsidRPr="003C1E20">
        <w:rPr>
          <w:rFonts w:cs="Arial"/>
          <w:lang w:val="es-ES_tradnl" w:eastAsia="es-ES"/>
        </w:rPr>
        <w:t xml:space="preserve">alidadores que no cumplan con estos estándares y procesos de certificación no </w:t>
      </w:r>
      <w:r>
        <w:rPr>
          <w:rFonts w:cs="Arial"/>
          <w:lang w:val="es-ES_tradnl" w:eastAsia="es-ES"/>
        </w:rPr>
        <w:t>pueden</w:t>
      </w:r>
      <w:r w:rsidRPr="003C1E20">
        <w:rPr>
          <w:rFonts w:cs="Arial"/>
          <w:lang w:val="es-ES_tradnl" w:eastAsia="es-ES"/>
        </w:rPr>
        <w:t xml:space="preserve"> conectarse a la plataforma </w:t>
      </w:r>
      <w:r>
        <w:rPr>
          <w:rFonts w:cs="Arial"/>
          <w:lang w:val="es-ES_tradnl" w:eastAsia="es-ES"/>
        </w:rPr>
        <w:t xml:space="preserve">tecnológica </w:t>
      </w:r>
      <w:r w:rsidRPr="003C1E20">
        <w:rPr>
          <w:rFonts w:cs="Arial"/>
          <w:lang w:val="es-ES_tradnl" w:eastAsia="es-ES"/>
        </w:rPr>
        <w:t>de SINPE-TP</w:t>
      </w:r>
      <w:r>
        <w:rPr>
          <w:rFonts w:cs="Arial"/>
          <w:lang w:val="es-ES_tradnl" w:eastAsia="es-ES"/>
        </w:rPr>
        <w:t>.</w:t>
      </w:r>
    </w:p>
    <w:p w14:paraId="20E63028" w14:textId="77777777" w:rsidR="007A7839" w:rsidRDefault="007A7839" w:rsidP="00E23D98">
      <w:pPr>
        <w:pStyle w:val="Ttulo2"/>
        <w:numPr>
          <w:ilvl w:val="1"/>
          <w:numId w:val="3"/>
        </w:numPr>
        <w:tabs>
          <w:tab w:val="clear" w:pos="510"/>
        </w:tabs>
        <w:spacing w:line="276" w:lineRule="auto"/>
        <w:ind w:left="229" w:hanging="229"/>
      </w:pPr>
      <w:bookmarkStart w:id="246" w:name="_Toc213828794"/>
      <w:bookmarkStart w:id="247" w:name="_Toc216697978"/>
      <w:r>
        <w:t>Servicios de capacitación</w:t>
      </w:r>
      <w:bookmarkEnd w:id="246"/>
      <w:bookmarkEnd w:id="247"/>
      <w:r>
        <w:t xml:space="preserve"> </w:t>
      </w:r>
    </w:p>
    <w:p w14:paraId="39D22C33" w14:textId="77777777" w:rsidR="007A7839" w:rsidRPr="00797A95" w:rsidRDefault="007A7839" w:rsidP="00E23D98">
      <w:pPr>
        <w:rPr>
          <w:rFonts w:cs="Arial"/>
        </w:rPr>
      </w:pPr>
      <w:r w:rsidRPr="00797A95">
        <w:rPr>
          <w:rFonts w:cs="Arial"/>
        </w:rPr>
        <w:t>El BCCR impartir</w:t>
      </w:r>
      <w:r>
        <w:rPr>
          <w:rFonts w:cs="Arial"/>
        </w:rPr>
        <w:t>á</w:t>
      </w:r>
      <w:r w:rsidRPr="00797A95">
        <w:rPr>
          <w:rFonts w:cs="Arial"/>
        </w:rPr>
        <w:t xml:space="preserve"> capacitación sobre el funcionamiento de SINPE-TP a los colaboradores de </w:t>
      </w:r>
      <w:r w:rsidRPr="00797A95">
        <w:rPr>
          <w:rFonts w:cs="Arial"/>
          <w:lang w:val="es-ES_tradnl" w:eastAsia="es-ES"/>
        </w:rPr>
        <w:t>los operadores</w:t>
      </w:r>
      <w:r>
        <w:rPr>
          <w:rFonts w:cs="Arial"/>
          <w:lang w:val="es-ES_tradnl" w:eastAsia="es-ES"/>
        </w:rPr>
        <w:t xml:space="preserve"> de transporte,</w:t>
      </w:r>
      <w:r w:rsidRPr="00797A95">
        <w:rPr>
          <w:rFonts w:cs="Arial"/>
        </w:rPr>
        <w:t xml:space="preserve"> cuyas funciones guarden relación con la operación del servicio.</w:t>
      </w:r>
    </w:p>
    <w:p w14:paraId="4EF666CF" w14:textId="77777777" w:rsidR="007A7839" w:rsidRPr="00797A95" w:rsidRDefault="007A7839" w:rsidP="00E23D98">
      <w:pPr>
        <w:rPr>
          <w:rFonts w:cs="Arial"/>
        </w:rPr>
      </w:pPr>
      <w:r w:rsidRPr="00797A95">
        <w:rPr>
          <w:rFonts w:cs="Arial"/>
        </w:rPr>
        <w:t xml:space="preserve">Los programas de capacitación serán coordinados por el BCCR con </w:t>
      </w:r>
      <w:r w:rsidRPr="00797A95">
        <w:rPr>
          <w:rFonts w:cs="Arial"/>
          <w:lang w:val="es-ES_tradnl" w:eastAsia="es-ES"/>
        </w:rPr>
        <w:t>l</w:t>
      </w:r>
      <w:r w:rsidRPr="00FF34FD">
        <w:rPr>
          <w:rFonts w:cs="Arial"/>
          <w:lang w:val="es-ES_tradnl" w:eastAsia="es-ES"/>
        </w:rPr>
        <w:t>o</w:t>
      </w:r>
      <w:r w:rsidRPr="00797A95">
        <w:rPr>
          <w:rFonts w:cs="Arial"/>
          <w:lang w:val="es-ES_tradnl" w:eastAsia="es-ES"/>
        </w:rPr>
        <w:t xml:space="preserve">s </w:t>
      </w:r>
      <w:r w:rsidRPr="00FF34FD">
        <w:rPr>
          <w:rFonts w:cs="Arial"/>
          <w:lang w:val="es-ES_tradnl" w:eastAsia="es-ES"/>
        </w:rPr>
        <w:t>operadores</w:t>
      </w:r>
      <w:r>
        <w:rPr>
          <w:rFonts w:cs="Arial"/>
          <w:lang w:val="es-ES_tradnl" w:eastAsia="es-ES"/>
        </w:rPr>
        <w:t xml:space="preserve"> </w:t>
      </w:r>
      <w:r>
        <w:rPr>
          <w:lang w:val="es-ES_tradnl" w:eastAsia="es-ES"/>
        </w:rPr>
        <w:t>de transporte</w:t>
      </w:r>
      <w:r w:rsidRPr="00797A95">
        <w:rPr>
          <w:rFonts w:cs="Arial"/>
        </w:rPr>
        <w:t xml:space="preserve"> como apoyo para la atención de su rol dentro del ecosistema de pagos de SINPE-TP, o para incorporar nuevos desarrollos en los que </w:t>
      </w:r>
      <w:r w:rsidRPr="00FF34FD">
        <w:rPr>
          <w:rFonts w:cs="Arial"/>
        </w:rPr>
        <w:t xml:space="preserve">los operadores </w:t>
      </w:r>
      <w:r w:rsidRPr="00797A95">
        <w:rPr>
          <w:rFonts w:cs="Arial"/>
        </w:rPr>
        <w:t>deban participar.</w:t>
      </w:r>
    </w:p>
    <w:p w14:paraId="5DD2FB93" w14:textId="77777777" w:rsidR="007A7839" w:rsidRDefault="007A7839" w:rsidP="00E23D98">
      <w:pPr>
        <w:rPr>
          <w:rFonts w:cs="Arial"/>
        </w:rPr>
      </w:pPr>
      <w:r w:rsidRPr="00797A95">
        <w:rPr>
          <w:rFonts w:cs="Arial"/>
        </w:rPr>
        <w:t>Dependiendo de las necesidades</w:t>
      </w:r>
      <w:r>
        <w:rPr>
          <w:rFonts w:cs="Arial"/>
        </w:rPr>
        <w:t>,</w:t>
      </w:r>
      <w:r w:rsidRPr="00797A95">
        <w:rPr>
          <w:rFonts w:cs="Arial"/>
        </w:rPr>
        <w:t xml:space="preserve"> y por razones de conveniencia, las actividades de capacitación </w:t>
      </w:r>
      <w:r>
        <w:rPr>
          <w:rFonts w:cs="Arial"/>
        </w:rPr>
        <w:t>pueden</w:t>
      </w:r>
      <w:r w:rsidRPr="00797A95">
        <w:rPr>
          <w:rFonts w:cs="Arial"/>
        </w:rPr>
        <w:t xml:space="preserve"> realizarse en forma remota, </w:t>
      </w:r>
      <w:r>
        <w:rPr>
          <w:rFonts w:cs="Arial"/>
        </w:rPr>
        <w:t xml:space="preserve">de manera presencial </w:t>
      </w:r>
      <w:r w:rsidRPr="00797A95">
        <w:rPr>
          <w:rFonts w:cs="Arial"/>
        </w:rPr>
        <w:t xml:space="preserve">o mediante una </w:t>
      </w:r>
      <w:r>
        <w:rPr>
          <w:rFonts w:cs="Arial"/>
        </w:rPr>
        <w:t>combinación</w:t>
      </w:r>
      <w:r w:rsidRPr="00797A95">
        <w:rPr>
          <w:rFonts w:cs="Arial"/>
        </w:rPr>
        <w:t xml:space="preserve"> de ambas modalidades.</w:t>
      </w:r>
    </w:p>
    <w:p w14:paraId="020A1138" w14:textId="77777777" w:rsidR="007A7839" w:rsidRDefault="007A7839" w:rsidP="00E23D98">
      <w:pPr>
        <w:rPr>
          <w:rFonts w:cs="Arial"/>
        </w:rPr>
      </w:pPr>
      <w:r w:rsidRPr="00797A95">
        <w:rPr>
          <w:rFonts w:cs="Arial"/>
        </w:rPr>
        <w:t>El BCCR podr</w:t>
      </w:r>
      <w:r>
        <w:rPr>
          <w:rFonts w:cs="Arial"/>
        </w:rPr>
        <w:t>á</w:t>
      </w:r>
      <w:r w:rsidRPr="00797A95">
        <w:rPr>
          <w:rFonts w:cs="Arial"/>
        </w:rPr>
        <w:t xml:space="preserve"> impartir capacitación a grupos de personas que </w:t>
      </w:r>
      <w:r w:rsidRPr="00797A95">
        <w:rPr>
          <w:rFonts w:cs="Arial"/>
          <w:lang w:val="es-ES_tradnl" w:eastAsia="es-ES"/>
        </w:rPr>
        <w:t>l</w:t>
      </w:r>
      <w:r w:rsidRPr="00FF34FD">
        <w:rPr>
          <w:rFonts w:cs="Arial"/>
          <w:lang w:val="es-ES_tradnl" w:eastAsia="es-ES"/>
        </w:rPr>
        <w:t>o</w:t>
      </w:r>
      <w:r w:rsidRPr="00797A95">
        <w:rPr>
          <w:rFonts w:cs="Arial"/>
          <w:lang w:val="es-ES_tradnl" w:eastAsia="es-ES"/>
        </w:rPr>
        <w:t xml:space="preserve">s </w:t>
      </w:r>
      <w:r w:rsidRPr="00FF34FD">
        <w:rPr>
          <w:rFonts w:cs="Arial"/>
          <w:lang w:val="es-ES_tradnl" w:eastAsia="es-ES"/>
        </w:rPr>
        <w:t>operadores</w:t>
      </w:r>
      <w:r w:rsidRPr="00797A95">
        <w:rPr>
          <w:rFonts w:cs="Arial"/>
        </w:rPr>
        <w:t xml:space="preserve"> </w:t>
      </w:r>
      <w:r>
        <w:rPr>
          <w:lang w:val="es-ES_tradnl" w:eastAsia="es-ES"/>
        </w:rPr>
        <w:t xml:space="preserve">de transporte </w:t>
      </w:r>
      <w:r w:rsidRPr="00797A95">
        <w:rPr>
          <w:rFonts w:cs="Arial"/>
        </w:rPr>
        <w:t>designen con el rol de capacitadores, con el fin de que se encarguen de capacitar al resto de su personal interno</w:t>
      </w:r>
      <w:r>
        <w:rPr>
          <w:rFonts w:cs="Arial"/>
        </w:rPr>
        <w:t>,</w:t>
      </w:r>
      <w:r w:rsidRPr="00797A95">
        <w:rPr>
          <w:rFonts w:cs="Arial"/>
        </w:rPr>
        <w:t xml:space="preserve"> o al personal de sus proveedores que requiera ser capacitado en virtud de la relación que mantienen con el funcionamiento de SINPE</w:t>
      </w:r>
      <w:r w:rsidRPr="00797A95">
        <w:rPr>
          <w:rFonts w:cs="Arial"/>
        </w:rPr>
        <w:noBreakHyphen/>
        <w:t>TP</w:t>
      </w:r>
      <w:r>
        <w:rPr>
          <w:rFonts w:cs="Arial"/>
        </w:rPr>
        <w:t>.</w:t>
      </w:r>
    </w:p>
    <w:p w14:paraId="57434A83" w14:textId="77777777" w:rsidR="007A7839" w:rsidRDefault="007A7839" w:rsidP="00E23D98">
      <w:pPr>
        <w:pStyle w:val="Ttulo2"/>
        <w:numPr>
          <w:ilvl w:val="1"/>
          <w:numId w:val="3"/>
        </w:numPr>
        <w:tabs>
          <w:tab w:val="clear" w:pos="510"/>
        </w:tabs>
        <w:spacing w:line="276" w:lineRule="auto"/>
        <w:ind w:left="229" w:hanging="229"/>
      </w:pPr>
      <w:bookmarkStart w:id="248" w:name="_Toc213828795"/>
      <w:bookmarkStart w:id="249" w:name="_Toc216697979"/>
      <w:r>
        <w:t>Servicio de atención a los participantes</w:t>
      </w:r>
      <w:bookmarkEnd w:id="248"/>
      <w:bookmarkEnd w:id="249"/>
      <w:r>
        <w:t xml:space="preserve"> </w:t>
      </w:r>
    </w:p>
    <w:p w14:paraId="4B8E7422" w14:textId="77777777" w:rsidR="007A7839" w:rsidRPr="00AB7851" w:rsidRDefault="007A7839" w:rsidP="00E23D98">
      <w:pPr>
        <w:rPr>
          <w:szCs w:val="22"/>
          <w:lang w:val="es-ES"/>
        </w:rPr>
      </w:pPr>
      <w:bookmarkStart w:id="250" w:name="_Hlk134374551"/>
      <w:bookmarkStart w:id="251" w:name="_Hlk178502485"/>
      <w:bookmarkStart w:id="252" w:name="_Hlk178521990"/>
      <w:r>
        <w:rPr>
          <w:szCs w:val="22"/>
        </w:rPr>
        <w:t>E</w:t>
      </w:r>
      <w:r w:rsidRPr="00AB7851">
        <w:rPr>
          <w:szCs w:val="22"/>
          <w:lang w:val="es-ES"/>
        </w:rPr>
        <w:t xml:space="preserve">l Departamento SINPE-TP </w:t>
      </w:r>
      <w:r>
        <w:rPr>
          <w:szCs w:val="22"/>
        </w:rPr>
        <w:t xml:space="preserve">es responsable de atender las </w:t>
      </w:r>
      <w:r w:rsidRPr="00AB7851">
        <w:rPr>
          <w:szCs w:val="22"/>
          <w:lang w:val="es-ES"/>
        </w:rPr>
        <w:t>solicitudes y consultas de los usuarios, reguladores, operadores de transporte y proveedores de servicio</w:t>
      </w:r>
      <w:r>
        <w:rPr>
          <w:szCs w:val="22"/>
          <w:lang w:val="es-ES"/>
        </w:rPr>
        <w:t>s</w:t>
      </w:r>
      <w:r w:rsidRPr="00AB7851">
        <w:rPr>
          <w:szCs w:val="22"/>
          <w:lang w:val="es-ES"/>
        </w:rPr>
        <w:t xml:space="preserve">, </w:t>
      </w:r>
      <w:r>
        <w:rPr>
          <w:szCs w:val="22"/>
        </w:rPr>
        <w:t xml:space="preserve">así como </w:t>
      </w:r>
      <w:r w:rsidRPr="00AB7851">
        <w:rPr>
          <w:szCs w:val="22"/>
          <w:lang w:val="es-ES"/>
        </w:rPr>
        <w:t>los reportes de los incidentes que puedan presentarse con la prestación de los servicios de SINPE-TP.</w:t>
      </w:r>
    </w:p>
    <w:p w14:paraId="330A2673" w14:textId="77777777" w:rsidR="007A7839" w:rsidRDefault="007A7839" w:rsidP="00E23D98">
      <w:pPr>
        <w:rPr>
          <w:rFonts w:cs="Arial"/>
          <w:szCs w:val="20"/>
        </w:rPr>
      </w:pPr>
      <w:r w:rsidRPr="00230F41">
        <w:rPr>
          <w:rFonts w:cs="Arial"/>
          <w:szCs w:val="20"/>
        </w:rPr>
        <w:t xml:space="preserve">Mediante los recursos del Sistema de Atención al Ciudadano, el servicio SINPE-TP </w:t>
      </w:r>
      <w:r>
        <w:rPr>
          <w:rFonts w:cs="Arial"/>
          <w:szCs w:val="20"/>
        </w:rPr>
        <w:t xml:space="preserve">mantiene </w:t>
      </w:r>
      <w:r w:rsidRPr="00230F41">
        <w:rPr>
          <w:rFonts w:cs="Arial"/>
          <w:szCs w:val="20"/>
        </w:rPr>
        <w:t xml:space="preserve">habilitados los siguientes canales de comunicación para atender a los </w:t>
      </w:r>
      <w:r>
        <w:rPr>
          <w:rFonts w:cs="Arial"/>
          <w:szCs w:val="20"/>
        </w:rPr>
        <w:t>pasajeros</w:t>
      </w:r>
      <w:r w:rsidRPr="00230F41">
        <w:rPr>
          <w:rFonts w:cs="Arial"/>
          <w:szCs w:val="20"/>
        </w:rPr>
        <w:t>:</w:t>
      </w:r>
    </w:p>
    <w:p w14:paraId="2771EB69" w14:textId="77777777" w:rsidR="007A7839" w:rsidRDefault="007A7839" w:rsidP="00FA10A3">
      <w:pPr>
        <w:pStyle w:val="Prrafodelista"/>
        <w:numPr>
          <w:ilvl w:val="0"/>
          <w:numId w:val="13"/>
        </w:numPr>
        <w:spacing w:after="120" w:line="276" w:lineRule="auto"/>
        <w:ind w:left="567" w:right="106" w:hanging="215"/>
        <w:contextualSpacing w:val="0"/>
        <w:jc w:val="both"/>
        <w:rPr>
          <w:rFonts w:ascii="Arial" w:hAnsi="Arial" w:cs="Arial"/>
          <w:sz w:val="20"/>
          <w:szCs w:val="20"/>
        </w:rPr>
      </w:pPr>
      <w:r>
        <w:rPr>
          <w:rFonts w:ascii="Arial" w:hAnsi="Arial" w:cs="Arial"/>
          <w:sz w:val="20"/>
          <w:szCs w:val="20"/>
        </w:rPr>
        <w:t>La aplicación (app) SINPE-TP Pasajero, por medio de la opción “Ayuda”.</w:t>
      </w:r>
    </w:p>
    <w:p w14:paraId="5860E89F" w14:textId="77777777" w:rsidR="007A7839" w:rsidRPr="00793F98" w:rsidRDefault="007A7839" w:rsidP="00FA10A3">
      <w:pPr>
        <w:pStyle w:val="Prrafodelista"/>
        <w:numPr>
          <w:ilvl w:val="0"/>
          <w:numId w:val="13"/>
        </w:numPr>
        <w:spacing w:after="120" w:line="276" w:lineRule="auto"/>
        <w:ind w:left="567" w:right="106" w:hanging="215"/>
        <w:contextualSpacing w:val="0"/>
        <w:jc w:val="both"/>
        <w:rPr>
          <w:rFonts w:ascii="Arial" w:hAnsi="Arial" w:cs="Arial"/>
          <w:sz w:val="20"/>
          <w:szCs w:val="20"/>
        </w:rPr>
      </w:pPr>
      <w:r w:rsidRPr="00793F98">
        <w:rPr>
          <w:rFonts w:ascii="Arial" w:hAnsi="Arial" w:cs="Arial"/>
          <w:sz w:val="20"/>
          <w:szCs w:val="20"/>
        </w:rPr>
        <w:t xml:space="preserve">La página web del BCCR, mediante el vínculo </w:t>
      </w:r>
      <w:hyperlink r:id="rId19" w:history="1">
        <w:r w:rsidRPr="00793F98">
          <w:rPr>
            <w:rStyle w:val="Hipervnculo"/>
            <w:rFonts w:cs="Arial"/>
            <w:color w:val="0000CC"/>
            <w:szCs w:val="20"/>
          </w:rPr>
          <w:t>https://atencionalcliente.bccr.fi.cr/Sitio/</w:t>
        </w:r>
      </w:hyperlink>
      <w:r w:rsidRPr="00793F98">
        <w:rPr>
          <w:rFonts w:ascii="Arial" w:hAnsi="Arial" w:cs="Arial"/>
          <w:sz w:val="20"/>
          <w:szCs w:val="20"/>
        </w:rPr>
        <w:t>.</w:t>
      </w:r>
    </w:p>
    <w:p w14:paraId="18C8EE8F" w14:textId="77777777" w:rsidR="007A7839" w:rsidRPr="00793F98" w:rsidRDefault="007A7839" w:rsidP="00FA10A3">
      <w:pPr>
        <w:pStyle w:val="Prrafodelista"/>
        <w:numPr>
          <w:ilvl w:val="0"/>
          <w:numId w:val="13"/>
        </w:numPr>
        <w:spacing w:after="120" w:line="276" w:lineRule="auto"/>
        <w:ind w:left="567" w:right="106" w:hanging="215"/>
        <w:contextualSpacing w:val="0"/>
        <w:jc w:val="both"/>
        <w:rPr>
          <w:rFonts w:ascii="Arial" w:hAnsi="Arial" w:cs="Arial"/>
          <w:sz w:val="20"/>
          <w:szCs w:val="20"/>
        </w:rPr>
      </w:pPr>
      <w:r w:rsidRPr="00793F98">
        <w:rPr>
          <w:rFonts w:ascii="Arial" w:hAnsi="Arial" w:cs="Arial"/>
          <w:sz w:val="20"/>
          <w:szCs w:val="20"/>
        </w:rPr>
        <w:t xml:space="preserve">La dirección de correo electrónico </w:t>
      </w:r>
      <w:hyperlink r:id="rId20" w:history="1">
        <w:r w:rsidRPr="00793F98">
          <w:rPr>
            <w:rStyle w:val="Hipervnculo"/>
            <w:rFonts w:cs="Arial"/>
            <w:color w:val="0000CC"/>
            <w:szCs w:val="20"/>
          </w:rPr>
          <w:t>atencionalciudadano@bccr.fi.cr</w:t>
        </w:r>
      </w:hyperlink>
      <w:r w:rsidRPr="00793F98">
        <w:rPr>
          <w:rFonts w:ascii="Arial" w:hAnsi="Arial" w:cs="Arial"/>
          <w:sz w:val="20"/>
          <w:szCs w:val="20"/>
        </w:rPr>
        <w:t>.</w:t>
      </w:r>
    </w:p>
    <w:p w14:paraId="6F74B2C5" w14:textId="77777777" w:rsidR="007A7839" w:rsidRPr="00793F98" w:rsidRDefault="007A7839" w:rsidP="00FA10A3">
      <w:pPr>
        <w:pStyle w:val="Prrafodelista"/>
        <w:numPr>
          <w:ilvl w:val="0"/>
          <w:numId w:val="13"/>
        </w:numPr>
        <w:spacing w:after="120" w:line="276" w:lineRule="auto"/>
        <w:ind w:left="567" w:right="106" w:hanging="215"/>
        <w:contextualSpacing w:val="0"/>
        <w:jc w:val="both"/>
        <w:rPr>
          <w:rFonts w:ascii="Arial" w:hAnsi="Arial" w:cs="Arial"/>
          <w:sz w:val="20"/>
          <w:szCs w:val="20"/>
        </w:rPr>
      </w:pPr>
      <w:r w:rsidRPr="00793F98">
        <w:rPr>
          <w:rFonts w:ascii="Arial" w:hAnsi="Arial" w:cs="Arial"/>
          <w:sz w:val="20"/>
          <w:szCs w:val="20"/>
        </w:rPr>
        <w:t>Línea telefónica (506) 2243-3333.</w:t>
      </w:r>
    </w:p>
    <w:p w14:paraId="6AFB3310" w14:textId="77777777" w:rsidR="007A7839" w:rsidRDefault="007A7839" w:rsidP="00E23D98">
      <w:pPr>
        <w:rPr>
          <w:szCs w:val="22"/>
        </w:rPr>
      </w:pPr>
      <w:r>
        <w:rPr>
          <w:szCs w:val="22"/>
        </w:rPr>
        <w:lastRenderedPageBreak/>
        <w:t xml:space="preserve">Por las características de su participación en el servicio SINPE-TP, los operadores de transporte y los proveedores de servicios disponen de la página web del BCCR como canal oficial, </w:t>
      </w:r>
      <w:r w:rsidRPr="00EF7DFD">
        <w:rPr>
          <w:rFonts w:cs="Arial"/>
          <w:szCs w:val="20"/>
        </w:rPr>
        <w:t xml:space="preserve">mediante </w:t>
      </w:r>
      <w:r>
        <w:rPr>
          <w:rFonts w:cs="Arial"/>
          <w:szCs w:val="20"/>
        </w:rPr>
        <w:t>la dirección web</w:t>
      </w:r>
      <w:r w:rsidRPr="00EF7DFD">
        <w:rPr>
          <w:rFonts w:cs="Arial"/>
          <w:szCs w:val="20"/>
        </w:rPr>
        <w:t xml:space="preserve"> </w:t>
      </w:r>
      <w:hyperlink r:id="rId21" w:history="1">
        <w:r w:rsidRPr="00EF7DFD">
          <w:rPr>
            <w:rStyle w:val="Hipervnculo"/>
            <w:rFonts w:cs="Arial"/>
            <w:color w:val="0000CC"/>
            <w:szCs w:val="20"/>
          </w:rPr>
          <w:t>https://atencionalcliente.bccr.fi.cr/Sitio/</w:t>
        </w:r>
      </w:hyperlink>
      <w:r w:rsidRPr="00793F98">
        <w:rPr>
          <w:szCs w:val="22"/>
        </w:rPr>
        <w:t>.</w:t>
      </w:r>
    </w:p>
    <w:p w14:paraId="41E2E4A0" w14:textId="77777777" w:rsidR="007A7839" w:rsidRPr="00AB7851" w:rsidRDefault="007A7839" w:rsidP="00E23D98">
      <w:pPr>
        <w:rPr>
          <w:szCs w:val="22"/>
        </w:rPr>
      </w:pPr>
      <w:r w:rsidRPr="00AB7851">
        <w:rPr>
          <w:szCs w:val="22"/>
        </w:rPr>
        <w:t xml:space="preserve">El Departamento SINPE-TP informará oportunamente a los interesados sobre los </w:t>
      </w:r>
      <w:r>
        <w:rPr>
          <w:szCs w:val="22"/>
        </w:rPr>
        <w:t xml:space="preserve">cambios que implemente en los canales de </w:t>
      </w:r>
      <w:r w:rsidRPr="00AB7851">
        <w:rPr>
          <w:szCs w:val="22"/>
        </w:rPr>
        <w:t>comunicación</w:t>
      </w:r>
      <w:r>
        <w:rPr>
          <w:szCs w:val="22"/>
        </w:rPr>
        <w:t xml:space="preserve">, así como en los </w:t>
      </w:r>
      <w:r w:rsidRPr="00AB7851">
        <w:rPr>
          <w:szCs w:val="22"/>
        </w:rPr>
        <w:t xml:space="preserve">procedimientos operativos </w:t>
      </w:r>
      <w:r>
        <w:rPr>
          <w:szCs w:val="22"/>
        </w:rPr>
        <w:t xml:space="preserve">dispuestos para el servicio SINPE-TP. </w:t>
      </w:r>
    </w:p>
    <w:p w14:paraId="386992AF" w14:textId="77777777" w:rsidR="007A7839" w:rsidRDefault="007A7839" w:rsidP="00E23D98">
      <w:pPr>
        <w:pStyle w:val="Ttulo2"/>
        <w:numPr>
          <w:ilvl w:val="1"/>
          <w:numId w:val="3"/>
        </w:numPr>
        <w:tabs>
          <w:tab w:val="clear" w:pos="510"/>
        </w:tabs>
        <w:spacing w:line="276" w:lineRule="auto"/>
        <w:ind w:left="229" w:hanging="229"/>
      </w:pPr>
      <w:bookmarkStart w:id="253" w:name="_Toc178505020"/>
      <w:bookmarkStart w:id="254" w:name="_Toc178522768"/>
      <w:bookmarkStart w:id="255" w:name="_Toc178597003"/>
      <w:bookmarkStart w:id="256" w:name="_Toc178597062"/>
      <w:bookmarkStart w:id="257" w:name="_Toc213828796"/>
      <w:bookmarkStart w:id="258" w:name="_Toc216697980"/>
      <w:bookmarkEnd w:id="250"/>
      <w:bookmarkEnd w:id="251"/>
      <w:bookmarkEnd w:id="252"/>
      <w:bookmarkEnd w:id="253"/>
      <w:bookmarkEnd w:id="254"/>
      <w:bookmarkEnd w:id="255"/>
      <w:bookmarkEnd w:id="256"/>
      <w:r>
        <w:t>Aplicaciones móviles del servicio</w:t>
      </w:r>
      <w:r w:rsidDel="00B44B9D">
        <w:t xml:space="preserve"> </w:t>
      </w:r>
      <w:bookmarkEnd w:id="257"/>
      <w:r>
        <w:t>SINPE-TP</w:t>
      </w:r>
      <w:bookmarkEnd w:id="258"/>
    </w:p>
    <w:p w14:paraId="452D2522" w14:textId="77777777" w:rsidR="007A7839" w:rsidRPr="00266938" w:rsidRDefault="007A7839" w:rsidP="00E23D98">
      <w:pPr>
        <w:rPr>
          <w:rFonts w:cs="Arial"/>
          <w:lang w:val="es-ES_tradnl" w:eastAsia="es-ES"/>
        </w:rPr>
      </w:pPr>
      <w:bookmarkStart w:id="259" w:name="_Hlk134374527"/>
      <w:r w:rsidRPr="00AA4635">
        <w:rPr>
          <w:rFonts w:cs="Arial"/>
          <w:lang w:val="es-ES_tradnl" w:eastAsia="es-ES"/>
        </w:rPr>
        <w:t xml:space="preserve">El servicio SINPE-TP </w:t>
      </w:r>
      <w:r>
        <w:rPr>
          <w:rFonts w:cs="Arial"/>
          <w:lang w:val="es-ES_tradnl" w:eastAsia="es-ES"/>
        </w:rPr>
        <w:t>cuenta</w:t>
      </w:r>
      <w:r w:rsidRPr="00AA4635">
        <w:rPr>
          <w:rFonts w:cs="Arial"/>
          <w:lang w:val="es-ES_tradnl" w:eastAsia="es-ES"/>
        </w:rPr>
        <w:t xml:space="preserve"> </w:t>
      </w:r>
      <w:r>
        <w:rPr>
          <w:rFonts w:cs="Arial"/>
          <w:lang w:val="es-ES_tradnl" w:eastAsia="es-ES"/>
        </w:rPr>
        <w:t>con dos</w:t>
      </w:r>
      <w:r w:rsidRPr="00AA4635">
        <w:rPr>
          <w:rFonts w:cs="Arial"/>
          <w:lang w:val="es-ES_tradnl" w:eastAsia="es-ES"/>
        </w:rPr>
        <w:t xml:space="preserve"> aplicaci</w:t>
      </w:r>
      <w:r>
        <w:rPr>
          <w:rFonts w:cs="Arial"/>
          <w:lang w:val="es-ES_tradnl" w:eastAsia="es-ES"/>
        </w:rPr>
        <w:t>ones</w:t>
      </w:r>
      <w:r w:rsidRPr="00AA4635">
        <w:rPr>
          <w:rFonts w:cs="Arial"/>
          <w:lang w:val="es-ES_tradnl" w:eastAsia="es-ES"/>
        </w:rPr>
        <w:t xml:space="preserve"> móvil</w:t>
      </w:r>
      <w:r>
        <w:rPr>
          <w:rFonts w:cs="Arial"/>
          <w:lang w:val="es-ES_tradnl" w:eastAsia="es-ES"/>
        </w:rPr>
        <w:t>es</w:t>
      </w:r>
      <w:r w:rsidRPr="00AA4635">
        <w:rPr>
          <w:rFonts w:cs="Arial"/>
          <w:lang w:val="es-ES_tradnl" w:eastAsia="es-ES"/>
        </w:rPr>
        <w:t xml:space="preserve"> (app) habilitada</w:t>
      </w:r>
      <w:r>
        <w:rPr>
          <w:rFonts w:cs="Arial"/>
          <w:lang w:val="es-ES_tradnl" w:eastAsia="es-ES"/>
        </w:rPr>
        <w:t>s</w:t>
      </w:r>
      <w:r w:rsidRPr="00AA4635">
        <w:rPr>
          <w:rFonts w:cs="Arial"/>
          <w:lang w:val="es-ES_tradnl" w:eastAsia="es-ES"/>
        </w:rPr>
        <w:t xml:space="preserve"> para </w:t>
      </w:r>
      <w:r>
        <w:rPr>
          <w:rFonts w:cs="Arial"/>
          <w:lang w:val="es-ES_tradnl" w:eastAsia="es-ES"/>
        </w:rPr>
        <w:t xml:space="preserve">que los usuarios (SINPE-TP Pasajero) y operadores de transporte (SINPE-TP Operador) puedan interactuar con </w:t>
      </w:r>
      <w:bookmarkStart w:id="260" w:name="_Hlk104913616"/>
      <w:r>
        <w:rPr>
          <w:rFonts w:cs="Arial"/>
          <w:lang w:val="es-ES_tradnl" w:eastAsia="es-ES"/>
        </w:rPr>
        <w:t>el sistema, conforme con sus necesidades</w:t>
      </w:r>
      <w:r w:rsidRPr="00266938">
        <w:rPr>
          <w:rFonts w:cs="Arial"/>
          <w:lang w:val="es-ES_tradnl" w:eastAsia="es-ES"/>
        </w:rPr>
        <w:t>. La</w:t>
      </w:r>
      <w:r>
        <w:rPr>
          <w:rFonts w:cs="Arial"/>
          <w:lang w:val="es-ES_tradnl" w:eastAsia="es-ES"/>
        </w:rPr>
        <w:t>s</w:t>
      </w:r>
      <w:r w:rsidRPr="00266938">
        <w:rPr>
          <w:rFonts w:cs="Arial"/>
          <w:lang w:val="es-ES_tradnl" w:eastAsia="es-ES"/>
        </w:rPr>
        <w:t xml:space="preserve"> aplicaci</w:t>
      </w:r>
      <w:r>
        <w:rPr>
          <w:rFonts w:cs="Arial"/>
          <w:lang w:val="es-ES_tradnl" w:eastAsia="es-ES"/>
        </w:rPr>
        <w:t>ones</w:t>
      </w:r>
      <w:r w:rsidRPr="00266938">
        <w:rPr>
          <w:rFonts w:cs="Arial"/>
          <w:lang w:val="es-ES_tradnl" w:eastAsia="es-ES"/>
        </w:rPr>
        <w:t xml:space="preserve"> puede</w:t>
      </w:r>
      <w:r>
        <w:rPr>
          <w:rFonts w:cs="Arial"/>
          <w:lang w:val="es-ES_tradnl" w:eastAsia="es-ES"/>
        </w:rPr>
        <w:t>n</w:t>
      </w:r>
      <w:r w:rsidRPr="00266938">
        <w:rPr>
          <w:rFonts w:cs="Arial"/>
          <w:lang w:val="es-ES_tradnl" w:eastAsia="es-ES"/>
        </w:rPr>
        <w:t xml:space="preserve"> </w:t>
      </w:r>
      <w:bookmarkEnd w:id="260"/>
      <w:r>
        <w:rPr>
          <w:rFonts w:cs="Arial"/>
          <w:lang w:val="es-ES_tradnl" w:eastAsia="es-ES"/>
        </w:rPr>
        <w:t xml:space="preserve">descargarse </w:t>
      </w:r>
      <w:r w:rsidRPr="00266938">
        <w:rPr>
          <w:rFonts w:cs="Arial"/>
          <w:lang w:val="es-ES_tradnl" w:eastAsia="es-ES"/>
        </w:rPr>
        <w:t>en forma gratuita con el nombre “SINPE-TP” en las tiendas de Google (Play Store), Apple (App Store) y Huawei (AppGallery).</w:t>
      </w:r>
    </w:p>
    <w:p w14:paraId="6FF64FDB" w14:textId="77777777" w:rsidR="007A7839" w:rsidRPr="00266938" w:rsidRDefault="007A7839" w:rsidP="00E23D98">
      <w:pPr>
        <w:rPr>
          <w:rFonts w:cs="Arial"/>
          <w:lang w:val="es-ES_tradnl" w:eastAsia="es-ES"/>
        </w:rPr>
      </w:pPr>
      <w:bookmarkStart w:id="261" w:name="_Hlk134174455"/>
      <w:bookmarkEnd w:id="259"/>
      <w:r w:rsidRPr="00266938">
        <w:rPr>
          <w:rFonts w:cs="Arial"/>
          <w:lang w:val="es-ES_tradnl" w:eastAsia="es-ES"/>
        </w:rPr>
        <w:t xml:space="preserve">Para suscribirse en </w:t>
      </w:r>
      <w:r>
        <w:rPr>
          <w:rFonts w:cs="Arial"/>
          <w:lang w:val="es-ES_tradnl" w:eastAsia="es-ES"/>
        </w:rPr>
        <w:t xml:space="preserve">las </w:t>
      </w:r>
      <w:r w:rsidRPr="00266938">
        <w:rPr>
          <w:rFonts w:cs="Arial"/>
          <w:lang w:val="es-ES_tradnl" w:eastAsia="es-ES"/>
        </w:rPr>
        <w:t>aplicac</w:t>
      </w:r>
      <w:r>
        <w:rPr>
          <w:rFonts w:cs="Arial"/>
          <w:lang w:val="es-ES_tradnl" w:eastAsia="es-ES"/>
        </w:rPr>
        <w:t>iones</w:t>
      </w:r>
      <w:r w:rsidRPr="00266938">
        <w:rPr>
          <w:rFonts w:cs="Arial"/>
          <w:lang w:val="es-ES_tradnl" w:eastAsia="es-ES"/>
        </w:rPr>
        <w:t xml:space="preserve"> SINPE-TP Pasajero</w:t>
      </w:r>
      <w:r>
        <w:rPr>
          <w:rFonts w:cs="Arial"/>
          <w:lang w:val="es-ES_tradnl" w:eastAsia="es-ES"/>
        </w:rPr>
        <w:t xml:space="preserve"> y </w:t>
      </w:r>
      <w:r w:rsidRPr="00266938">
        <w:rPr>
          <w:rFonts w:cs="Arial"/>
          <w:lang w:val="es-ES_tradnl" w:eastAsia="es-ES"/>
        </w:rPr>
        <w:t xml:space="preserve">SINPE-TP </w:t>
      </w:r>
      <w:r>
        <w:rPr>
          <w:rFonts w:cs="Arial"/>
          <w:lang w:val="es-ES_tradnl" w:eastAsia="es-ES"/>
        </w:rPr>
        <w:t>Operador</w:t>
      </w:r>
      <w:r w:rsidRPr="00266938">
        <w:rPr>
          <w:rFonts w:cs="Arial"/>
          <w:lang w:val="es-ES_tradnl" w:eastAsia="es-ES"/>
        </w:rPr>
        <w:t xml:space="preserve">, el usuario debe sujetarse a las condiciones y el procedimiento de registro contenidos en </w:t>
      </w:r>
      <w:r w:rsidRPr="00177CE2">
        <w:rPr>
          <w:rFonts w:cs="Arial"/>
          <w:lang w:val="es-ES_tradnl" w:eastAsia="es-ES"/>
        </w:rPr>
        <w:t>el Anexo 08 de la presente norma complementaria</w:t>
      </w:r>
      <w:bookmarkEnd w:id="261"/>
      <w:r w:rsidRPr="00177CE2">
        <w:rPr>
          <w:rFonts w:cs="Arial"/>
          <w:lang w:val="es-ES_tradnl" w:eastAsia="es-ES"/>
        </w:rPr>
        <w:t xml:space="preserve"> (</w:t>
      </w:r>
      <w:r w:rsidRPr="00177CE2">
        <w:rPr>
          <w:rFonts w:cs="Arial"/>
          <w:i/>
          <w:iCs/>
          <w:lang w:val="es-ES_tradnl" w:eastAsia="es-ES"/>
        </w:rPr>
        <w:t>“Política de Privacidad y Procedimiento de Suscripción de SINPE-TP Pasajero”</w:t>
      </w:r>
      <w:r w:rsidRPr="00177CE2">
        <w:rPr>
          <w:rFonts w:cs="Arial"/>
          <w:lang w:val="es-ES_tradnl" w:eastAsia="es-ES"/>
        </w:rPr>
        <w:t>).</w:t>
      </w:r>
    </w:p>
    <w:p w14:paraId="576281D6" w14:textId="77777777" w:rsidR="007A7839" w:rsidRDefault="007A7839" w:rsidP="00E23D98">
      <w:pPr>
        <w:pStyle w:val="Ttulo1"/>
        <w:numPr>
          <w:ilvl w:val="0"/>
          <w:numId w:val="3"/>
        </w:numPr>
        <w:tabs>
          <w:tab w:val="clear" w:pos="340"/>
        </w:tabs>
        <w:spacing w:line="276" w:lineRule="auto"/>
        <w:ind w:left="426" w:hanging="426"/>
      </w:pPr>
      <w:bookmarkStart w:id="262" w:name="_Toc213828797"/>
      <w:bookmarkStart w:id="263" w:name="_Toc216697981"/>
      <w:r>
        <w:t>Vigencia de la norma</w:t>
      </w:r>
      <w:bookmarkEnd w:id="262"/>
      <w:bookmarkEnd w:id="263"/>
      <w:r>
        <w:t xml:space="preserve"> </w:t>
      </w:r>
    </w:p>
    <w:p w14:paraId="791BE38D" w14:textId="77777777" w:rsidR="007A7839" w:rsidRDefault="007A7839" w:rsidP="00E23D98">
      <w:pPr>
        <w:rPr>
          <w:rFonts w:cs="Arial"/>
        </w:rPr>
      </w:pPr>
      <w:r w:rsidRPr="00764160">
        <w:rPr>
          <w:rFonts w:cs="Arial"/>
        </w:rPr>
        <w:t xml:space="preserve">La presente norma </w:t>
      </w:r>
      <w:r>
        <w:t>complementaria</w:t>
      </w:r>
      <w:r w:rsidRPr="00764160">
        <w:rPr>
          <w:rFonts w:cs="Arial"/>
        </w:rPr>
        <w:t xml:space="preserve"> rige a partir del </w:t>
      </w:r>
      <w:r>
        <w:rPr>
          <w:rFonts w:cs="Arial"/>
        </w:rPr>
        <w:t>12</w:t>
      </w:r>
      <w:r w:rsidRPr="00764160">
        <w:rPr>
          <w:rFonts w:cs="Arial"/>
        </w:rPr>
        <w:t xml:space="preserve"> de </w:t>
      </w:r>
      <w:r>
        <w:rPr>
          <w:rFonts w:cs="Arial"/>
        </w:rPr>
        <w:t xml:space="preserve">diciembre </w:t>
      </w:r>
      <w:r w:rsidRPr="00764160">
        <w:rPr>
          <w:rFonts w:cs="Arial"/>
        </w:rPr>
        <w:t>del 202</w:t>
      </w:r>
      <w:r>
        <w:rPr>
          <w:rFonts w:cs="Arial"/>
        </w:rPr>
        <w:t>5 y sustituye a la norma oficializada el 1 de octubre del 2024, de la Serie de Normas y Procedimientos del SINPE (Reglamento del Sistema de Pagos).</w:t>
      </w:r>
      <w:bookmarkEnd w:id="135"/>
    </w:p>
    <w:p w14:paraId="3DF59F3E" w14:textId="77777777" w:rsidR="007A7839" w:rsidRDefault="007A7839" w:rsidP="00E23D98">
      <w:pPr>
        <w:rPr>
          <w:rFonts w:cs="Arial"/>
        </w:rPr>
      </w:pPr>
      <w:r>
        <w:rPr>
          <w:rFonts w:cs="Arial"/>
        </w:rPr>
        <w:br w:type="page"/>
      </w:r>
    </w:p>
    <w:p w14:paraId="12EAF3A7" w14:textId="77777777" w:rsidR="007A7839" w:rsidRDefault="007A7839" w:rsidP="007A7839">
      <w:pPr>
        <w:pStyle w:val="Ttulo1"/>
        <w:numPr>
          <w:ilvl w:val="0"/>
          <w:numId w:val="3"/>
        </w:numPr>
        <w:tabs>
          <w:tab w:val="clear" w:pos="340"/>
        </w:tabs>
        <w:spacing w:before="0" w:line="264" w:lineRule="auto"/>
        <w:ind w:left="0" w:firstLine="0"/>
        <w:rPr>
          <w:rFonts w:cs="Arial"/>
        </w:rPr>
      </w:pPr>
      <w:bookmarkStart w:id="264" w:name="_Toc134435976"/>
      <w:bookmarkStart w:id="265" w:name="_Toc213828798"/>
      <w:bookmarkStart w:id="266" w:name="_Toc216697982"/>
      <w:r>
        <w:rPr>
          <w:rFonts w:cs="Arial"/>
        </w:rPr>
        <w:lastRenderedPageBreak/>
        <w:t>Anexos</w:t>
      </w:r>
      <w:bookmarkEnd w:id="264"/>
      <w:bookmarkEnd w:id="265"/>
      <w:bookmarkEnd w:id="266"/>
    </w:p>
    <w:p w14:paraId="5A92173F" w14:textId="77777777" w:rsidR="007A7839" w:rsidRPr="004B1FB1" w:rsidRDefault="007A7839" w:rsidP="007A7839">
      <w:pPr>
        <w:spacing w:line="252" w:lineRule="auto"/>
        <w:rPr>
          <w:lang w:val="es-ES_tradnl" w:eastAsia="es-ES"/>
        </w:rPr>
      </w:pPr>
      <w:r>
        <w:rPr>
          <w:lang w:val="es-ES_tradnl" w:eastAsia="es-ES"/>
        </w:rPr>
        <w:t>Los siguientes anexos forman parte integral de la presente norma complementaria: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4531"/>
      </w:tblGrid>
      <w:tr w:rsidR="007A7839" w:rsidRPr="003E7AD9" w14:paraId="095B49AA" w14:textId="77777777" w:rsidTr="005243DB">
        <w:trPr>
          <w:cantSplit/>
        </w:trPr>
        <w:tc>
          <w:tcPr>
            <w:tcW w:w="4542" w:type="dxa"/>
            <w:shd w:val="clear" w:color="auto" w:fill="ACB9CA"/>
          </w:tcPr>
          <w:p w14:paraId="3192B3F7" w14:textId="77777777" w:rsidR="007A7839" w:rsidRPr="00005101" w:rsidRDefault="007A7839" w:rsidP="005243DB">
            <w:pPr>
              <w:spacing w:before="60" w:after="60" w:line="264" w:lineRule="auto"/>
              <w:jc w:val="center"/>
              <w:rPr>
                <w:rFonts w:cs="Arial"/>
                <w:b/>
                <w:bCs/>
                <w:position w:val="-20"/>
              </w:rPr>
            </w:pPr>
            <w:r w:rsidRPr="00E9666B">
              <w:rPr>
                <w:rFonts w:cs="Arial"/>
                <w:b/>
                <w:bCs/>
                <w:position w:val="-20"/>
              </w:rPr>
              <w:t>ANEXO 0</w:t>
            </w:r>
            <w:r>
              <w:rPr>
                <w:rFonts w:cs="Arial"/>
                <w:b/>
                <w:bCs/>
                <w:position w:val="-20"/>
              </w:rPr>
              <w:t>1</w:t>
            </w:r>
          </w:p>
          <w:p w14:paraId="640EC9AB" w14:textId="77777777" w:rsidR="007A7839" w:rsidRPr="00005101" w:rsidRDefault="007A7839" w:rsidP="005243DB">
            <w:pPr>
              <w:spacing w:before="0" w:after="0" w:line="264" w:lineRule="auto"/>
              <w:jc w:val="center"/>
              <w:rPr>
                <w:rFonts w:cs="Arial"/>
                <w:b/>
                <w:bCs/>
                <w:position w:val="-20"/>
              </w:rPr>
            </w:pPr>
            <w:r>
              <w:rPr>
                <w:rFonts w:cs="Arial"/>
                <w:b/>
                <w:bCs/>
                <w:position w:val="-20"/>
              </w:rPr>
              <w:t>Solicitud de suscripción de operadores de transporte al servicio SINPE-TP</w:t>
            </w:r>
          </w:p>
        </w:tc>
        <w:tc>
          <w:tcPr>
            <w:tcW w:w="4539" w:type="dxa"/>
            <w:shd w:val="clear" w:color="auto" w:fill="ACB9CA"/>
          </w:tcPr>
          <w:p w14:paraId="265B9524" w14:textId="77777777" w:rsidR="007A7839" w:rsidRPr="00764160" w:rsidRDefault="007A7839" w:rsidP="005243DB">
            <w:pPr>
              <w:spacing w:before="60" w:after="60" w:line="264" w:lineRule="auto"/>
              <w:jc w:val="center"/>
              <w:rPr>
                <w:rFonts w:cs="Arial"/>
                <w:b/>
                <w:bCs/>
                <w:position w:val="-20"/>
                <w:lang w:val="en-US"/>
              </w:rPr>
            </w:pPr>
            <w:r w:rsidRPr="00764160">
              <w:rPr>
                <w:rFonts w:cs="Arial"/>
                <w:b/>
                <w:bCs/>
                <w:position w:val="-20"/>
                <w:lang w:val="en-US"/>
              </w:rPr>
              <w:t>ANEXO 02</w:t>
            </w:r>
          </w:p>
          <w:p w14:paraId="22754EC3" w14:textId="77777777" w:rsidR="007A7839" w:rsidRPr="00764160" w:rsidRDefault="007A7839" w:rsidP="005243DB">
            <w:pPr>
              <w:spacing w:before="60" w:after="60" w:line="264" w:lineRule="auto"/>
              <w:jc w:val="center"/>
              <w:rPr>
                <w:rFonts w:cs="Arial"/>
                <w:b/>
                <w:bCs/>
                <w:position w:val="-20"/>
                <w:lang w:val="en-US"/>
              </w:rPr>
            </w:pPr>
            <w:r w:rsidRPr="00121FA4">
              <w:rPr>
                <w:rFonts w:cs="Arial"/>
                <w:b/>
                <w:bCs/>
                <w:position w:val="-20"/>
                <w:lang w:val="en-US"/>
              </w:rPr>
              <w:t>VISA Contactless Transit Implementation Guide v1.1</w:t>
            </w:r>
            <w:r w:rsidRPr="00121FA4" w:rsidDel="00121FA4">
              <w:rPr>
                <w:rFonts w:cs="Arial"/>
                <w:b/>
                <w:bCs/>
                <w:position w:val="-20"/>
                <w:lang w:val="en-US"/>
              </w:rPr>
              <w:t xml:space="preserve"> </w:t>
            </w:r>
            <w:r w:rsidRPr="00764160">
              <w:rPr>
                <w:rFonts w:cs="Arial"/>
                <w:b/>
                <w:bCs/>
                <w:position w:val="-20"/>
                <w:lang w:val="en-US"/>
              </w:rPr>
              <w:t>(</w:t>
            </w:r>
            <w:r>
              <w:rPr>
                <w:rFonts w:cs="Arial"/>
                <w:b/>
                <w:bCs/>
                <w:position w:val="-20"/>
                <w:lang w:val="en-US"/>
              </w:rPr>
              <w:t xml:space="preserve">June </w:t>
            </w:r>
            <w:r w:rsidRPr="00764160">
              <w:rPr>
                <w:rFonts w:cs="Arial"/>
                <w:b/>
                <w:bCs/>
                <w:position w:val="-20"/>
                <w:lang w:val="en-US"/>
              </w:rPr>
              <w:t>201</w:t>
            </w:r>
            <w:r>
              <w:rPr>
                <w:rFonts w:cs="Arial"/>
                <w:b/>
                <w:bCs/>
                <w:position w:val="-20"/>
                <w:lang w:val="en-US"/>
              </w:rPr>
              <w:t>8</w:t>
            </w:r>
            <w:r w:rsidRPr="00764160">
              <w:rPr>
                <w:rFonts w:cs="Arial"/>
                <w:b/>
                <w:bCs/>
                <w:position w:val="-20"/>
                <w:lang w:val="en-US"/>
              </w:rPr>
              <w:t>)</w:t>
            </w:r>
          </w:p>
        </w:tc>
      </w:tr>
      <w:bookmarkStart w:id="267" w:name="_MON_1825216946"/>
      <w:bookmarkEnd w:id="267"/>
      <w:tr w:rsidR="007A7839" w:rsidRPr="00E31E89" w14:paraId="08BE830F" w14:textId="77777777" w:rsidTr="005243DB">
        <w:trPr>
          <w:cantSplit/>
        </w:trPr>
        <w:tc>
          <w:tcPr>
            <w:tcW w:w="0" w:type="auto"/>
            <w:shd w:val="clear" w:color="auto" w:fill="D5DCE4"/>
          </w:tcPr>
          <w:p w14:paraId="0E25A26D" w14:textId="77777777" w:rsidR="007A7839" w:rsidRPr="00764160" w:rsidRDefault="007A7839" w:rsidP="005243DB">
            <w:pPr>
              <w:spacing w:before="120" w:line="264" w:lineRule="auto"/>
              <w:jc w:val="center"/>
              <w:rPr>
                <w:rFonts w:cs="Arial"/>
                <w:b/>
                <w:bCs/>
                <w:position w:val="-20"/>
                <w:lang w:val="en-US"/>
              </w:rPr>
            </w:pPr>
            <w:r>
              <w:rPr>
                <w:rFonts w:cs="Arial"/>
                <w:b/>
                <w:bCs/>
                <w:lang w:val="en-US"/>
              </w:rPr>
              <w:object w:dxaOrig="1508" w:dyaOrig="983" w14:anchorId="6678E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25pt" o:ole="">
                  <v:imagedata r:id="rId22" o:title=""/>
                </v:shape>
                <o:OLEObject Type="Embed" ProgID="Word.Document.12" ShapeID="_x0000_i1025" DrawAspect="Icon" ObjectID="_1827406173" r:id="rId23">
                  <o:FieldCodes>\s</o:FieldCodes>
                </o:OLEObject>
              </w:object>
            </w:r>
          </w:p>
        </w:tc>
        <w:tc>
          <w:tcPr>
            <w:tcW w:w="0" w:type="auto"/>
            <w:shd w:val="clear" w:color="auto" w:fill="D5DCE4"/>
          </w:tcPr>
          <w:p w14:paraId="54D4F4C1" w14:textId="77777777" w:rsidR="007A7839" w:rsidRPr="00764160" w:rsidRDefault="007A7839" w:rsidP="005243DB">
            <w:pPr>
              <w:spacing w:before="120" w:line="264" w:lineRule="auto"/>
              <w:jc w:val="center"/>
              <w:rPr>
                <w:rFonts w:cs="Arial"/>
                <w:b/>
                <w:bCs/>
                <w:position w:val="-20"/>
                <w:lang w:val="en-US"/>
              </w:rPr>
            </w:pPr>
            <w:r>
              <w:rPr>
                <w:rFonts w:cs="Arial"/>
                <w:b/>
                <w:bCs/>
                <w:lang w:val="en-US"/>
              </w:rPr>
              <w:object w:dxaOrig="1508" w:dyaOrig="983" w14:anchorId="47660234">
                <v:shape id="_x0000_i1026" type="#_x0000_t75" style="width:76.3pt;height:49.25pt" o:ole="">
                  <v:imagedata r:id="rId24" o:title=""/>
                </v:shape>
                <o:OLEObject Type="Embed" ProgID="AcroExch.Document.DC" ShapeID="_x0000_i1026" DrawAspect="Icon" ObjectID="_1827406174" r:id="rId25"/>
              </w:object>
            </w:r>
          </w:p>
        </w:tc>
      </w:tr>
      <w:tr w:rsidR="007A7839" w:rsidRPr="003E7AD9" w14:paraId="011CC98F" w14:textId="77777777" w:rsidTr="005243DB">
        <w:trPr>
          <w:cantSplit/>
        </w:trPr>
        <w:tc>
          <w:tcPr>
            <w:tcW w:w="4542" w:type="dxa"/>
            <w:tcBorders>
              <w:top w:val="single" w:sz="4" w:space="0" w:color="auto"/>
              <w:left w:val="single" w:sz="4" w:space="0" w:color="auto"/>
              <w:bottom w:val="single" w:sz="4" w:space="0" w:color="auto"/>
              <w:right w:val="single" w:sz="4" w:space="0" w:color="auto"/>
            </w:tcBorders>
            <w:shd w:val="clear" w:color="auto" w:fill="ACB9CA"/>
          </w:tcPr>
          <w:p w14:paraId="0FB67BFE" w14:textId="77777777" w:rsidR="007A7839" w:rsidRPr="00764160" w:rsidRDefault="007A7839" w:rsidP="005243DB">
            <w:pPr>
              <w:spacing w:before="60" w:after="60" w:line="264" w:lineRule="auto"/>
              <w:jc w:val="center"/>
              <w:rPr>
                <w:rFonts w:cs="Arial"/>
                <w:b/>
                <w:bCs/>
                <w:position w:val="-20"/>
                <w:lang w:val="en-US"/>
              </w:rPr>
            </w:pPr>
            <w:r w:rsidRPr="00764160">
              <w:rPr>
                <w:rFonts w:cs="Arial"/>
                <w:b/>
                <w:bCs/>
                <w:position w:val="-20"/>
                <w:lang w:val="en-US"/>
              </w:rPr>
              <w:t>ANEXO 03</w:t>
            </w:r>
          </w:p>
          <w:p w14:paraId="66BF72D2" w14:textId="77777777" w:rsidR="007A7839" w:rsidRPr="00764160" w:rsidRDefault="007A7839" w:rsidP="005243DB">
            <w:pPr>
              <w:spacing w:before="60" w:after="60" w:line="264" w:lineRule="auto"/>
              <w:jc w:val="center"/>
              <w:rPr>
                <w:rFonts w:cs="Arial"/>
                <w:b/>
                <w:bCs/>
                <w:position w:val="-20"/>
                <w:lang w:val="en-US"/>
              </w:rPr>
            </w:pPr>
            <w:r w:rsidRPr="00764160">
              <w:rPr>
                <w:rFonts w:cs="Arial"/>
                <w:b/>
                <w:bCs/>
                <w:position w:val="-20"/>
                <w:lang w:val="en-US"/>
              </w:rPr>
              <w:t>Master</w:t>
            </w:r>
            <w:r>
              <w:rPr>
                <w:rFonts w:cs="Arial"/>
                <w:b/>
                <w:bCs/>
                <w:position w:val="-20"/>
                <w:lang w:val="en-US"/>
              </w:rPr>
              <w:t>C</w:t>
            </w:r>
            <w:r w:rsidRPr="00764160">
              <w:rPr>
                <w:rFonts w:cs="Arial"/>
                <w:b/>
                <w:bCs/>
                <w:position w:val="-20"/>
                <w:lang w:val="en-US"/>
              </w:rPr>
              <w:t>ard Global Transit Implementation Guide (January 2018)</w:t>
            </w:r>
          </w:p>
        </w:tc>
        <w:tc>
          <w:tcPr>
            <w:tcW w:w="4539" w:type="dxa"/>
            <w:tcBorders>
              <w:top w:val="single" w:sz="4" w:space="0" w:color="auto"/>
              <w:left w:val="single" w:sz="4" w:space="0" w:color="auto"/>
              <w:bottom w:val="single" w:sz="4" w:space="0" w:color="auto"/>
              <w:right w:val="single" w:sz="4" w:space="0" w:color="auto"/>
            </w:tcBorders>
            <w:shd w:val="clear" w:color="auto" w:fill="ACB9CA"/>
          </w:tcPr>
          <w:p w14:paraId="59A4E14B" w14:textId="77777777" w:rsidR="007A7839" w:rsidRPr="00E854BF" w:rsidRDefault="007A7839" w:rsidP="005243DB">
            <w:pPr>
              <w:spacing w:before="60" w:after="60" w:line="264" w:lineRule="auto"/>
              <w:jc w:val="center"/>
              <w:rPr>
                <w:rFonts w:cs="Arial"/>
                <w:b/>
                <w:bCs/>
                <w:position w:val="-20"/>
                <w:lang w:val="en-US"/>
              </w:rPr>
            </w:pPr>
            <w:r w:rsidRPr="00E854BF">
              <w:rPr>
                <w:rFonts w:cs="Arial"/>
                <w:b/>
                <w:bCs/>
                <w:position w:val="-20"/>
                <w:lang w:val="en-US"/>
              </w:rPr>
              <w:t>ANEXO 04</w:t>
            </w:r>
          </w:p>
          <w:p w14:paraId="2563CF84" w14:textId="77777777" w:rsidR="007A7839" w:rsidRPr="003E1E36" w:rsidRDefault="007A7839" w:rsidP="005243DB">
            <w:pPr>
              <w:spacing w:before="60" w:after="60" w:line="264" w:lineRule="auto"/>
              <w:jc w:val="center"/>
              <w:rPr>
                <w:rFonts w:cs="Arial"/>
                <w:b/>
                <w:bCs/>
                <w:position w:val="-20"/>
                <w:lang w:val="en-US"/>
              </w:rPr>
            </w:pPr>
            <w:r w:rsidRPr="003E1E36">
              <w:rPr>
                <w:rFonts w:cs="Arial"/>
                <w:b/>
                <w:bCs/>
                <w:position w:val="-20"/>
                <w:lang w:val="en-US"/>
              </w:rPr>
              <w:t>American Express Transit Implementation Guide V2.0</w:t>
            </w:r>
            <w:r>
              <w:rPr>
                <w:rFonts w:cs="Arial"/>
                <w:b/>
                <w:bCs/>
                <w:position w:val="-20"/>
                <w:lang w:val="en-US"/>
              </w:rPr>
              <w:t xml:space="preserve"> (May 2019)</w:t>
            </w:r>
          </w:p>
        </w:tc>
      </w:tr>
      <w:tr w:rsidR="007A7839" w:rsidRPr="00005101" w14:paraId="5A96089D" w14:textId="77777777" w:rsidTr="005243DB">
        <w:trPr>
          <w:cantSplit/>
        </w:trPr>
        <w:tc>
          <w:tcPr>
            <w:tcW w:w="0" w:type="auto"/>
            <w:tcBorders>
              <w:top w:val="single" w:sz="4" w:space="0" w:color="auto"/>
              <w:left w:val="single" w:sz="4" w:space="0" w:color="auto"/>
              <w:bottom w:val="single" w:sz="4" w:space="0" w:color="auto"/>
              <w:right w:val="single" w:sz="4" w:space="0" w:color="auto"/>
            </w:tcBorders>
            <w:shd w:val="clear" w:color="auto" w:fill="D5DCE4"/>
            <w:vAlign w:val="center"/>
          </w:tcPr>
          <w:p w14:paraId="486D14D1" w14:textId="77777777" w:rsidR="007A7839" w:rsidRPr="00005101" w:rsidRDefault="007A7839" w:rsidP="005243DB">
            <w:pPr>
              <w:spacing w:before="120" w:line="264" w:lineRule="auto"/>
              <w:jc w:val="center"/>
              <w:rPr>
                <w:rFonts w:cs="Arial"/>
                <w:b/>
                <w:bCs/>
                <w:position w:val="-20"/>
              </w:rPr>
            </w:pPr>
            <w:r>
              <w:rPr>
                <w:rFonts w:cs="Arial"/>
                <w:b/>
                <w:bCs/>
              </w:rPr>
              <w:object w:dxaOrig="1508" w:dyaOrig="983" w14:anchorId="2F6F6AF2">
                <v:shape id="_x0000_i1027" type="#_x0000_t75" style="width:76.9pt;height:52.3pt" o:ole="">
                  <v:imagedata r:id="rId26" o:title=""/>
                </v:shape>
                <o:OLEObject Type="Embed" ProgID="AcroExch.Document.DC" ShapeID="_x0000_i1027" DrawAspect="Icon" ObjectID="_1827406175" r:id="rId27"/>
              </w:object>
            </w:r>
          </w:p>
        </w:tc>
        <w:tc>
          <w:tcPr>
            <w:tcW w:w="4539" w:type="dxa"/>
            <w:tcBorders>
              <w:top w:val="single" w:sz="4" w:space="0" w:color="auto"/>
              <w:left w:val="single" w:sz="4" w:space="0" w:color="auto"/>
              <w:bottom w:val="single" w:sz="4" w:space="0" w:color="auto"/>
              <w:right w:val="single" w:sz="4" w:space="0" w:color="auto"/>
            </w:tcBorders>
            <w:shd w:val="clear" w:color="auto" w:fill="D5DCE4"/>
            <w:vAlign w:val="center"/>
          </w:tcPr>
          <w:p w14:paraId="1BC473AA" w14:textId="77777777" w:rsidR="007A7839" w:rsidRPr="00005101" w:rsidRDefault="007A7839" w:rsidP="005243DB">
            <w:pPr>
              <w:spacing w:before="120" w:line="264" w:lineRule="auto"/>
              <w:jc w:val="center"/>
              <w:rPr>
                <w:rFonts w:cs="Arial"/>
                <w:b/>
                <w:bCs/>
                <w:position w:val="-20"/>
              </w:rPr>
            </w:pPr>
            <w:r>
              <w:rPr>
                <w:rFonts w:cs="Arial"/>
                <w:b/>
                <w:bCs/>
              </w:rPr>
              <w:object w:dxaOrig="1508" w:dyaOrig="983" w14:anchorId="60668886">
                <v:shape id="_x0000_i1028" type="#_x0000_t75" style="width:76.9pt;height:52.3pt" o:ole="">
                  <v:imagedata r:id="rId28" o:title=""/>
                </v:shape>
                <o:OLEObject Type="Embed" ProgID="AcroExch.Document.DC" ShapeID="_x0000_i1028" DrawAspect="Icon" ObjectID="_1827406176" r:id="rId29"/>
              </w:object>
            </w:r>
          </w:p>
        </w:tc>
      </w:tr>
      <w:tr w:rsidR="007A7839" w:rsidRPr="00005101" w14:paraId="02FA371C" w14:textId="77777777" w:rsidTr="005243DB">
        <w:trPr>
          <w:cantSplit/>
        </w:trPr>
        <w:tc>
          <w:tcPr>
            <w:tcW w:w="4542" w:type="dxa"/>
            <w:tcBorders>
              <w:top w:val="single" w:sz="4" w:space="0" w:color="auto"/>
              <w:left w:val="single" w:sz="4" w:space="0" w:color="auto"/>
              <w:bottom w:val="single" w:sz="4" w:space="0" w:color="auto"/>
              <w:right w:val="single" w:sz="4" w:space="0" w:color="auto"/>
            </w:tcBorders>
            <w:shd w:val="clear" w:color="auto" w:fill="ACB9CA"/>
          </w:tcPr>
          <w:p w14:paraId="48D5504B" w14:textId="77777777" w:rsidR="007A7839" w:rsidRPr="00005101" w:rsidRDefault="007A7839" w:rsidP="005243DB">
            <w:pPr>
              <w:spacing w:before="60" w:after="60" w:line="264" w:lineRule="auto"/>
              <w:jc w:val="center"/>
              <w:rPr>
                <w:rFonts w:cs="Arial"/>
                <w:b/>
                <w:bCs/>
                <w:position w:val="-20"/>
              </w:rPr>
            </w:pPr>
            <w:r w:rsidRPr="00E9666B">
              <w:rPr>
                <w:rFonts w:cs="Arial"/>
                <w:b/>
                <w:bCs/>
                <w:position w:val="-20"/>
              </w:rPr>
              <w:t>ANEXO 0</w:t>
            </w:r>
            <w:r>
              <w:rPr>
                <w:rFonts w:cs="Arial"/>
                <w:b/>
                <w:bCs/>
                <w:position w:val="-20"/>
              </w:rPr>
              <w:t>5</w:t>
            </w:r>
          </w:p>
          <w:p w14:paraId="3A761E3F" w14:textId="77777777" w:rsidR="007A7839" w:rsidRPr="00005101" w:rsidRDefault="007A7839" w:rsidP="005243DB">
            <w:pPr>
              <w:spacing w:before="60" w:after="60" w:line="264" w:lineRule="auto"/>
              <w:jc w:val="center"/>
              <w:rPr>
                <w:rFonts w:cs="Arial"/>
                <w:b/>
                <w:bCs/>
                <w:position w:val="-20"/>
              </w:rPr>
            </w:pPr>
            <w:r w:rsidRPr="00E31E89">
              <w:rPr>
                <w:rFonts w:cs="Arial"/>
                <w:b/>
                <w:bCs/>
                <w:position w:val="-20"/>
              </w:rPr>
              <w:t xml:space="preserve">Reporte de </w:t>
            </w:r>
            <w:r>
              <w:rPr>
                <w:rFonts w:cs="Arial"/>
                <w:b/>
                <w:bCs/>
                <w:position w:val="-20"/>
              </w:rPr>
              <w:t>I</w:t>
            </w:r>
            <w:r w:rsidRPr="00E31E89">
              <w:rPr>
                <w:rFonts w:cs="Arial"/>
                <w:b/>
                <w:bCs/>
                <w:position w:val="-20"/>
              </w:rPr>
              <w:t xml:space="preserve">nformación </w:t>
            </w:r>
            <w:r w:rsidRPr="002A5776">
              <w:rPr>
                <w:rFonts w:cs="Arial"/>
                <w:b/>
                <w:bCs/>
                <w:position w:val="-20"/>
              </w:rPr>
              <w:t xml:space="preserve">del </w:t>
            </w:r>
            <w:r>
              <w:rPr>
                <w:rFonts w:cs="Arial"/>
                <w:b/>
                <w:bCs/>
                <w:position w:val="-20"/>
              </w:rPr>
              <w:t>O</w:t>
            </w:r>
            <w:r w:rsidRPr="002A5776">
              <w:rPr>
                <w:rFonts w:cs="Arial"/>
                <w:b/>
                <w:bCs/>
                <w:position w:val="-20"/>
              </w:rPr>
              <w:t>perador</w:t>
            </w:r>
            <w:r>
              <w:rPr>
                <w:rFonts w:cs="Arial"/>
                <w:b/>
                <w:bCs/>
                <w:position w:val="-20"/>
              </w:rPr>
              <w:t xml:space="preserve"> de Transporte</w:t>
            </w:r>
            <w:r w:rsidRPr="002A5776">
              <w:rPr>
                <w:rFonts w:cs="Arial"/>
                <w:b/>
                <w:bCs/>
                <w:position w:val="-20"/>
              </w:rPr>
              <w:t xml:space="preserve"> – </w:t>
            </w:r>
            <w:r>
              <w:rPr>
                <w:rFonts w:cs="Arial"/>
                <w:b/>
                <w:bCs/>
                <w:position w:val="-20"/>
              </w:rPr>
              <w:t>M</w:t>
            </w:r>
            <w:r w:rsidRPr="002A5776">
              <w:rPr>
                <w:rFonts w:cs="Arial"/>
                <w:b/>
                <w:bCs/>
                <w:position w:val="-20"/>
              </w:rPr>
              <w:t xml:space="preserve">odalidad </w:t>
            </w:r>
            <w:r>
              <w:rPr>
                <w:rFonts w:cs="Arial"/>
                <w:b/>
                <w:bCs/>
                <w:position w:val="-20"/>
              </w:rPr>
              <w:t>A</w:t>
            </w:r>
            <w:r w:rsidRPr="002A5776">
              <w:rPr>
                <w:rFonts w:cs="Arial"/>
                <w:b/>
                <w:bCs/>
                <w:position w:val="-20"/>
              </w:rPr>
              <w:t>utobús</w:t>
            </w:r>
          </w:p>
        </w:tc>
        <w:tc>
          <w:tcPr>
            <w:tcW w:w="4539" w:type="dxa"/>
            <w:tcBorders>
              <w:top w:val="single" w:sz="4" w:space="0" w:color="auto"/>
              <w:left w:val="single" w:sz="4" w:space="0" w:color="auto"/>
              <w:bottom w:val="single" w:sz="4" w:space="0" w:color="auto"/>
              <w:right w:val="single" w:sz="4" w:space="0" w:color="auto"/>
            </w:tcBorders>
            <w:shd w:val="clear" w:color="auto" w:fill="ACB9CA"/>
          </w:tcPr>
          <w:p w14:paraId="607317EC" w14:textId="77777777" w:rsidR="007A7839" w:rsidRPr="00005101" w:rsidRDefault="007A7839" w:rsidP="005243DB">
            <w:pPr>
              <w:spacing w:before="60" w:after="60" w:line="264" w:lineRule="auto"/>
              <w:jc w:val="center"/>
              <w:rPr>
                <w:rFonts w:cs="Arial"/>
                <w:b/>
                <w:bCs/>
                <w:position w:val="-20"/>
              </w:rPr>
            </w:pPr>
            <w:r w:rsidRPr="00E9666B">
              <w:rPr>
                <w:rFonts w:cs="Arial"/>
                <w:b/>
                <w:bCs/>
                <w:position w:val="-20"/>
              </w:rPr>
              <w:t>ANEXO 0</w:t>
            </w:r>
            <w:r>
              <w:rPr>
                <w:rFonts w:cs="Arial"/>
                <w:b/>
                <w:bCs/>
                <w:position w:val="-20"/>
              </w:rPr>
              <w:t>6</w:t>
            </w:r>
          </w:p>
          <w:p w14:paraId="3A69AC0D" w14:textId="77777777" w:rsidR="007A7839" w:rsidRPr="00005101" w:rsidRDefault="007A7839" w:rsidP="005243DB">
            <w:pPr>
              <w:spacing w:before="60" w:after="0" w:line="264" w:lineRule="auto"/>
              <w:jc w:val="center"/>
              <w:rPr>
                <w:rFonts w:cs="Arial"/>
                <w:b/>
                <w:bCs/>
                <w:position w:val="-20"/>
              </w:rPr>
            </w:pPr>
            <w:r>
              <w:rPr>
                <w:rFonts w:cs="Arial"/>
                <w:b/>
                <w:bCs/>
                <w:position w:val="-20"/>
              </w:rPr>
              <w:t>Hoja de Liquidación de Ingresos Tarifarios (Autobús de Ruta Regular)</w:t>
            </w:r>
          </w:p>
        </w:tc>
      </w:tr>
      <w:bookmarkStart w:id="268" w:name="_MON_1825477750"/>
      <w:bookmarkEnd w:id="268"/>
      <w:tr w:rsidR="007A7839" w:rsidRPr="00005101" w14:paraId="7BFC3E2B" w14:textId="77777777" w:rsidTr="005243DB">
        <w:trPr>
          <w:cantSplit/>
        </w:trPr>
        <w:tc>
          <w:tcPr>
            <w:tcW w:w="4542" w:type="dxa"/>
            <w:tcBorders>
              <w:top w:val="single" w:sz="4" w:space="0" w:color="auto"/>
              <w:left w:val="single" w:sz="4" w:space="0" w:color="auto"/>
              <w:bottom w:val="single" w:sz="4" w:space="0" w:color="auto"/>
              <w:right w:val="single" w:sz="4" w:space="0" w:color="auto"/>
            </w:tcBorders>
            <w:shd w:val="clear" w:color="auto" w:fill="D5DCE4"/>
          </w:tcPr>
          <w:p w14:paraId="5420CC1E" w14:textId="77777777" w:rsidR="007A7839" w:rsidRPr="00005101" w:rsidRDefault="007A7839" w:rsidP="005243DB">
            <w:pPr>
              <w:spacing w:before="120" w:line="264" w:lineRule="auto"/>
              <w:jc w:val="center"/>
              <w:rPr>
                <w:rFonts w:cs="Arial"/>
                <w:b/>
                <w:bCs/>
                <w:position w:val="-20"/>
              </w:rPr>
            </w:pPr>
            <w:r>
              <w:rPr>
                <w:rFonts w:cs="Arial"/>
                <w:b/>
                <w:bCs/>
              </w:rPr>
              <w:object w:dxaOrig="1508" w:dyaOrig="983" w14:anchorId="589068E0">
                <v:shape id="_x0000_i1029" type="#_x0000_t75" style="width:76.3pt;height:49.85pt" o:ole="">
                  <v:imagedata r:id="rId30" o:title=""/>
                </v:shape>
                <o:OLEObject Type="Embed" ProgID="Word.Document.12" ShapeID="_x0000_i1029" DrawAspect="Icon" ObjectID="_1827406177" r:id="rId31">
                  <o:FieldCodes>\s</o:FieldCodes>
                </o:OLEObject>
              </w:object>
            </w:r>
          </w:p>
        </w:tc>
        <w:tc>
          <w:tcPr>
            <w:tcW w:w="4539" w:type="dxa"/>
            <w:tcBorders>
              <w:top w:val="single" w:sz="4" w:space="0" w:color="auto"/>
              <w:left w:val="single" w:sz="4" w:space="0" w:color="auto"/>
              <w:bottom w:val="single" w:sz="4" w:space="0" w:color="auto"/>
              <w:right w:val="single" w:sz="4" w:space="0" w:color="auto"/>
            </w:tcBorders>
            <w:shd w:val="clear" w:color="auto" w:fill="D5DCE4"/>
          </w:tcPr>
          <w:p w14:paraId="0943756B" w14:textId="77777777" w:rsidR="007A7839" w:rsidRPr="00005101" w:rsidRDefault="007A7839" w:rsidP="005243DB">
            <w:pPr>
              <w:spacing w:before="120" w:line="264" w:lineRule="auto"/>
              <w:jc w:val="center"/>
              <w:rPr>
                <w:rFonts w:cs="Arial"/>
                <w:b/>
                <w:bCs/>
                <w:position w:val="-20"/>
              </w:rPr>
            </w:pPr>
            <w:r>
              <w:rPr>
                <w:rFonts w:cs="Arial"/>
                <w:b/>
                <w:bCs/>
              </w:rPr>
              <w:object w:dxaOrig="1508" w:dyaOrig="983" w14:anchorId="37143E4E">
                <v:shape id="_x0000_i1030" type="#_x0000_t75" style="width:76.3pt;height:49.85pt" o:ole="">
                  <v:imagedata r:id="rId32" o:title=""/>
                </v:shape>
                <o:OLEObject Type="Embed" ProgID="Excel.Sheet.12" ShapeID="_x0000_i1030" DrawAspect="Icon" ObjectID="_1827406178" r:id="rId33"/>
              </w:object>
            </w:r>
          </w:p>
        </w:tc>
      </w:tr>
      <w:tr w:rsidR="007A7839" w:rsidRPr="00005101" w14:paraId="550F6F01" w14:textId="77777777" w:rsidTr="005243DB">
        <w:trPr>
          <w:cantSplit/>
        </w:trPr>
        <w:tc>
          <w:tcPr>
            <w:tcW w:w="4542" w:type="dxa"/>
            <w:tcBorders>
              <w:top w:val="single" w:sz="4" w:space="0" w:color="auto"/>
              <w:left w:val="single" w:sz="4" w:space="0" w:color="auto"/>
              <w:bottom w:val="single" w:sz="4" w:space="0" w:color="auto"/>
              <w:right w:val="single" w:sz="4" w:space="0" w:color="auto"/>
            </w:tcBorders>
            <w:shd w:val="clear" w:color="auto" w:fill="ACB9CA"/>
          </w:tcPr>
          <w:p w14:paraId="16E9EF96" w14:textId="77777777" w:rsidR="007A7839" w:rsidRDefault="007A7839" w:rsidP="005243DB">
            <w:pPr>
              <w:spacing w:before="60" w:after="60" w:line="264" w:lineRule="auto"/>
              <w:jc w:val="center"/>
              <w:rPr>
                <w:rFonts w:cs="Arial"/>
                <w:b/>
                <w:bCs/>
                <w:position w:val="-20"/>
              </w:rPr>
            </w:pPr>
            <w:r w:rsidRPr="00E9666B">
              <w:rPr>
                <w:rFonts w:cs="Arial"/>
                <w:b/>
                <w:bCs/>
                <w:position w:val="-20"/>
              </w:rPr>
              <w:t>ANEXO 0</w:t>
            </w:r>
            <w:r>
              <w:rPr>
                <w:rFonts w:cs="Arial"/>
                <w:b/>
                <w:bCs/>
                <w:position w:val="-20"/>
              </w:rPr>
              <w:t>7</w:t>
            </w:r>
          </w:p>
          <w:p w14:paraId="2798F9A0" w14:textId="77777777" w:rsidR="007A7839" w:rsidRDefault="007A7839" w:rsidP="005243DB">
            <w:pPr>
              <w:spacing w:before="60" w:after="0" w:line="264" w:lineRule="auto"/>
              <w:jc w:val="center"/>
              <w:rPr>
                <w:rFonts w:cs="Arial"/>
                <w:b/>
                <w:bCs/>
                <w:position w:val="-20"/>
              </w:rPr>
            </w:pPr>
            <w:r w:rsidRPr="003039A8">
              <w:rPr>
                <w:rFonts w:cs="Arial"/>
                <w:b/>
                <w:bCs/>
                <w:position w:val="-20"/>
              </w:rPr>
              <w:t xml:space="preserve">Solicitud de </w:t>
            </w:r>
            <w:r>
              <w:rPr>
                <w:rFonts w:cs="Arial"/>
                <w:b/>
                <w:bCs/>
                <w:position w:val="-20"/>
              </w:rPr>
              <w:t>P</w:t>
            </w:r>
            <w:r w:rsidRPr="003039A8">
              <w:rPr>
                <w:rFonts w:cs="Arial"/>
                <w:b/>
                <w:bCs/>
                <w:position w:val="-20"/>
              </w:rPr>
              <w:t xml:space="preserve">articipación </w:t>
            </w:r>
            <w:r>
              <w:rPr>
                <w:rFonts w:cs="Arial"/>
                <w:b/>
                <w:bCs/>
                <w:position w:val="-20"/>
              </w:rPr>
              <w:t>como</w:t>
            </w:r>
            <w:r w:rsidRPr="003039A8">
              <w:rPr>
                <w:rFonts w:cs="Arial"/>
                <w:b/>
                <w:bCs/>
                <w:position w:val="-20"/>
              </w:rPr>
              <w:t xml:space="preserve"> </w:t>
            </w:r>
            <w:r>
              <w:rPr>
                <w:rFonts w:cs="Arial"/>
                <w:b/>
                <w:bCs/>
                <w:position w:val="-20"/>
              </w:rPr>
              <w:t>A</w:t>
            </w:r>
            <w:r w:rsidRPr="003039A8">
              <w:rPr>
                <w:rFonts w:cs="Arial"/>
                <w:b/>
                <w:bCs/>
                <w:position w:val="-20"/>
              </w:rPr>
              <w:t xml:space="preserve">dquirente </w:t>
            </w:r>
          </w:p>
          <w:p w14:paraId="32AD4871" w14:textId="77777777" w:rsidR="007A7839" w:rsidRPr="00005101" w:rsidRDefault="007A7839" w:rsidP="005243DB">
            <w:pPr>
              <w:spacing w:before="0" w:after="60" w:line="264" w:lineRule="auto"/>
              <w:jc w:val="center"/>
              <w:rPr>
                <w:rFonts w:cs="Arial"/>
                <w:b/>
                <w:bCs/>
                <w:position w:val="-20"/>
              </w:rPr>
            </w:pPr>
            <w:r w:rsidRPr="003039A8">
              <w:rPr>
                <w:rFonts w:cs="Arial"/>
                <w:b/>
                <w:bCs/>
                <w:position w:val="-20"/>
              </w:rPr>
              <w:t>de SINPE-TP</w:t>
            </w:r>
          </w:p>
        </w:tc>
        <w:tc>
          <w:tcPr>
            <w:tcW w:w="4539" w:type="dxa"/>
            <w:tcBorders>
              <w:top w:val="single" w:sz="4" w:space="0" w:color="auto"/>
              <w:left w:val="single" w:sz="4" w:space="0" w:color="auto"/>
              <w:bottom w:val="single" w:sz="4" w:space="0" w:color="auto"/>
              <w:right w:val="single" w:sz="4" w:space="0" w:color="auto"/>
            </w:tcBorders>
            <w:shd w:val="clear" w:color="auto" w:fill="ACB9CA"/>
          </w:tcPr>
          <w:p w14:paraId="3CC0DE4F" w14:textId="77777777" w:rsidR="007A7839" w:rsidRDefault="007A7839" w:rsidP="005243DB">
            <w:pPr>
              <w:spacing w:before="60" w:after="60" w:line="264" w:lineRule="auto"/>
              <w:jc w:val="center"/>
              <w:rPr>
                <w:rFonts w:cs="Arial"/>
                <w:b/>
                <w:bCs/>
                <w:position w:val="-20"/>
              </w:rPr>
            </w:pPr>
            <w:r w:rsidRPr="00E9666B">
              <w:rPr>
                <w:rFonts w:cs="Arial"/>
                <w:b/>
                <w:bCs/>
                <w:position w:val="-20"/>
              </w:rPr>
              <w:t>ANEXO 0</w:t>
            </w:r>
            <w:r>
              <w:rPr>
                <w:rFonts w:cs="Arial"/>
                <w:b/>
                <w:bCs/>
                <w:position w:val="-20"/>
              </w:rPr>
              <w:t>8</w:t>
            </w:r>
          </w:p>
          <w:p w14:paraId="4E1D4C92" w14:textId="77777777" w:rsidR="007A7839" w:rsidRDefault="007A7839" w:rsidP="005243DB">
            <w:pPr>
              <w:spacing w:before="60" w:after="60" w:line="264" w:lineRule="auto"/>
              <w:jc w:val="center"/>
              <w:rPr>
                <w:rFonts w:cs="Arial"/>
              </w:rPr>
            </w:pPr>
            <w:r w:rsidRPr="00005101">
              <w:rPr>
                <w:rFonts w:cs="Arial"/>
                <w:b/>
                <w:bCs/>
                <w:position w:val="-20"/>
              </w:rPr>
              <w:t xml:space="preserve">Política de </w:t>
            </w:r>
            <w:r>
              <w:rPr>
                <w:rFonts w:cs="Arial"/>
                <w:b/>
                <w:bCs/>
                <w:position w:val="-20"/>
              </w:rPr>
              <w:t>P</w:t>
            </w:r>
            <w:r w:rsidRPr="00005101">
              <w:rPr>
                <w:rFonts w:cs="Arial"/>
                <w:b/>
                <w:bCs/>
                <w:position w:val="-20"/>
              </w:rPr>
              <w:t>rivacidad</w:t>
            </w:r>
            <w:r>
              <w:rPr>
                <w:rFonts w:cs="Arial"/>
                <w:b/>
                <w:bCs/>
                <w:position w:val="-20"/>
              </w:rPr>
              <w:t xml:space="preserve"> y Procedimiento de Suscripción de SINPE-TP Pasajero</w:t>
            </w:r>
            <w:r w:rsidRPr="00E9666B" w:rsidDel="00C70FA8">
              <w:rPr>
                <w:rFonts w:cs="Arial"/>
                <w:b/>
                <w:bCs/>
                <w:position w:val="-20"/>
              </w:rPr>
              <w:t xml:space="preserve"> </w:t>
            </w:r>
          </w:p>
        </w:tc>
      </w:tr>
      <w:bookmarkStart w:id="269" w:name="_MON_1823860974"/>
      <w:bookmarkEnd w:id="269"/>
      <w:tr w:rsidR="007A7839" w:rsidRPr="00005101" w14:paraId="48C99749" w14:textId="77777777" w:rsidTr="005243DB">
        <w:trPr>
          <w:cantSplit/>
        </w:trPr>
        <w:tc>
          <w:tcPr>
            <w:tcW w:w="4540" w:type="dxa"/>
            <w:tcBorders>
              <w:top w:val="single" w:sz="4" w:space="0" w:color="auto"/>
              <w:left w:val="single" w:sz="4" w:space="0" w:color="auto"/>
              <w:bottom w:val="single" w:sz="4" w:space="0" w:color="auto"/>
              <w:right w:val="single" w:sz="4" w:space="0" w:color="auto"/>
            </w:tcBorders>
            <w:shd w:val="clear" w:color="auto" w:fill="D5DCE4"/>
          </w:tcPr>
          <w:p w14:paraId="4C225DC4" w14:textId="77777777" w:rsidR="007A7839" w:rsidRDefault="007A7839" w:rsidP="005243DB">
            <w:pPr>
              <w:spacing w:before="120" w:line="264" w:lineRule="auto"/>
              <w:jc w:val="center"/>
              <w:rPr>
                <w:rFonts w:cs="Arial"/>
              </w:rPr>
            </w:pPr>
            <w:r>
              <w:rPr>
                <w:rFonts w:cs="Arial"/>
              </w:rPr>
              <w:object w:dxaOrig="1508" w:dyaOrig="983" w14:anchorId="1EA70384">
                <v:shape id="_x0000_i1031" type="#_x0000_t75" style="width:76.3pt;height:49.25pt" o:ole="">
                  <v:imagedata r:id="rId34" o:title=""/>
                </v:shape>
                <o:OLEObject Type="Embed" ProgID="Word.Document.12" ShapeID="_x0000_i1031" DrawAspect="Icon" ObjectID="_1827406179" r:id="rId35">
                  <o:FieldCodes>\s</o:FieldCodes>
                </o:OLEObject>
              </w:object>
            </w:r>
          </w:p>
        </w:tc>
        <w:bookmarkStart w:id="270" w:name="_MON_1827309422"/>
        <w:bookmarkEnd w:id="270"/>
        <w:tc>
          <w:tcPr>
            <w:tcW w:w="4541" w:type="dxa"/>
            <w:tcBorders>
              <w:top w:val="single" w:sz="4" w:space="0" w:color="auto"/>
              <w:left w:val="single" w:sz="4" w:space="0" w:color="auto"/>
              <w:bottom w:val="single" w:sz="4" w:space="0" w:color="auto"/>
              <w:right w:val="single" w:sz="4" w:space="0" w:color="auto"/>
            </w:tcBorders>
            <w:shd w:val="clear" w:color="auto" w:fill="D5DCE4"/>
          </w:tcPr>
          <w:p w14:paraId="5D741153" w14:textId="77777777" w:rsidR="007A7839" w:rsidRDefault="007A7839" w:rsidP="005243DB">
            <w:pPr>
              <w:spacing w:before="120" w:line="264" w:lineRule="auto"/>
              <w:jc w:val="center"/>
              <w:rPr>
                <w:rFonts w:cs="Arial"/>
              </w:rPr>
            </w:pPr>
            <w:r>
              <w:rPr>
                <w:rFonts w:cs="Arial"/>
              </w:rPr>
              <w:object w:dxaOrig="1504" w:dyaOrig="982" w14:anchorId="083E95E1">
                <v:shape id="_x0000_i1032" type="#_x0000_t75" style="width:75.1pt;height:49.25pt" o:ole="">
                  <v:imagedata r:id="rId36" o:title=""/>
                </v:shape>
                <o:OLEObject Type="Embed" ProgID="Word.Document.12" ShapeID="_x0000_i1032" DrawAspect="Icon" ObjectID="_1827406180" r:id="rId37">
                  <o:FieldCodes>\s</o:FieldCodes>
                </o:OLEObject>
              </w:object>
            </w:r>
          </w:p>
        </w:tc>
      </w:tr>
    </w:tbl>
    <w:p w14:paraId="78BDA834" w14:textId="77777777" w:rsidR="007A7839" w:rsidRDefault="007A7839" w:rsidP="007A7839">
      <w:pPr>
        <w:spacing w:line="252" w:lineRule="auto"/>
        <w:rPr>
          <w:lang w:val="es-ES_tradnl" w:eastAsia="es-ES"/>
        </w:rPr>
      </w:pPr>
    </w:p>
    <w:sectPr w:rsidR="007A7839" w:rsidSect="00005E10">
      <w:headerReference w:type="even" r:id="rId38"/>
      <w:footerReference w:type="default" r:id="rId39"/>
      <w:footerReference w:type="first" r:id="rId40"/>
      <w:pgSz w:w="12240" w:h="15840"/>
      <w:pgMar w:top="1418" w:right="1467" w:bottom="709" w:left="1701" w:header="720" w:footer="424" w:gutter="0"/>
      <w:pgNumType w:start="1"/>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180BB" w14:textId="77777777" w:rsidR="00EB0A0B" w:rsidRPr="00877B7D" w:rsidRDefault="00EB0A0B" w:rsidP="00877B7D">
      <w:r>
        <w:separator/>
      </w:r>
    </w:p>
  </w:endnote>
  <w:endnote w:type="continuationSeparator" w:id="0">
    <w:p w14:paraId="2E270D05" w14:textId="77777777" w:rsidR="00EB0A0B" w:rsidRPr="00877B7D" w:rsidRDefault="00EB0A0B" w:rsidP="00877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Títulos en alf">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9B3C2" w14:textId="77777777" w:rsidR="007D2830" w:rsidRPr="009C59FE" w:rsidRDefault="007D2830" w:rsidP="00ED3BE1">
    <w:r w:rsidRPr="009C59FE">
      <w:fldChar w:fldCharType="begin"/>
    </w:r>
    <w:r w:rsidRPr="009C59FE">
      <w:instrText xml:space="preserve">PAGE  </w:instrText>
    </w:r>
    <w:r w:rsidRPr="009C59FE">
      <w:fldChar w:fldCharType="separate"/>
    </w:r>
    <w:r w:rsidRPr="009C59FE">
      <w:t>18</w:t>
    </w:r>
    <w:r w:rsidRPr="009C59FE">
      <w:fldChar w:fldCharType="end"/>
    </w:r>
  </w:p>
  <w:p w14:paraId="6DD1FABB" w14:textId="77777777" w:rsidR="007D2830" w:rsidRDefault="007D2830" w:rsidP="00ED3BE1"/>
  <w:p w14:paraId="2B8CCF4C" w14:textId="77777777" w:rsidR="007D2830" w:rsidRDefault="007D28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E58B9" w14:textId="0E9C511D" w:rsidR="00A440A2" w:rsidRDefault="00277D70">
    <w:pPr>
      <w:pStyle w:val="Piedepgina"/>
    </w:pPr>
    <w:r>
      <w:rPr>
        <w:noProof/>
      </w:rPr>
      <mc:AlternateContent>
        <mc:Choice Requires="wps">
          <w:drawing>
            <wp:anchor distT="0" distB="0" distL="114300" distR="114300" simplePos="0" relativeHeight="251673088" behindDoc="0" locked="0" layoutInCell="0" allowOverlap="1" wp14:anchorId="129A2942" wp14:editId="2D0AB3B1">
              <wp:simplePos x="0" y="0"/>
              <wp:positionH relativeFrom="page">
                <wp:posOffset>0</wp:posOffset>
              </wp:positionH>
              <wp:positionV relativeFrom="page">
                <wp:posOffset>9594215</wp:posOffset>
              </wp:positionV>
              <wp:extent cx="7772400" cy="273685"/>
              <wp:effectExtent l="0" t="2540" r="0" b="0"/>
              <wp:wrapNone/>
              <wp:docPr id="9" name="MSIPCM5591484b899fc4a88ecca26d" descr="{&quot;HashCode&quot;:1186230005,&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1124" w14:textId="6B1D7A9A" w:rsidR="008B0227" w:rsidRPr="008B0227" w:rsidRDefault="008B0227" w:rsidP="008B0227">
                          <w:pPr>
                            <w:spacing w:before="0" w:after="0"/>
                            <w:jc w:val="center"/>
                            <w:rPr>
                              <w:rFonts w:ascii="Calibri" w:hAnsi="Calibri" w:cs="Calibri"/>
                              <w:color w:val="000000"/>
                            </w:rPr>
                          </w:pPr>
                          <w:r w:rsidRPr="008B0227">
                            <w:rPr>
                              <w:rFonts w:ascii="Calibri" w:hAnsi="Calibri" w:cs="Calibri"/>
                              <w:color w:val="000000"/>
                            </w:rPr>
                            <w:t>Uso Interno</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A2942" id="_x0000_t202" coordsize="21600,21600" o:spt="202" path="m,l,21600r21600,l21600,xe">
              <v:stroke joinstyle="miter"/>
              <v:path gradientshapeok="t" o:connecttype="rect"/>
            </v:shapetype>
            <v:shape id="MSIPCM5591484b899fc4a88ecca26d" o:spid="_x0000_s1040" type="#_x0000_t202" alt="{&quot;HashCode&quot;:1186230005,&quot;Height&quot;:792.0,&quot;Width&quot;:612.0,&quot;Placement&quot;:&quot;Footer&quot;,&quot;Index&quot;:&quot;Primary&quot;,&quot;Section&quot;:1,&quot;Top&quot;:0.0,&quot;Left&quot;:0.0}" style="position:absolute;left:0;text-align:left;margin-left:0;margin-top:755.45pt;width:612pt;height:21.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" o:allowincell="f" filled="f" stroked="f">
              <v:textbox inset=",0,,0">
                <w:txbxContent>
                  <w:p w14:paraId="4D8B1124" w14:textId="6B1D7A9A" w:rsidR="008B0227" w:rsidRPr="008B0227" w:rsidRDefault="008B0227" w:rsidP="008B0227">
                    <w:pPr>
                      <w:spacing w:before="0" w:after="0"/>
                      <w:jc w:val="center"/>
                      <w:rPr>
                        <w:rFonts w:ascii="Calibri" w:hAnsi="Calibri" w:cs="Calibri"/>
                        <w:color w:val="000000"/>
                      </w:rPr>
                    </w:pPr>
                    <w:r w:rsidRPr="008B0227">
                      <w:rPr>
                        <w:rFonts w:ascii="Calibri" w:hAnsi="Calibri" w:cs="Calibri"/>
                        <w:color w:val="000000"/>
                      </w:rPr>
                      <w:t>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AAC2" w14:textId="21FBE52C" w:rsidR="007D2830" w:rsidRPr="00DA175B" w:rsidRDefault="00277D70" w:rsidP="00ED3BE1">
    <w:r>
      <w:rPr>
        <w:noProof/>
      </w:rPr>
      <mc:AlternateContent>
        <mc:Choice Requires="wps">
          <w:drawing>
            <wp:anchor distT="0" distB="0" distL="114300" distR="114300" simplePos="0" relativeHeight="251659776" behindDoc="0" locked="0" layoutInCell="0" allowOverlap="1" wp14:anchorId="31D8DA1B" wp14:editId="09DDEDE3">
              <wp:simplePos x="0" y="0"/>
              <wp:positionH relativeFrom="page">
                <wp:posOffset>0</wp:posOffset>
              </wp:positionH>
              <wp:positionV relativeFrom="page">
                <wp:posOffset>9594215</wp:posOffset>
              </wp:positionV>
              <wp:extent cx="7772400" cy="273685"/>
              <wp:effectExtent l="0" t="2540" r="0" b="0"/>
              <wp:wrapNone/>
              <wp:docPr id="2" name="MSIPCM13204d62bc9132475cea4457" descr="{&quot;HashCode&quot;:1186230005,&quot;Height&quot;:792.0,&quot;Width&quot;:612.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AEA8" w14:textId="1C774BA2" w:rsidR="008B0227" w:rsidRPr="00361345" w:rsidRDefault="008B0227" w:rsidP="008B0227">
                          <w:pPr>
                            <w:spacing w:before="0" w:after="0"/>
                            <w:jc w:val="center"/>
                            <w:rPr>
                              <w:rFonts w:ascii="Calibri" w:hAnsi="Calibri" w:cs="Calibri"/>
                              <w:color w:val="FFFFFF" w:themeColor="background1"/>
                            </w:rPr>
                          </w:pPr>
                          <w:r w:rsidRPr="00361345">
                            <w:rPr>
                              <w:rFonts w:ascii="Calibri" w:hAnsi="Calibri" w:cs="Calibri"/>
                              <w:color w:val="FFFFFF" w:themeColor="background1"/>
                            </w:rPr>
                            <w:t>Uso Interno</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8DA1B" id="_x0000_t202" coordsize="21600,21600" o:spt="202" path="m,l,21600r21600,l21600,xe">
              <v:stroke joinstyle="miter"/>
              <v:path gradientshapeok="t" o:connecttype="rect"/>
            </v:shapetype>
            <v:shape id="MSIPCM13204d62bc9132475cea4457" o:spid="_x0000_s1043" type="#_x0000_t202" alt="{&quot;HashCode&quot;:1186230005,&quot;Height&quot;:792.0,&quot;Width&quot;:612.0,&quot;Placement&quot;:&quot;Footer&quot;,&quot;Index&quot;:&quot;Primary&quot;,&quot;Section&quot;:2,&quot;Top&quot;:0.0,&quot;Left&quot;:0.0}" style="position:absolute;left:0;text-align:left;margin-left:0;margin-top:755.45pt;width:612pt;height:21.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" o:allowincell="f" filled="f" stroked="f">
              <v:textbox inset=",0,,0">
                <w:txbxContent>
                  <w:p w14:paraId="5456AEA8" w14:textId="1C774BA2" w:rsidR="008B0227" w:rsidRPr="00361345" w:rsidRDefault="008B0227" w:rsidP="008B0227">
                    <w:pPr>
                      <w:spacing w:before="0" w:after="0"/>
                      <w:jc w:val="center"/>
                      <w:rPr>
                        <w:rFonts w:ascii="Calibri" w:hAnsi="Calibri" w:cs="Calibri"/>
                        <w:color w:val="FFFFFF" w:themeColor="background1"/>
                      </w:rPr>
                    </w:pPr>
                    <w:r w:rsidRPr="00361345">
                      <w:rPr>
                        <w:rFonts w:ascii="Calibri" w:hAnsi="Calibri" w:cs="Calibri"/>
                        <w:color w:val="FFFFFF" w:themeColor="background1"/>
                      </w:rPr>
                      <w:t>Uso Interno</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9CA4" w14:textId="436DB2A1" w:rsidR="007D2830" w:rsidRDefault="005F680F">
    <w:r>
      <w:rPr>
        <w:noProof/>
      </w:rPr>
      <mc:AlternateContent>
        <mc:Choice Requires="wps">
          <w:drawing>
            <wp:anchor distT="0" distB="0" distL="114300" distR="114300" simplePos="0" relativeHeight="251660800" behindDoc="0" locked="0" layoutInCell="0" allowOverlap="1" wp14:anchorId="626A987D" wp14:editId="4A9BE998">
              <wp:simplePos x="0" y="0"/>
              <wp:positionH relativeFrom="page">
                <wp:posOffset>0</wp:posOffset>
              </wp:positionH>
              <wp:positionV relativeFrom="page">
                <wp:posOffset>9594215</wp:posOffset>
              </wp:positionV>
              <wp:extent cx="7772400" cy="273050"/>
              <wp:effectExtent l="0" t="0" r="0" b="12700"/>
              <wp:wrapNone/>
              <wp:docPr id="1" name="MSIPCMfa2d48348dcb145be17d7868" descr="{&quot;HashCode&quot;:1186230005,&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C69134" w14:textId="28F1C13A" w:rsidR="005F680F" w:rsidRPr="008248E0" w:rsidRDefault="005F680F" w:rsidP="005F680F">
                          <w:pPr>
                            <w:spacing w:before="0" w:after="0"/>
                            <w:jc w:val="center"/>
                            <w:rPr>
                              <w:rFonts w:ascii="Calibri" w:hAnsi="Calibri" w:cs="Calibri"/>
                              <w:color w:val="FFFFFF" w:themeColor="background1"/>
                            </w:rPr>
                          </w:pPr>
                          <w:r w:rsidRPr="008248E0">
                            <w:rPr>
                              <w:rFonts w:ascii="Calibri" w:hAnsi="Calibri" w:cs="Calibri"/>
                              <w:color w:val="FFFFFF" w:themeColor="background1"/>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6A987D" id="_x0000_t202" coordsize="21600,21600" o:spt="202" path="m,l,21600r21600,l21600,xe">
              <v:stroke joinstyle="miter"/>
              <v:path gradientshapeok="t" o:connecttype="rect"/>
            </v:shapetype>
            <v:shape id="MSIPCMfa2d48348dcb145be17d7868" o:spid="_x0000_s1044" type="#_x0000_t202" alt="{&quot;HashCode&quot;:1186230005,&quot;Height&quot;:792.0,&quot;Width&quot;:612.0,&quot;Placement&quot;:&quot;Footer&quot;,&quot;Index&quot;:&quot;Primary&quot;,&quot;Section&quot;:3,&quot;Top&quot;:0.0,&quot;Left&quot;:0.0}" style="position:absolute;left:0;text-align:left;margin-left:0;margin-top:755.45pt;width:612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D5lFeBcCAAArBAAADgAAAAAAAAAAAAAAAAAuAgAAZHJzL2Uyb0RvYy54bWxQSwECLQAUAAYA&#10;CAAAACEA+6YJ0d4AAAALAQAADwAAAAAAAAAAAAAAAABxBAAAZHJzL2Rvd25yZXYueG1sUEsFBgAA&#10;AAAEAAQA8wAAAHwFAAAAAA==&#10;" o:allowincell="f" filled="f" stroked="f" strokeweight=".5pt">
              <v:textbox inset=",0,,0">
                <w:txbxContent>
                  <w:p w14:paraId="6AC69134" w14:textId="28F1C13A" w:rsidR="005F680F" w:rsidRPr="008248E0" w:rsidRDefault="005F680F" w:rsidP="005F680F">
                    <w:pPr>
                      <w:spacing w:before="0" w:after="0"/>
                      <w:jc w:val="center"/>
                      <w:rPr>
                        <w:rFonts w:ascii="Calibri" w:hAnsi="Calibri" w:cs="Calibri"/>
                        <w:color w:val="FFFFFF" w:themeColor="background1"/>
                      </w:rPr>
                    </w:pPr>
                    <w:r w:rsidRPr="008248E0">
                      <w:rPr>
                        <w:rFonts w:ascii="Calibri" w:hAnsi="Calibri" w:cs="Calibri"/>
                        <w:color w:val="FFFFFF" w:themeColor="background1"/>
                      </w:rPr>
                      <w:t>Uso Interno</w:t>
                    </w:r>
                  </w:p>
                </w:txbxContent>
              </v:textbox>
              <w10:wrap anchorx="page" anchory="page"/>
            </v:shape>
          </w:pict>
        </mc:Fallback>
      </mc:AlternateContent>
    </w:r>
  </w:p>
  <w:tbl>
    <w:tblPr>
      <w:tblW w:w="9072" w:type="dxa"/>
      <w:tblCellMar>
        <w:left w:w="0" w:type="dxa"/>
        <w:right w:w="0" w:type="dxa"/>
      </w:tblCellMar>
      <w:tblLook w:val="04A0" w:firstRow="1" w:lastRow="0" w:firstColumn="1" w:lastColumn="0" w:noHBand="0" w:noVBand="1"/>
    </w:tblPr>
    <w:tblGrid>
      <w:gridCol w:w="2728"/>
      <w:gridCol w:w="3793"/>
      <w:gridCol w:w="2551"/>
    </w:tblGrid>
    <w:tr w:rsidR="007D2830" w:rsidRPr="00084F8F" w14:paraId="71423DA3" w14:textId="77777777" w:rsidTr="00574439">
      <w:tc>
        <w:tcPr>
          <w:tcW w:w="2728" w:type="dxa"/>
          <w:tcBorders>
            <w:top w:val="single" w:sz="4" w:space="0" w:color="auto"/>
          </w:tcBorders>
          <w:vAlign w:val="center"/>
        </w:tcPr>
        <w:p w14:paraId="533A05C9" w14:textId="7E241CA7" w:rsidR="007D2830" w:rsidRPr="00084F8F" w:rsidRDefault="007D2830" w:rsidP="006B1048">
          <w:pPr>
            <w:pStyle w:val="Piedepgina"/>
            <w:spacing w:before="60"/>
            <w:jc w:val="left"/>
            <w:rPr>
              <w:rFonts w:ascii="Arial Narrow" w:hAnsi="Arial Narrow"/>
              <w:sz w:val="19"/>
              <w:szCs w:val="19"/>
            </w:rPr>
          </w:pPr>
          <w:r w:rsidRPr="00084F8F">
            <w:rPr>
              <w:rFonts w:ascii="Arial Narrow" w:hAnsi="Arial Narrow"/>
              <w:sz w:val="19"/>
              <w:szCs w:val="19"/>
            </w:rPr>
            <w:t xml:space="preserve">Edición No. </w:t>
          </w:r>
          <w:r w:rsidR="0091559D">
            <w:rPr>
              <w:rFonts w:ascii="Arial Narrow" w:hAnsi="Arial Narrow"/>
              <w:sz w:val="19"/>
              <w:szCs w:val="19"/>
            </w:rPr>
            <w:t>1</w:t>
          </w:r>
        </w:p>
      </w:tc>
      <w:tc>
        <w:tcPr>
          <w:tcW w:w="3793" w:type="dxa"/>
          <w:tcBorders>
            <w:top w:val="single" w:sz="4" w:space="0" w:color="auto"/>
          </w:tcBorders>
          <w:vAlign w:val="center"/>
        </w:tcPr>
        <w:p w14:paraId="73FCD16C" w14:textId="6EF2F92E" w:rsidR="007D2830" w:rsidRPr="00084F8F" w:rsidRDefault="007D2830" w:rsidP="00E543E9">
          <w:pPr>
            <w:pStyle w:val="Piedepgina"/>
            <w:rPr>
              <w:rFonts w:ascii="Arial Narrow" w:hAnsi="Arial Narrow"/>
              <w:sz w:val="19"/>
              <w:szCs w:val="19"/>
            </w:rPr>
          </w:pPr>
          <w:r w:rsidRPr="00084F8F">
            <w:rPr>
              <w:rFonts w:ascii="Arial Narrow" w:hAnsi="Arial Narrow"/>
              <w:sz w:val="19"/>
              <w:szCs w:val="19"/>
            </w:rPr>
            <w:fldChar w:fldCharType="begin"/>
          </w:r>
          <w:r w:rsidRPr="00084F8F">
            <w:rPr>
              <w:rFonts w:ascii="Arial Narrow" w:hAnsi="Arial Narrow"/>
              <w:sz w:val="19"/>
              <w:szCs w:val="19"/>
            </w:rPr>
            <w:instrText xml:space="preserve"> DOCPROPERTY  Confidencialidad  \* MERGEFORMAT </w:instrText>
          </w:r>
          <w:r w:rsidRPr="00084F8F">
            <w:rPr>
              <w:rFonts w:ascii="Arial Narrow" w:hAnsi="Arial Narrow"/>
              <w:sz w:val="19"/>
              <w:szCs w:val="19"/>
            </w:rPr>
            <w:fldChar w:fldCharType="separate"/>
          </w:r>
          <w:r w:rsidR="00FA10A3">
            <w:rPr>
              <w:rFonts w:ascii="Arial Narrow" w:hAnsi="Arial Narrow"/>
              <w:sz w:val="19"/>
              <w:szCs w:val="19"/>
            </w:rPr>
            <w:t>Público</w:t>
          </w:r>
          <w:r w:rsidRPr="00084F8F">
            <w:rPr>
              <w:rFonts w:ascii="Arial Narrow" w:hAnsi="Arial Narrow"/>
              <w:sz w:val="19"/>
              <w:szCs w:val="19"/>
            </w:rPr>
            <w:fldChar w:fldCharType="end"/>
          </w:r>
          <w:r w:rsidRPr="00084F8F">
            <w:rPr>
              <w:rFonts w:ascii="Arial Narrow" w:hAnsi="Arial Narrow"/>
              <w:sz w:val="19"/>
              <w:szCs w:val="19"/>
            </w:rPr>
            <w:t xml:space="preserve"> </w:t>
          </w:r>
          <w:r>
            <w:rPr>
              <w:rFonts w:ascii="Arial Narrow" w:hAnsi="Arial Narrow"/>
              <w:sz w:val="19"/>
              <w:szCs w:val="19"/>
            </w:rPr>
            <w:t xml:space="preserve">- </w:t>
          </w:r>
          <w:r w:rsidRPr="00084F8F">
            <w:rPr>
              <w:rFonts w:ascii="Arial Narrow" w:hAnsi="Arial Narrow"/>
              <w:sz w:val="19"/>
              <w:szCs w:val="19"/>
            </w:rPr>
            <w:t xml:space="preserve">Página No. </w:t>
          </w:r>
          <w:r w:rsidRPr="00084F8F">
            <w:rPr>
              <w:rFonts w:ascii="Arial Narrow" w:hAnsi="Arial Narrow"/>
              <w:sz w:val="19"/>
              <w:szCs w:val="19"/>
            </w:rPr>
            <w:fldChar w:fldCharType="begin"/>
          </w:r>
          <w:r w:rsidRPr="00084F8F">
            <w:rPr>
              <w:rFonts w:ascii="Arial Narrow" w:hAnsi="Arial Narrow"/>
              <w:sz w:val="19"/>
              <w:szCs w:val="19"/>
            </w:rPr>
            <w:instrText xml:space="preserve"> PAGE </w:instrText>
          </w:r>
          <w:r w:rsidRPr="00084F8F">
            <w:rPr>
              <w:rFonts w:ascii="Arial Narrow" w:hAnsi="Arial Narrow"/>
              <w:sz w:val="19"/>
              <w:szCs w:val="19"/>
            </w:rPr>
            <w:fldChar w:fldCharType="separate"/>
          </w:r>
          <w:r>
            <w:rPr>
              <w:rFonts w:ascii="Arial Narrow" w:hAnsi="Arial Narrow"/>
              <w:sz w:val="19"/>
              <w:szCs w:val="19"/>
            </w:rPr>
            <w:t>13</w:t>
          </w:r>
          <w:r w:rsidRPr="00084F8F">
            <w:rPr>
              <w:rFonts w:ascii="Arial Narrow" w:hAnsi="Arial Narrow"/>
              <w:sz w:val="19"/>
              <w:szCs w:val="19"/>
            </w:rPr>
            <w:fldChar w:fldCharType="end"/>
          </w:r>
        </w:p>
      </w:tc>
      <w:tc>
        <w:tcPr>
          <w:tcW w:w="2551" w:type="dxa"/>
          <w:tcBorders>
            <w:top w:val="single" w:sz="4" w:space="0" w:color="auto"/>
          </w:tcBorders>
          <w:vAlign w:val="center"/>
        </w:tcPr>
        <w:p w14:paraId="44FB2188" w14:textId="14B27364" w:rsidR="007D2830" w:rsidRPr="00084F8F" w:rsidRDefault="007D2830" w:rsidP="006D0BB5">
          <w:pPr>
            <w:pStyle w:val="Piedepgina"/>
            <w:ind w:left="8"/>
            <w:jc w:val="right"/>
            <w:rPr>
              <w:rFonts w:ascii="Arial Narrow" w:hAnsi="Arial Narrow"/>
              <w:sz w:val="19"/>
              <w:szCs w:val="19"/>
            </w:rPr>
          </w:pPr>
          <w:r>
            <w:rPr>
              <w:rFonts w:ascii="Arial Narrow" w:hAnsi="Arial Narrow"/>
              <w:sz w:val="19"/>
              <w:szCs w:val="19"/>
            </w:rPr>
            <w:t>Vi</w:t>
          </w:r>
          <w:r w:rsidRPr="00084F8F">
            <w:rPr>
              <w:rFonts w:ascii="Arial Narrow" w:hAnsi="Arial Narrow"/>
              <w:sz w:val="19"/>
              <w:szCs w:val="19"/>
            </w:rPr>
            <w:t>gencia</w:t>
          </w:r>
          <w:r>
            <w:rPr>
              <w:rFonts w:ascii="Arial Narrow" w:hAnsi="Arial Narrow"/>
              <w:sz w:val="19"/>
              <w:szCs w:val="19"/>
            </w:rPr>
            <w:t xml:space="preserve">: </w:t>
          </w:r>
          <w:r w:rsidR="0091559D">
            <w:rPr>
              <w:rFonts w:ascii="Arial Narrow" w:hAnsi="Arial Narrow"/>
              <w:sz w:val="19"/>
              <w:szCs w:val="19"/>
            </w:rPr>
            <w:t>12</w:t>
          </w:r>
          <w:r w:rsidR="00286898">
            <w:rPr>
              <w:rFonts w:ascii="Arial Narrow" w:hAnsi="Arial Narrow"/>
              <w:sz w:val="19"/>
              <w:szCs w:val="19"/>
            </w:rPr>
            <w:t xml:space="preserve"> de </w:t>
          </w:r>
          <w:r w:rsidR="0091559D">
            <w:rPr>
              <w:rFonts w:ascii="Arial Narrow" w:hAnsi="Arial Narrow"/>
              <w:sz w:val="19"/>
              <w:szCs w:val="19"/>
            </w:rPr>
            <w:t xml:space="preserve">diciembre </w:t>
          </w:r>
          <w:r w:rsidR="00286898">
            <w:rPr>
              <w:rFonts w:ascii="Arial Narrow" w:hAnsi="Arial Narrow"/>
              <w:sz w:val="19"/>
              <w:szCs w:val="19"/>
            </w:rPr>
            <w:t xml:space="preserve">del </w:t>
          </w:r>
          <w:r>
            <w:rPr>
              <w:rFonts w:ascii="Arial Narrow" w:hAnsi="Arial Narrow"/>
              <w:sz w:val="19"/>
              <w:szCs w:val="19"/>
            </w:rPr>
            <w:t>202</w:t>
          </w:r>
          <w:r w:rsidR="0091559D">
            <w:rPr>
              <w:rFonts w:ascii="Arial Narrow" w:hAnsi="Arial Narrow"/>
              <w:sz w:val="19"/>
              <w:szCs w:val="19"/>
            </w:rPr>
            <w:t>5</w:t>
          </w:r>
        </w:p>
      </w:tc>
    </w:tr>
    <w:tr w:rsidR="007D2830" w:rsidRPr="00084F8F" w14:paraId="052EF97C" w14:textId="77777777" w:rsidTr="00574439">
      <w:tc>
        <w:tcPr>
          <w:tcW w:w="2728" w:type="dxa"/>
          <w:vAlign w:val="center"/>
        </w:tcPr>
        <w:p w14:paraId="15439140" w14:textId="77777777" w:rsidR="007D2830" w:rsidRPr="00084F8F" w:rsidRDefault="007D2830" w:rsidP="002A278F">
          <w:pPr>
            <w:pStyle w:val="Piedepgina"/>
            <w:tabs>
              <w:tab w:val="clear" w:pos="8838"/>
            </w:tabs>
            <w:rPr>
              <w:rFonts w:ascii="Arial Narrow" w:hAnsi="Arial Narrow"/>
              <w:sz w:val="19"/>
              <w:szCs w:val="19"/>
            </w:rPr>
          </w:pPr>
        </w:p>
      </w:tc>
      <w:tc>
        <w:tcPr>
          <w:tcW w:w="3793" w:type="dxa"/>
          <w:vAlign w:val="center"/>
        </w:tcPr>
        <w:p w14:paraId="5C28019D" w14:textId="01E7272E" w:rsidR="007D2830" w:rsidRPr="00084F8F" w:rsidRDefault="007D2830" w:rsidP="00ED3BE1">
          <w:pPr>
            <w:pStyle w:val="Piedepgina"/>
            <w:rPr>
              <w:rFonts w:ascii="Arial Narrow" w:hAnsi="Arial Narrow"/>
              <w:sz w:val="19"/>
              <w:szCs w:val="19"/>
            </w:rPr>
          </w:pPr>
        </w:p>
      </w:tc>
      <w:tc>
        <w:tcPr>
          <w:tcW w:w="2551" w:type="dxa"/>
          <w:vAlign w:val="center"/>
        </w:tcPr>
        <w:p w14:paraId="05D2DB2D" w14:textId="77777777" w:rsidR="007D2830" w:rsidRPr="00084F8F" w:rsidRDefault="007D2830" w:rsidP="00ED3BE1">
          <w:pPr>
            <w:pStyle w:val="Piedepgina"/>
            <w:rPr>
              <w:rFonts w:ascii="Arial Narrow" w:hAnsi="Arial Narrow"/>
              <w:sz w:val="19"/>
              <w:szCs w:val="19"/>
            </w:rPr>
          </w:pPr>
        </w:p>
      </w:tc>
    </w:tr>
  </w:tbl>
  <w:p w14:paraId="7625BCFF" w14:textId="77777777" w:rsidR="007D2830" w:rsidRPr="00512B3F" w:rsidRDefault="007D2830" w:rsidP="00ED3BE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63EC" w14:textId="77777777" w:rsidR="007D2830" w:rsidRDefault="007D2830">
    <w:r>
      <w:t>Edición No. 1</w:t>
    </w:r>
  </w:p>
  <w:p w14:paraId="07594DAC" w14:textId="596BA72A" w:rsidR="007D2830" w:rsidRDefault="007D2830">
    <w:r>
      <w:t xml:space="preserve">Fecha de impresión </w:t>
    </w:r>
    <w:r>
      <w:fldChar w:fldCharType="begin"/>
    </w:r>
    <w:r>
      <w:instrText xml:space="preserve"> PRINTDATE \@ "dd/MM/yyyy h:mm am/pm" </w:instrText>
    </w:r>
    <w:r>
      <w:fldChar w:fldCharType="separate"/>
    </w:r>
    <w:r w:rsidR="00FA10A3">
      <w:rPr>
        <w:noProof/>
      </w:rPr>
      <w:t>21/07/2015 10:09 a. m.</w:t>
    </w:r>
    <w:r>
      <w:fldChar w:fldCharType="end"/>
    </w:r>
  </w:p>
  <w:p w14:paraId="0805798F" w14:textId="77777777" w:rsidR="007D2830" w:rsidRDefault="007D2830">
    <w:r>
      <w:t xml:space="preserve">Página </w:t>
    </w:r>
    <w:r>
      <w:fldChar w:fldCharType="begin"/>
    </w:r>
    <w:r>
      <w:instrText xml:space="preserve"> PAGE </w:instrText>
    </w:r>
    <w:r>
      <w:fldChar w:fldCharType="separate"/>
    </w:r>
    <w:r w:rsidRPr="009C59FE">
      <w:t>5</w:t>
    </w:r>
    <w:r>
      <w:fldChar w:fldCharType="end"/>
    </w:r>
    <w:r>
      <w:t xml:space="preserve"> de </w:t>
    </w:r>
    <w:r>
      <w:fldChar w:fldCharType="begin"/>
    </w:r>
    <w:r>
      <w:instrText xml:space="preserve"> NUMPAGES </w:instrText>
    </w:r>
    <w:r>
      <w:fldChar w:fldCharType="separate"/>
    </w:r>
    <w:r>
      <w:rPr>
        <w:noProof/>
      </w:rPr>
      <w:t>1</w:t>
    </w:r>
    <w:r>
      <w:rPr>
        <w:noProof/>
      </w:rPr>
      <w:fldChar w:fldCharType="end"/>
    </w:r>
  </w:p>
  <w:p w14:paraId="55150DA8" w14:textId="77777777" w:rsidR="007D2830" w:rsidRDefault="007D2830"/>
  <w:p w14:paraId="23B9D467" w14:textId="77777777" w:rsidR="007D2830" w:rsidRDefault="007D28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810E8" w14:textId="77777777" w:rsidR="00EB0A0B" w:rsidRPr="00877B7D" w:rsidRDefault="00EB0A0B" w:rsidP="00877B7D">
      <w:r>
        <w:separator/>
      </w:r>
    </w:p>
  </w:footnote>
  <w:footnote w:type="continuationSeparator" w:id="0">
    <w:p w14:paraId="5CE5A5D6" w14:textId="77777777" w:rsidR="00EB0A0B" w:rsidRPr="00877B7D" w:rsidRDefault="00EB0A0B" w:rsidP="00877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21422" w14:textId="58ED0AD7" w:rsidR="007D2830" w:rsidRDefault="00277D70" w:rsidP="00ED3BE1">
    <w:r>
      <w:rPr>
        <w:noProof/>
      </w:rPr>
      <mc:AlternateContent>
        <mc:Choice Requires="wps">
          <w:drawing>
            <wp:anchor distT="0" distB="0" distL="114300" distR="114300" simplePos="0" relativeHeight="251654656" behindDoc="0" locked="0" layoutInCell="1" allowOverlap="1" wp14:anchorId="472F0A83" wp14:editId="354CA89B">
              <wp:simplePos x="0" y="0"/>
              <wp:positionH relativeFrom="column">
                <wp:posOffset>960120</wp:posOffset>
              </wp:positionH>
              <wp:positionV relativeFrom="paragraph">
                <wp:posOffset>-407035</wp:posOffset>
              </wp:positionV>
              <wp:extent cx="119380" cy="45720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5560F" id="Rectangle 1" o:spid="_x0000_s1026" style="position:absolute;margin-left:75.6pt;margin-top:-32.05pt;width:9.4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&#1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4FB38" w14:textId="028C7EB4" w:rsidR="007D2830" w:rsidRPr="00D03B7F" w:rsidRDefault="00AF14DA" w:rsidP="00080C02">
    <w:r w:rsidRPr="00AF14DA">
      <w:rPr>
        <w:noProof/>
      </w:rPr>
      <w:drawing>
        <wp:anchor distT="0" distB="0" distL="114300" distR="114300" simplePos="0" relativeHeight="251670016" behindDoc="1" locked="0" layoutInCell="1" allowOverlap="1" wp14:anchorId="62E583A6" wp14:editId="57627DDA">
          <wp:simplePos x="0" y="0"/>
          <wp:positionH relativeFrom="leftMargin">
            <wp:posOffset>429853</wp:posOffset>
          </wp:positionH>
          <wp:positionV relativeFrom="paragraph">
            <wp:posOffset>-418465</wp:posOffset>
          </wp:positionV>
          <wp:extent cx="882650" cy="455930"/>
          <wp:effectExtent l="38100" t="38100" r="31750" b="96520"/>
          <wp:wrapTight wrapText="bothSides">
            <wp:wrapPolygon edited="0">
              <wp:start x="-932" y="-1805"/>
              <wp:lineTo x="2331" y="14440"/>
              <wp:lineTo x="3729" y="25270"/>
              <wp:lineTo x="8391" y="25270"/>
              <wp:lineTo x="8858" y="23465"/>
              <wp:lineTo x="18181" y="14440"/>
              <wp:lineTo x="21911" y="-1805"/>
              <wp:lineTo x="-932" y="-1805"/>
            </wp:wrapPolygon>
          </wp:wrapTight>
          <wp:docPr id="1511089743" name="Imagen 7" descr="Logotipo, nombre de la empresa&#10;&#10;El contenido generado por IA puede ser incorrecto.">
            <a:extLst xmlns:a="http://schemas.openxmlformats.org/drawingml/2006/main">
              <a:ext uri="{FF2B5EF4-FFF2-40B4-BE49-F238E27FC236}">
                <a16:creationId xmlns:a16="http://schemas.microsoft.com/office/drawing/2014/main" id="{D2FFAE06-6F58-475C-825C-A6F3C45FC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89743" name="Imagen 7" descr="Logotipo, nombre de la empresa&#10;&#10;El contenido generado por IA puede ser incorrecto.">
                    <a:extLst>
                      <a:ext uri="{FF2B5EF4-FFF2-40B4-BE49-F238E27FC236}">
                        <a16:creationId xmlns:a16="http://schemas.microsoft.com/office/drawing/2014/main" id="{D2FFAE06-6F58-475C-825C-A6F3C45FCECC}"/>
                      </a:ext>
                    </a:extLst>
                  </pic:cNvPr>
                  <pic:cNvPicPr>
                    <a:picLocks noChangeAspect="1"/>
                  </pic:cNvPicPr>
                </pic:nvPicPr>
                <pic:blipFill rotWithShape="1">
                  <a:blip r:embed="rId1">
                    <a:clrChange>
                      <a:clrFrom>
                        <a:srgbClr val="000000"/>
                      </a:clrFrom>
                      <a:clrTo>
                        <a:srgbClr val="000000">
                          <a:alpha val="0"/>
                        </a:srgbClr>
                      </a:clrTo>
                    </a:clrChange>
                    <a:lum bright="70000" contrast="-70000"/>
                    <a:extLst>
                      <a:ext uri="{28A0092B-C50C-407E-A947-70E740481C1C}">
                        <a14:useLocalDpi xmlns:a14="http://schemas.microsoft.com/office/drawing/2010/main" val="0"/>
                      </a:ext>
                    </a:extLst>
                  </a:blip>
                  <a:srcRect t="11033" b="15517"/>
                  <a:stretch/>
                </pic:blipFill>
                <pic:spPr>
                  <a:xfrm>
                    <a:off x="0" y="0"/>
                    <a:ext cx="882650" cy="4559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77D70">
      <w:rPr>
        <w:noProof/>
      </w:rPr>
      <mc:AlternateContent>
        <mc:Choice Requires="wps">
          <w:drawing>
            <wp:anchor distT="0" distB="0" distL="114300" distR="114300" simplePos="0" relativeHeight="251650560" behindDoc="0" locked="1" layoutInCell="1" allowOverlap="1" wp14:anchorId="72B32FDC" wp14:editId="265828C3">
              <wp:simplePos x="0" y="0"/>
              <wp:positionH relativeFrom="column">
                <wp:posOffset>565150</wp:posOffset>
              </wp:positionH>
              <wp:positionV relativeFrom="paragraph">
                <wp:posOffset>-237490</wp:posOffset>
              </wp:positionV>
              <wp:extent cx="5305425" cy="228600"/>
              <wp:effectExtent l="0" t="0" r="0" b="0"/>
              <wp:wrapNone/>
              <wp:docPr id="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3CD2" w14:textId="7B3725CF" w:rsidR="007D2830" w:rsidRPr="00361345" w:rsidRDefault="007D2830" w:rsidP="002A278F">
                          <w:pPr>
                            <w:pStyle w:val="Encabezado"/>
                            <w:jc w:val="right"/>
                            <w:rPr>
                              <w:color w:val="D9E2F3" w:themeColor="accent1" w:themeTint="33"/>
                            </w:rPr>
                          </w:pPr>
                          <w:r w:rsidRPr="00361345">
                            <w:rPr>
                              <w:color w:val="D9E2F3" w:themeColor="accent1" w:themeTint="33"/>
                            </w:rPr>
                            <w:t xml:space="preserve">Norma </w:t>
                          </w:r>
                          <w:r w:rsidR="007C189E" w:rsidRPr="00361345">
                            <w:rPr>
                              <w:color w:val="D9E2F3" w:themeColor="accent1" w:themeTint="33"/>
                            </w:rPr>
                            <w:t xml:space="preserve">Complementaria </w:t>
                          </w:r>
                          <w:r w:rsidR="00AF467B" w:rsidRPr="00361345">
                            <w:rPr>
                              <w:color w:val="D9E2F3" w:themeColor="accent1" w:themeTint="33"/>
                            </w:rPr>
                            <w:t>SINPE-TP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32FDC" id="_x0000_t202" coordsize="21600,21600" o:spt="202" path="m,l,21600r21600,l21600,xe">
              <v:stroke joinstyle="miter"/>
              <v:path gradientshapeok="t" o:connecttype="rect"/>
            </v:shapetype>
            <v:shape id="Cuadro de texto 5" o:spid="_x0000_s1041" type="#_x0000_t202" style="position:absolute;left:0;text-align:left;margin-left:44.5pt;margin-top:-18.7pt;width:417.7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" filled="f" stroked="f">
              <v:textbox>
                <w:txbxContent>
                  <w:p w14:paraId="060C3CD2" w14:textId="7B3725CF" w:rsidR="007D2830" w:rsidRPr="00361345" w:rsidRDefault="007D2830" w:rsidP="002A278F">
                    <w:pPr>
                      <w:pStyle w:val="Encabezado"/>
                      <w:jc w:val="right"/>
                      <w:rPr>
                        <w:color w:val="D9E2F3" w:themeColor="accent1" w:themeTint="33"/>
                      </w:rPr>
                    </w:pPr>
                    <w:r w:rsidRPr="00361345">
                      <w:rPr>
                        <w:color w:val="D9E2F3" w:themeColor="accent1" w:themeTint="33"/>
                      </w:rPr>
                      <w:t xml:space="preserve">Norma </w:t>
                    </w:r>
                    <w:r w:rsidR="007C189E" w:rsidRPr="00361345">
                      <w:rPr>
                        <w:color w:val="D9E2F3" w:themeColor="accent1" w:themeTint="33"/>
                      </w:rPr>
                      <w:t xml:space="preserve">Complementaria </w:t>
                    </w:r>
                    <w:r w:rsidR="00AF467B" w:rsidRPr="00361345">
                      <w:rPr>
                        <w:color w:val="D9E2F3" w:themeColor="accent1" w:themeTint="33"/>
                      </w:rPr>
                      <w:t>SINPE-TP</w:t>
                    </w:r>
                  </w:p>
                </w:txbxContent>
              </v:textbox>
              <w10:anchorlock/>
            </v:shape>
          </w:pict>
        </mc:Fallback>
      </mc:AlternateContent>
    </w:r>
    <w:r w:rsidR="00277D70">
      <w:rPr>
        <w:noProof/>
      </w:rPr>
      <mc:AlternateContent>
        <mc:Choice Requires="wps">
          <w:drawing>
            <wp:anchor distT="0" distB="0" distL="114300" distR="114300" simplePos="0" relativeHeight="251647488" behindDoc="0" locked="1" layoutInCell="1" allowOverlap="1" wp14:anchorId="5F3FF6D1" wp14:editId="48CDCE2A">
              <wp:simplePos x="0" y="0"/>
              <wp:positionH relativeFrom="column">
                <wp:posOffset>438150</wp:posOffset>
              </wp:positionH>
              <wp:positionV relativeFrom="paragraph">
                <wp:posOffset>-374650</wp:posOffset>
              </wp:positionV>
              <wp:extent cx="119380" cy="457200"/>
              <wp:effectExtent l="0" t="0" r="0" b="0"/>
              <wp:wrapNone/>
              <wp:docPr id="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882D" id="Rectángulo 4" o:spid="_x0000_s1026" style="position:absolute;margin-left:34.5pt;margin-top:-29.5pt;width:9.4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" stroked="f">
              <w10:anchorlock/>
            </v:rect>
          </w:pict>
        </mc:Fallback>
      </mc:AlternateContent>
    </w:r>
    <w:r w:rsidR="00277D70">
      <w:rPr>
        <w:noProof/>
      </w:rPr>
      <mc:AlternateContent>
        <mc:Choice Requires="wps">
          <w:drawing>
            <wp:anchor distT="0" distB="0" distL="114300" distR="114300" simplePos="0" relativeHeight="251653632" behindDoc="0" locked="1" layoutInCell="1" allowOverlap="1" wp14:anchorId="33EC9F58" wp14:editId="725C4AA1">
              <wp:simplePos x="0" y="0"/>
              <wp:positionH relativeFrom="column">
                <wp:posOffset>438150</wp:posOffset>
              </wp:positionH>
              <wp:positionV relativeFrom="paragraph">
                <wp:posOffset>-469900</wp:posOffset>
              </wp:positionV>
              <wp:extent cx="119380" cy="457200"/>
              <wp:effectExtent l="0" t="0" r="0" b="0"/>
              <wp:wrapNone/>
              <wp:docPr id="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FD3E8" id="Rectángulo 4" o:spid="_x0000_s1026" style="position:absolute;margin-left:34.5pt;margin-top:-37pt;width:9.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" stroked="f">
              <w10:anchorlock/>
            </v:rect>
          </w:pict>
        </mc:Fallback>
      </mc:AlternateContent>
    </w:r>
    <w:r w:rsidR="00277D70">
      <w:rPr>
        <w:noProof/>
      </w:rPr>
      <mc:AlternateContent>
        <mc:Choice Requires="wps">
          <w:drawing>
            <wp:anchor distT="0" distB="0" distL="114300" distR="114300" simplePos="0" relativeHeight="251656704" behindDoc="0" locked="1" layoutInCell="1" allowOverlap="1" wp14:anchorId="17A9D0A2" wp14:editId="272A0D75">
              <wp:simplePos x="0" y="0"/>
              <wp:positionH relativeFrom="column">
                <wp:posOffset>-412750</wp:posOffset>
              </wp:positionH>
              <wp:positionV relativeFrom="paragraph">
                <wp:posOffset>-374650</wp:posOffset>
              </wp:positionV>
              <wp:extent cx="660400" cy="356235"/>
              <wp:effectExtent l="0" t="0" r="0" b="0"/>
              <wp:wrapNone/>
              <wp:docPr id="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C6D6E" w14:textId="6F113789" w:rsidR="007D2830" w:rsidRPr="00E2476F" w:rsidRDefault="007D2830" w:rsidP="0081578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D0A2" id="Cuadro de texto 3" o:spid="_x0000_s1042" type="#_x0000_t202" style="position:absolute;left:0;text-align:left;margin-left:-32.5pt;margin-top:-29.5pt;width:52pt;height:28.0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" filled="f" stroked="f">
              <v:textbox>
                <w:txbxContent>
                  <w:p w14:paraId="145C6D6E" w14:textId="6F113789" w:rsidR="007D2830" w:rsidRPr="00E2476F" w:rsidRDefault="007D2830" w:rsidP="00815781"/>
                </w:txbxContent>
              </v:textbox>
              <w10:anchorlock/>
            </v:shape>
          </w:pict>
        </mc:Fallback>
      </mc:AlternateContent>
    </w:r>
    <w:r w:rsidR="00277D70">
      <w:rPr>
        <w:noProof/>
      </w:rPr>
      <mc:AlternateContent>
        <mc:Choice Requires="wps">
          <w:drawing>
            <wp:anchor distT="0" distB="0" distL="114300" distR="114300" simplePos="0" relativeHeight="251666944" behindDoc="1" locked="1" layoutInCell="1" allowOverlap="1" wp14:anchorId="68B58C46" wp14:editId="5C83A2D5">
              <wp:simplePos x="0" y="0"/>
              <wp:positionH relativeFrom="column">
                <wp:posOffset>-2682240</wp:posOffset>
              </wp:positionH>
              <wp:positionV relativeFrom="paragraph">
                <wp:posOffset>-521335</wp:posOffset>
              </wp:positionV>
              <wp:extent cx="10584180" cy="594360"/>
              <wp:effectExtent l="0" t="0" r="7620" b="0"/>
              <wp:wrapNone/>
              <wp:docPr id="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4180" cy="594360"/>
                      </a:xfrm>
                      <a:prstGeom prst="rect">
                        <a:avLst/>
                      </a:prstGeom>
                      <a:solidFill>
                        <a:schemeClr val="accent1">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4B32E" id="Rectángulo 1" o:spid="_x0000_s1026" style="position:absolute;margin-left:-211.2pt;margin-top:-41.05pt;width:833.4pt;height:46.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" fillcolor="#2f5496 [2404]" stroked="f">
              <w10:anchorlock/>
            </v:rect>
          </w:pict>
        </mc:Fallback>
      </mc:AlternateContent>
    </w:r>
    <w:r w:rsidR="00277D70">
      <w:rPr>
        <w:noProof/>
      </w:rPr>
      <mc:AlternateContent>
        <mc:Choice Requires="wps">
          <w:drawing>
            <wp:anchor distT="0" distB="0" distL="114300" distR="114300" simplePos="0" relativeHeight="251663872" behindDoc="1" locked="1" layoutInCell="1" allowOverlap="1" wp14:anchorId="17D346D4" wp14:editId="5C3E0014">
              <wp:simplePos x="0" y="0"/>
              <wp:positionH relativeFrom="column">
                <wp:posOffset>-2682240</wp:posOffset>
              </wp:positionH>
              <wp:positionV relativeFrom="paragraph">
                <wp:posOffset>-521335</wp:posOffset>
              </wp:positionV>
              <wp:extent cx="10584180" cy="594360"/>
              <wp:effectExtent l="0" t="0" r="0" b="0"/>
              <wp:wrapNone/>
              <wp:docPr id="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4180" cy="594360"/>
                      </a:xfrm>
                      <a:prstGeom prst="rect">
                        <a:avLst/>
                      </a:prstGeom>
                      <a:solidFill>
                        <a:srgbClr val="1C4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5B7DF" id="Rectángulo 1" o:spid="_x0000_s1026" style="position:absolute;margin-left:-211.2pt;margin-top:-41.05pt;width:833.4pt;height:46.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" fillcolor="#1c4598" stroked="f">
              <w10:anchorlock/>
            </v:rect>
          </w:pict>
        </mc:Fallback>
      </mc:AlternateContent>
    </w:r>
  </w:p>
  <w:p w14:paraId="52064B9D" w14:textId="77777777" w:rsidR="007D2830" w:rsidRPr="007B33FF" w:rsidRDefault="007D2830" w:rsidP="00ED3BE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75C2" w14:textId="77777777" w:rsidR="007D2830" w:rsidRDefault="007D28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4E0EC4E"/>
    <w:lvl w:ilvl="0">
      <w:start w:val="1"/>
      <w:numFmt w:val="decimal"/>
      <w:pStyle w:val="Listaconnmeros2"/>
      <w:lvlText w:val="%1."/>
      <w:lvlJc w:val="left"/>
      <w:pPr>
        <w:tabs>
          <w:tab w:val="num" w:pos="643"/>
        </w:tabs>
        <w:ind w:left="643" w:hanging="360"/>
      </w:pPr>
    </w:lvl>
  </w:abstractNum>
  <w:abstractNum w:abstractNumId="1" w15:restartNumberingAfterBreak="0">
    <w:nsid w:val="086661C7"/>
    <w:multiLevelType w:val="hybridMultilevel"/>
    <w:tmpl w:val="A39C4708"/>
    <w:lvl w:ilvl="0" w:tplc="4DB690F0">
      <w:start w:val="1"/>
      <w:numFmt w:val="lowerLetter"/>
      <w:lvlText w:val="%1)"/>
      <w:lvlJc w:val="left"/>
      <w:pPr>
        <w:tabs>
          <w:tab w:val="num" w:pos="737"/>
        </w:tabs>
        <w:ind w:left="737" w:hanging="340"/>
      </w:pPr>
      <w:rPr>
        <w:rFonts w:ascii="Arial" w:hAnsi="Arial" w:hint="default"/>
        <w:b w:val="0"/>
        <w:i w:val="0"/>
        <w:caps w:val="0"/>
        <w:strike w:val="0"/>
        <w:dstrike w:val="0"/>
        <w:vanish w:val="0"/>
        <w:color w:val="auto"/>
        <w:sz w:val="20"/>
        <w:szCs w:val="20"/>
        <w:u w:val="none"/>
        <w:vertAlign w:val="baseline"/>
      </w:rPr>
    </w:lvl>
    <w:lvl w:ilvl="1" w:tplc="140A0019">
      <w:start w:val="1"/>
      <w:numFmt w:val="lowerLetter"/>
      <w:lvlText w:val="%2."/>
      <w:lvlJc w:val="left"/>
      <w:pPr>
        <w:ind w:left="2131" w:hanging="360"/>
      </w:pPr>
    </w:lvl>
    <w:lvl w:ilvl="2" w:tplc="140A001B" w:tentative="1">
      <w:start w:val="1"/>
      <w:numFmt w:val="lowerRoman"/>
      <w:lvlText w:val="%3."/>
      <w:lvlJc w:val="right"/>
      <w:pPr>
        <w:ind w:left="2851" w:hanging="180"/>
      </w:pPr>
    </w:lvl>
    <w:lvl w:ilvl="3" w:tplc="140A000F" w:tentative="1">
      <w:start w:val="1"/>
      <w:numFmt w:val="decimal"/>
      <w:lvlText w:val="%4."/>
      <w:lvlJc w:val="left"/>
      <w:pPr>
        <w:ind w:left="3571" w:hanging="360"/>
      </w:pPr>
    </w:lvl>
    <w:lvl w:ilvl="4" w:tplc="140A0019" w:tentative="1">
      <w:start w:val="1"/>
      <w:numFmt w:val="lowerLetter"/>
      <w:lvlText w:val="%5."/>
      <w:lvlJc w:val="left"/>
      <w:pPr>
        <w:ind w:left="4291" w:hanging="360"/>
      </w:pPr>
    </w:lvl>
    <w:lvl w:ilvl="5" w:tplc="140A001B" w:tentative="1">
      <w:start w:val="1"/>
      <w:numFmt w:val="lowerRoman"/>
      <w:lvlText w:val="%6."/>
      <w:lvlJc w:val="right"/>
      <w:pPr>
        <w:ind w:left="5011" w:hanging="180"/>
      </w:pPr>
    </w:lvl>
    <w:lvl w:ilvl="6" w:tplc="140A000F" w:tentative="1">
      <w:start w:val="1"/>
      <w:numFmt w:val="decimal"/>
      <w:lvlText w:val="%7."/>
      <w:lvlJc w:val="left"/>
      <w:pPr>
        <w:ind w:left="5731" w:hanging="360"/>
      </w:pPr>
    </w:lvl>
    <w:lvl w:ilvl="7" w:tplc="140A0019" w:tentative="1">
      <w:start w:val="1"/>
      <w:numFmt w:val="lowerLetter"/>
      <w:lvlText w:val="%8."/>
      <w:lvlJc w:val="left"/>
      <w:pPr>
        <w:ind w:left="6451" w:hanging="360"/>
      </w:pPr>
    </w:lvl>
    <w:lvl w:ilvl="8" w:tplc="140A001B" w:tentative="1">
      <w:start w:val="1"/>
      <w:numFmt w:val="lowerRoman"/>
      <w:lvlText w:val="%9."/>
      <w:lvlJc w:val="right"/>
      <w:pPr>
        <w:ind w:left="7171" w:hanging="180"/>
      </w:pPr>
    </w:lvl>
  </w:abstractNum>
  <w:abstractNum w:abstractNumId="2" w15:restartNumberingAfterBreak="0">
    <w:nsid w:val="11470544"/>
    <w:multiLevelType w:val="multilevel"/>
    <w:tmpl w:val="1B6A1EAA"/>
    <w:lvl w:ilvl="0">
      <w:start w:val="1"/>
      <w:numFmt w:val="decimal"/>
      <w:pStyle w:val="ListaNivel3"/>
      <w:lvlText w:val="%1."/>
      <w:lvlJc w:val="left"/>
      <w:pPr>
        <w:tabs>
          <w:tab w:val="num" w:pos="340"/>
        </w:tabs>
        <w:ind w:left="340" w:hanging="340"/>
      </w:pPr>
      <w:rPr>
        <w:rFonts w:ascii="Arial" w:hAnsi="Arial" w:cs="Times New Roman" w:hint="default"/>
        <w:b/>
        <w:bCs w:val="0"/>
        <w:i w:val="0"/>
        <w:iCs w:val="0"/>
        <w:caps w:val="0"/>
        <w:smallCaps w:val="0"/>
        <w:strike w:val="0"/>
        <w:dstrike w:val="0"/>
        <w:snapToGrid w:val="0"/>
        <w:vanish w:val="0"/>
        <w:color w:val="auto"/>
        <w:spacing w:val="0"/>
        <w:kern w:val="0"/>
        <w:position w:val="0"/>
        <w:sz w:val="24"/>
        <w:szCs w:val="24"/>
        <w:u w:val="none"/>
        <w:effect w:val="none"/>
        <w:vertAlign w:val="baseline"/>
        <w:em w:val="none"/>
        <w:lang w:val="es-CR"/>
      </w:rPr>
    </w:lvl>
    <w:lvl w:ilvl="1">
      <w:start w:val="1"/>
      <w:numFmt w:val="decimal"/>
      <w:lvlText w:val="%1.%2."/>
      <w:lvlJc w:val="left"/>
      <w:pPr>
        <w:tabs>
          <w:tab w:val="num" w:pos="510"/>
        </w:tabs>
        <w:ind w:left="510" w:hanging="510"/>
      </w:pPr>
      <w:rPr>
        <w:rFonts w:ascii="Arial" w:hAnsi="Arial" w:cs="Times New Roman" w:hint="default"/>
        <w:b/>
        <w:bCs w:val="0"/>
        <w:i w:val="0"/>
        <w:iCs w:val="0"/>
        <w:caps w:val="0"/>
        <w:strike w:val="0"/>
        <w:dstrike w:val="0"/>
        <w:snapToGrid w:val="0"/>
        <w:vanish w:val="0"/>
        <w:color w:val="auto"/>
        <w:spacing w:val="0"/>
        <w:kern w:val="0"/>
        <w:position w:val="0"/>
        <w:sz w:val="22"/>
        <w:szCs w:val="22"/>
        <w:u w:val="none"/>
        <w:vertAlign w:val="baseline"/>
        <w:em w:val="none"/>
      </w:rPr>
    </w:lvl>
    <w:lvl w:ilvl="2">
      <w:start w:val="1"/>
      <w:numFmt w:val="decimal"/>
      <w:lvlText w:val="%1.%2.%3."/>
      <w:lvlJc w:val="left"/>
      <w:pPr>
        <w:tabs>
          <w:tab w:val="num" w:pos="624"/>
        </w:tabs>
        <w:ind w:left="624" w:hanging="624"/>
      </w:pPr>
      <w:rPr>
        <w:rFonts w:ascii="Arial" w:hAnsi="Arial" w:cs="Times New Roman" w:hint="default"/>
        <w:b/>
        <w:bCs w:val="0"/>
        <w:i w:val="0"/>
        <w:iCs w:val="0"/>
        <w:caps w:val="0"/>
        <w:strike w:val="0"/>
        <w:dstrike w:val="0"/>
        <w:snapToGrid w:val="0"/>
        <w:vanish w:val="0"/>
        <w:color w:val="auto"/>
        <w:spacing w:val="0"/>
        <w:kern w:val="0"/>
        <w:position w:val="0"/>
        <w:sz w:val="20"/>
        <w:szCs w:val="20"/>
        <w:u w:val="none"/>
        <w:vertAlign w:val="baseline"/>
        <w:em w:val="none"/>
      </w:rPr>
    </w:lvl>
    <w:lvl w:ilvl="3">
      <w:start w:val="1"/>
      <w:numFmt w:val="decimal"/>
      <w:lvlText w:val="%1.%2.%3.%4."/>
      <w:lvlJc w:val="left"/>
      <w:pPr>
        <w:tabs>
          <w:tab w:val="num" w:pos="851"/>
        </w:tabs>
        <w:ind w:left="851" w:hanging="851"/>
      </w:pPr>
      <w:rPr>
        <w:rFonts w:ascii="Arial" w:hAnsi="Arial" w:hint="default"/>
        <w:b/>
        <w:i w:val="0"/>
        <w:caps w:val="0"/>
        <w:strike w:val="0"/>
        <w:dstrike w:val="0"/>
        <w:vanish w:val="0"/>
        <w:color w:val="auto"/>
        <w:sz w:val="20"/>
        <w:szCs w:val="20"/>
        <w:u w:val="none"/>
        <w:vertAlign w:val="baseline"/>
      </w:rPr>
    </w:lvl>
    <w:lvl w:ilvl="4">
      <w:start w:val="1"/>
      <w:numFmt w:val="decimal"/>
      <w:lvlText w:val="%1.%2.%3.%4.%5"/>
      <w:lvlJc w:val="left"/>
      <w:pPr>
        <w:tabs>
          <w:tab w:val="num" w:pos="4842"/>
        </w:tabs>
        <w:ind w:left="4410" w:hanging="1008"/>
      </w:pPr>
      <w:rPr>
        <w:rFonts w:ascii="Arial" w:hAnsi="Arial" w:hint="default"/>
        <w:b/>
        <w:i w:val="0"/>
        <w:sz w:val="18"/>
        <w:szCs w:val="18"/>
      </w:rPr>
    </w:lvl>
    <w:lvl w:ilvl="5">
      <w:start w:val="1"/>
      <w:numFmt w:val="decimal"/>
      <w:lvlText w:val="%1.%2.%3.%4.%5.%6."/>
      <w:lvlJc w:val="left"/>
      <w:pPr>
        <w:tabs>
          <w:tab w:val="num" w:pos="4554"/>
        </w:tabs>
        <w:ind w:left="4554" w:hanging="1152"/>
      </w:pPr>
      <w:rPr>
        <w:rFonts w:ascii="Arial" w:hAnsi="Arial" w:hint="default"/>
        <w:b/>
        <w:i w:val="0"/>
        <w:sz w:val="18"/>
        <w:szCs w:val="18"/>
      </w:rPr>
    </w:lvl>
    <w:lvl w:ilvl="6">
      <w:start w:val="1"/>
      <w:numFmt w:val="decimal"/>
      <w:lvlText w:val="%1.%2.%3.%4.%5.%6.%7"/>
      <w:lvlJc w:val="left"/>
      <w:pPr>
        <w:tabs>
          <w:tab w:val="num" w:pos="4698"/>
        </w:tabs>
        <w:ind w:left="4698" w:hanging="1296"/>
      </w:pPr>
      <w:rPr>
        <w:rFonts w:hint="default"/>
      </w:rPr>
    </w:lvl>
    <w:lvl w:ilvl="7">
      <w:start w:val="1"/>
      <w:numFmt w:val="decimal"/>
      <w:lvlText w:val="%1.%2.%3.%4.%5.%6.%7.%8"/>
      <w:lvlJc w:val="left"/>
      <w:pPr>
        <w:tabs>
          <w:tab w:val="num" w:pos="4842"/>
        </w:tabs>
        <w:ind w:left="4842" w:hanging="1440"/>
      </w:pPr>
      <w:rPr>
        <w:rFonts w:hint="default"/>
      </w:rPr>
    </w:lvl>
    <w:lvl w:ilvl="8">
      <w:start w:val="1"/>
      <w:numFmt w:val="decimal"/>
      <w:lvlText w:val="%1.%2.%3.%4.%5.%6.%7.%8.%9"/>
      <w:lvlJc w:val="left"/>
      <w:pPr>
        <w:tabs>
          <w:tab w:val="num" w:pos="4986"/>
        </w:tabs>
        <w:ind w:left="4986" w:hanging="1584"/>
      </w:pPr>
      <w:rPr>
        <w:rFonts w:hint="default"/>
      </w:rPr>
    </w:lvl>
  </w:abstractNum>
  <w:abstractNum w:abstractNumId="3" w15:restartNumberingAfterBreak="0">
    <w:nsid w:val="310C6196"/>
    <w:multiLevelType w:val="multilevel"/>
    <w:tmpl w:val="956E4030"/>
    <w:lvl w:ilvl="0">
      <w:start w:val="1"/>
      <w:numFmt w:val="lowerLetter"/>
      <w:pStyle w:val="Ttulo1"/>
      <w:suff w:val="space"/>
      <w:lvlText w:val="%1."/>
      <w:lvlJc w:val="left"/>
      <w:rPr>
        <w:rFonts w:ascii="Arial" w:hAnsi="Arial" w:hint="default"/>
        <w:b/>
        <w:i w:val="0"/>
        <w:caps w:val="0"/>
        <w:strike w:val="0"/>
        <w:dstrike w:val="0"/>
        <w:vanish w:val="0"/>
        <w:color w:val="auto"/>
        <w:sz w:val="20"/>
        <w:szCs w:val="20"/>
        <w:u w:val="none"/>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pStyle w:val="Ttulo2"/>
      <w:suff w:val="space"/>
      <w:lvlText w:val="%2"/>
      <w:lvlJc w:val="left"/>
      <w:pPr>
        <w:ind w:left="229" w:firstLine="0"/>
      </w:pPr>
      <w:rPr>
        <w:rFonts w:ascii="Arial" w:hAnsi="Arial" w:hint="default"/>
        <w:b w:val="0"/>
        <w:i w:val="0"/>
        <w:color w:val="auto"/>
        <w:sz w:val="20"/>
        <w:szCs w:val="20"/>
        <w:u w:val="none"/>
      </w:rPr>
    </w:lvl>
    <w:lvl w:ilvl="2">
      <w:start w:val="1"/>
      <w:numFmt w:val="none"/>
      <w:pStyle w:val="Ttulo3"/>
      <w:lvlText w:val="%3"/>
      <w:lvlJc w:val="left"/>
      <w:pPr>
        <w:tabs>
          <w:tab w:val="num" w:pos="1626"/>
        </w:tabs>
        <w:ind w:left="1626" w:hanging="360"/>
      </w:pPr>
      <w:rPr>
        <w:rFonts w:hint="default"/>
      </w:rPr>
    </w:lvl>
    <w:lvl w:ilvl="3">
      <w:start w:val="1"/>
      <w:numFmt w:val="none"/>
      <w:pStyle w:val="Ttulo4"/>
      <w:lvlText w:val=""/>
      <w:lvlJc w:val="left"/>
      <w:pPr>
        <w:tabs>
          <w:tab w:val="num" w:pos="31680"/>
        </w:tabs>
        <w:ind w:left="1986" w:hanging="360"/>
      </w:pPr>
      <w:rPr>
        <w:rFonts w:hint="default"/>
      </w:rPr>
    </w:lvl>
    <w:lvl w:ilvl="4">
      <w:start w:val="1"/>
      <w:numFmt w:val="none"/>
      <w:pStyle w:val="Ttulo5"/>
      <w:lvlText w:val=""/>
      <w:lvlJc w:val="left"/>
      <w:pPr>
        <w:tabs>
          <w:tab w:val="num" w:pos="2346"/>
        </w:tabs>
        <w:ind w:left="2346" w:hanging="360"/>
      </w:pPr>
      <w:rPr>
        <w:rFonts w:hint="default"/>
      </w:rPr>
    </w:lvl>
    <w:lvl w:ilvl="5">
      <w:start w:val="1"/>
      <w:numFmt w:val="none"/>
      <w:pStyle w:val="Ttulo6"/>
      <w:lvlText w:val=""/>
      <w:lvlJc w:val="left"/>
      <w:pPr>
        <w:tabs>
          <w:tab w:val="num" w:pos="2706"/>
        </w:tabs>
        <w:ind w:left="2706" w:hanging="360"/>
      </w:pPr>
      <w:rPr>
        <w:rFonts w:hint="default"/>
      </w:rPr>
    </w:lvl>
    <w:lvl w:ilvl="6">
      <w:start w:val="1"/>
      <w:numFmt w:val="none"/>
      <w:pStyle w:val="Ttulo7"/>
      <w:lvlText w:val=""/>
      <w:lvlJc w:val="left"/>
      <w:pPr>
        <w:tabs>
          <w:tab w:val="num" w:pos="3066"/>
        </w:tabs>
        <w:ind w:left="3066" w:hanging="360"/>
      </w:pPr>
      <w:rPr>
        <w:rFonts w:hint="default"/>
      </w:rPr>
    </w:lvl>
    <w:lvl w:ilvl="7">
      <w:start w:val="1"/>
      <w:numFmt w:val="none"/>
      <w:pStyle w:val="Ttulo8"/>
      <w:lvlText w:val=""/>
      <w:lvlJc w:val="left"/>
      <w:pPr>
        <w:tabs>
          <w:tab w:val="num" w:pos="3426"/>
        </w:tabs>
        <w:ind w:left="3426" w:hanging="360"/>
      </w:pPr>
      <w:rPr>
        <w:rFonts w:hint="default"/>
      </w:rPr>
    </w:lvl>
    <w:lvl w:ilvl="8">
      <w:start w:val="1"/>
      <w:numFmt w:val="none"/>
      <w:lvlText w:val=""/>
      <w:lvlJc w:val="left"/>
      <w:pPr>
        <w:tabs>
          <w:tab w:val="num" w:pos="3786"/>
        </w:tabs>
        <w:ind w:left="3786" w:hanging="360"/>
      </w:pPr>
      <w:rPr>
        <w:rFonts w:hint="default"/>
      </w:rPr>
    </w:lvl>
  </w:abstractNum>
  <w:abstractNum w:abstractNumId="4" w15:restartNumberingAfterBreak="0">
    <w:nsid w:val="39633D9A"/>
    <w:multiLevelType w:val="hybridMultilevel"/>
    <w:tmpl w:val="32FE8294"/>
    <w:lvl w:ilvl="0" w:tplc="140A0017">
      <w:start w:val="1"/>
      <w:numFmt w:val="lowerLetter"/>
      <w:lvlText w:val="%1)"/>
      <w:lvlJc w:val="left"/>
      <w:pPr>
        <w:tabs>
          <w:tab w:val="num" w:pos="425"/>
        </w:tabs>
        <w:ind w:left="369" w:hanging="312"/>
      </w:pPr>
      <w:rPr>
        <w:rFonts w:hint="default"/>
        <w:b w:val="0"/>
        <w:i w:val="0"/>
        <w:caps w:val="0"/>
        <w:strike w:val="0"/>
        <w:dstrike w:val="0"/>
        <w:vanish w:val="0"/>
        <w:color w:val="auto"/>
        <w:sz w:val="18"/>
        <w:szCs w:val="18"/>
        <w:u w:val="none"/>
        <w:vertAlign w:val="base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5227C4"/>
    <w:multiLevelType w:val="hybridMultilevel"/>
    <w:tmpl w:val="2438F7BE"/>
    <w:lvl w:ilvl="0" w:tplc="B9EE8AE6">
      <w:start w:val="1"/>
      <w:numFmt w:val="lowerRoman"/>
      <w:lvlText w:val="%1)"/>
      <w:lvlJc w:val="left"/>
      <w:rPr>
        <w:rFonts w:ascii="Arial" w:hAnsi="Arial" w:cs="Times New Roman" w:hint="default"/>
        <w:b/>
        <w:bCs w:val="0"/>
        <w:i w:val="0"/>
        <w:iCs w:val="0"/>
        <w:caps w:val="0"/>
        <w:smallCaps w:val="0"/>
        <w:strike w:val="0"/>
        <w:dstrike w:val="0"/>
        <w:noProof w:val="0"/>
        <w:snapToGrid w:val="0"/>
        <w:vanish w:val="0"/>
        <w:color w:val="auto"/>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CC24E93"/>
    <w:multiLevelType w:val="hybridMultilevel"/>
    <w:tmpl w:val="6370526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5E692BF1"/>
    <w:multiLevelType w:val="hybridMultilevel"/>
    <w:tmpl w:val="32FE8294"/>
    <w:lvl w:ilvl="0" w:tplc="FFFFFFFF">
      <w:start w:val="1"/>
      <w:numFmt w:val="lowerLetter"/>
      <w:lvlText w:val="%1)"/>
      <w:lvlJc w:val="left"/>
      <w:pPr>
        <w:tabs>
          <w:tab w:val="num" w:pos="425"/>
        </w:tabs>
        <w:ind w:left="369" w:hanging="312"/>
      </w:pPr>
      <w:rPr>
        <w:rFonts w:hint="default"/>
        <w:b w:val="0"/>
        <w:i w:val="0"/>
        <w:caps w:val="0"/>
        <w:strike w:val="0"/>
        <w:dstrike w:val="0"/>
        <w:vanish w:val="0"/>
        <w:color w:val="auto"/>
        <w:sz w:val="18"/>
        <w:szCs w:val="18"/>
        <w:u w:val="none"/>
        <w:vertAlign w:val="base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312C6B"/>
    <w:multiLevelType w:val="hybridMultilevel"/>
    <w:tmpl w:val="833880E6"/>
    <w:lvl w:ilvl="0" w:tplc="97041D44">
      <w:start w:val="1"/>
      <w:numFmt w:val="bullet"/>
      <w:pStyle w:val="ListaVietas"/>
      <w:lvlText w:val=""/>
      <w:lvlJc w:val="left"/>
      <w:pPr>
        <w:tabs>
          <w:tab w:val="num" w:pos="425"/>
        </w:tabs>
        <w:ind w:left="369" w:hanging="312"/>
      </w:pPr>
      <w:rPr>
        <w:rFonts w:ascii="Wingdings 2" w:hAnsi="Wingdings 2" w:hint="default"/>
        <w:b w:val="0"/>
        <w:i w:val="0"/>
        <w:caps w:val="0"/>
        <w:strike w:val="0"/>
        <w:dstrike w:val="0"/>
        <w:vanish w:val="0"/>
        <w:color w:val="auto"/>
        <w:sz w:val="18"/>
        <w:szCs w:val="18"/>
        <w:u w:val="none"/>
        <w:vertAlign w:val="baseli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D647E1"/>
    <w:multiLevelType w:val="hybridMultilevel"/>
    <w:tmpl w:val="7B6EB2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6076598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8119637">
    <w:abstractNumId w:val="8"/>
  </w:num>
  <w:num w:numId="3" w16cid:durableId="172575578">
    <w:abstractNumId w:val="2"/>
  </w:num>
  <w:num w:numId="4" w16cid:durableId="246884248">
    <w:abstractNumId w:val="0"/>
  </w:num>
  <w:num w:numId="5" w16cid:durableId="1737781910">
    <w:abstractNumId w:val="1"/>
    <w:lvlOverride w:ilvl="0">
      <w:startOverride w:val="1"/>
    </w:lvlOverride>
  </w:num>
  <w:num w:numId="6" w16cid:durableId="411195460">
    <w:abstractNumId w:val="1"/>
  </w:num>
  <w:num w:numId="7" w16cid:durableId="125123217">
    <w:abstractNumId w:val="6"/>
  </w:num>
  <w:num w:numId="8" w16cid:durableId="151987792">
    <w:abstractNumId w:val="5"/>
    <w:lvlOverride w:ilvl="0">
      <w:startOverride w:val="1"/>
    </w:lvlOverride>
  </w:num>
  <w:num w:numId="9" w16cid:durableId="1334604884">
    <w:abstractNumId w:val="1"/>
    <w:lvlOverride w:ilvl="0">
      <w:startOverride w:val="1"/>
    </w:lvlOverride>
  </w:num>
  <w:num w:numId="10" w16cid:durableId="426073155">
    <w:abstractNumId w:val="1"/>
    <w:lvlOverride w:ilvl="0">
      <w:startOverride w:val="1"/>
    </w:lvlOverride>
  </w:num>
  <w:num w:numId="11" w16cid:durableId="1097557354">
    <w:abstractNumId w:val="1"/>
    <w:lvlOverride w:ilvl="0">
      <w:startOverride w:val="1"/>
    </w:lvlOverride>
  </w:num>
  <w:num w:numId="12" w16cid:durableId="1574965670">
    <w:abstractNumId w:val="1"/>
    <w:lvlOverride w:ilvl="0">
      <w:startOverride w:val="1"/>
    </w:lvlOverride>
  </w:num>
  <w:num w:numId="13" w16cid:durableId="197668178">
    <w:abstractNumId w:val="9"/>
  </w:num>
  <w:num w:numId="14" w16cid:durableId="195192045">
    <w:abstractNumId w:val="4"/>
  </w:num>
  <w:num w:numId="15" w16cid:durableId="132873518">
    <w:abstractNumId w:val="7"/>
  </w:num>
  <w:num w:numId="16" w16cid:durableId="8019957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ocumentProtection w:formatting="1" w:enforcement="0"/>
  <w:styleLockTheme/>
  <w:styleLockQFSet/>
  <w:defaultTabStop w:val="708"/>
  <w:hyphenationZone w:val="425"/>
  <w:characterSpacingControl w:val="doNotCompress"/>
  <w:hdrShapeDefaults>
    <o:shapedefaults v:ext="edit" spidmax="2058">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31"/>
    <w:rsid w:val="000003DB"/>
    <w:rsid w:val="00000B3B"/>
    <w:rsid w:val="00000C46"/>
    <w:rsid w:val="00000C56"/>
    <w:rsid w:val="000010DD"/>
    <w:rsid w:val="000016DA"/>
    <w:rsid w:val="0000189A"/>
    <w:rsid w:val="00001BB4"/>
    <w:rsid w:val="00001CB1"/>
    <w:rsid w:val="0000297F"/>
    <w:rsid w:val="00002EE8"/>
    <w:rsid w:val="000033A9"/>
    <w:rsid w:val="000039CF"/>
    <w:rsid w:val="00003C2B"/>
    <w:rsid w:val="00004036"/>
    <w:rsid w:val="0000406E"/>
    <w:rsid w:val="000044E2"/>
    <w:rsid w:val="00004640"/>
    <w:rsid w:val="000047FC"/>
    <w:rsid w:val="00004877"/>
    <w:rsid w:val="00004FCE"/>
    <w:rsid w:val="00005101"/>
    <w:rsid w:val="000054D2"/>
    <w:rsid w:val="00005A21"/>
    <w:rsid w:val="00005E10"/>
    <w:rsid w:val="00005FEC"/>
    <w:rsid w:val="00006002"/>
    <w:rsid w:val="00006FCD"/>
    <w:rsid w:val="00007519"/>
    <w:rsid w:val="000078A5"/>
    <w:rsid w:val="00007F57"/>
    <w:rsid w:val="000109F0"/>
    <w:rsid w:val="00011D36"/>
    <w:rsid w:val="00011EFB"/>
    <w:rsid w:val="00011F3B"/>
    <w:rsid w:val="00012173"/>
    <w:rsid w:val="00012A01"/>
    <w:rsid w:val="00012A46"/>
    <w:rsid w:val="00012ED9"/>
    <w:rsid w:val="000135DD"/>
    <w:rsid w:val="00014046"/>
    <w:rsid w:val="000146A0"/>
    <w:rsid w:val="00014A1D"/>
    <w:rsid w:val="00015560"/>
    <w:rsid w:val="00015A88"/>
    <w:rsid w:val="000161A5"/>
    <w:rsid w:val="00016291"/>
    <w:rsid w:val="0001732E"/>
    <w:rsid w:val="00017579"/>
    <w:rsid w:val="00017722"/>
    <w:rsid w:val="000179CA"/>
    <w:rsid w:val="00017DA0"/>
    <w:rsid w:val="000210A3"/>
    <w:rsid w:val="0002199B"/>
    <w:rsid w:val="00022EF3"/>
    <w:rsid w:val="00023DFC"/>
    <w:rsid w:val="00023EC9"/>
    <w:rsid w:val="00024547"/>
    <w:rsid w:val="000249FD"/>
    <w:rsid w:val="00024D13"/>
    <w:rsid w:val="0002513A"/>
    <w:rsid w:val="0002526D"/>
    <w:rsid w:val="00025393"/>
    <w:rsid w:val="00025BA4"/>
    <w:rsid w:val="00026499"/>
    <w:rsid w:val="000266C5"/>
    <w:rsid w:val="000267ED"/>
    <w:rsid w:val="00030834"/>
    <w:rsid w:val="00031C66"/>
    <w:rsid w:val="0003288E"/>
    <w:rsid w:val="00033417"/>
    <w:rsid w:val="00033594"/>
    <w:rsid w:val="000335D7"/>
    <w:rsid w:val="0003460B"/>
    <w:rsid w:val="00034A8B"/>
    <w:rsid w:val="00035382"/>
    <w:rsid w:val="00035530"/>
    <w:rsid w:val="0003574D"/>
    <w:rsid w:val="00035D55"/>
    <w:rsid w:val="000363D8"/>
    <w:rsid w:val="00036569"/>
    <w:rsid w:val="00036949"/>
    <w:rsid w:val="00036DF0"/>
    <w:rsid w:val="00036EE7"/>
    <w:rsid w:val="00037326"/>
    <w:rsid w:val="00037D41"/>
    <w:rsid w:val="000402BF"/>
    <w:rsid w:val="000403E2"/>
    <w:rsid w:val="00040EBB"/>
    <w:rsid w:val="0004163A"/>
    <w:rsid w:val="00041AA5"/>
    <w:rsid w:val="000429C0"/>
    <w:rsid w:val="00042B9C"/>
    <w:rsid w:val="000430FF"/>
    <w:rsid w:val="00043B29"/>
    <w:rsid w:val="00043EB8"/>
    <w:rsid w:val="00044912"/>
    <w:rsid w:val="000453EE"/>
    <w:rsid w:val="000454A4"/>
    <w:rsid w:val="00045526"/>
    <w:rsid w:val="00046191"/>
    <w:rsid w:val="000461FB"/>
    <w:rsid w:val="000462AC"/>
    <w:rsid w:val="000468F5"/>
    <w:rsid w:val="00046C10"/>
    <w:rsid w:val="00047014"/>
    <w:rsid w:val="000472A3"/>
    <w:rsid w:val="00047ACA"/>
    <w:rsid w:val="00050656"/>
    <w:rsid w:val="000509FC"/>
    <w:rsid w:val="00051919"/>
    <w:rsid w:val="000522D3"/>
    <w:rsid w:val="0005414B"/>
    <w:rsid w:val="0005454D"/>
    <w:rsid w:val="000545D7"/>
    <w:rsid w:val="00054FA9"/>
    <w:rsid w:val="0005517F"/>
    <w:rsid w:val="00055B4C"/>
    <w:rsid w:val="00056529"/>
    <w:rsid w:val="00056887"/>
    <w:rsid w:val="000569AA"/>
    <w:rsid w:val="00057243"/>
    <w:rsid w:val="00057F9F"/>
    <w:rsid w:val="00060829"/>
    <w:rsid w:val="00061038"/>
    <w:rsid w:val="000616F7"/>
    <w:rsid w:val="00061A5C"/>
    <w:rsid w:val="00061CCF"/>
    <w:rsid w:val="00061E26"/>
    <w:rsid w:val="00062332"/>
    <w:rsid w:val="00062F49"/>
    <w:rsid w:val="00063370"/>
    <w:rsid w:val="000648C0"/>
    <w:rsid w:val="00064DA3"/>
    <w:rsid w:val="0006533C"/>
    <w:rsid w:val="000653C6"/>
    <w:rsid w:val="0006576A"/>
    <w:rsid w:val="00065CB6"/>
    <w:rsid w:val="00066DD9"/>
    <w:rsid w:val="00067365"/>
    <w:rsid w:val="00067409"/>
    <w:rsid w:val="00067DE1"/>
    <w:rsid w:val="00070008"/>
    <w:rsid w:val="00070270"/>
    <w:rsid w:val="0007067B"/>
    <w:rsid w:val="00071080"/>
    <w:rsid w:val="0007226B"/>
    <w:rsid w:val="000726D9"/>
    <w:rsid w:val="00072CDF"/>
    <w:rsid w:val="000737DF"/>
    <w:rsid w:val="000738E9"/>
    <w:rsid w:val="00073A9F"/>
    <w:rsid w:val="00073AE0"/>
    <w:rsid w:val="000745B2"/>
    <w:rsid w:val="000746C9"/>
    <w:rsid w:val="000749B3"/>
    <w:rsid w:val="00074C89"/>
    <w:rsid w:val="0007504E"/>
    <w:rsid w:val="0007554A"/>
    <w:rsid w:val="00075CD8"/>
    <w:rsid w:val="00075FB9"/>
    <w:rsid w:val="00076449"/>
    <w:rsid w:val="000766EF"/>
    <w:rsid w:val="0007695F"/>
    <w:rsid w:val="00077138"/>
    <w:rsid w:val="00077AAB"/>
    <w:rsid w:val="00077DC8"/>
    <w:rsid w:val="0008056D"/>
    <w:rsid w:val="00080839"/>
    <w:rsid w:val="00080870"/>
    <w:rsid w:val="00080C02"/>
    <w:rsid w:val="000815B6"/>
    <w:rsid w:val="000815EC"/>
    <w:rsid w:val="000819E0"/>
    <w:rsid w:val="00081C82"/>
    <w:rsid w:val="0008202A"/>
    <w:rsid w:val="00082CE3"/>
    <w:rsid w:val="00082E73"/>
    <w:rsid w:val="00083956"/>
    <w:rsid w:val="0008399D"/>
    <w:rsid w:val="00083AFE"/>
    <w:rsid w:val="00083D2A"/>
    <w:rsid w:val="00083F7B"/>
    <w:rsid w:val="00084613"/>
    <w:rsid w:val="00084F8F"/>
    <w:rsid w:val="00085078"/>
    <w:rsid w:val="000853C6"/>
    <w:rsid w:val="00085B8C"/>
    <w:rsid w:val="00085C7F"/>
    <w:rsid w:val="000860C1"/>
    <w:rsid w:val="00086AC6"/>
    <w:rsid w:val="00086B8F"/>
    <w:rsid w:val="00086FA3"/>
    <w:rsid w:val="0008735D"/>
    <w:rsid w:val="0008779E"/>
    <w:rsid w:val="00087BA3"/>
    <w:rsid w:val="00087F06"/>
    <w:rsid w:val="00087F61"/>
    <w:rsid w:val="0009032E"/>
    <w:rsid w:val="00091340"/>
    <w:rsid w:val="0009179F"/>
    <w:rsid w:val="000919E1"/>
    <w:rsid w:val="00091C53"/>
    <w:rsid w:val="000921B8"/>
    <w:rsid w:val="000923D1"/>
    <w:rsid w:val="00092693"/>
    <w:rsid w:val="000926B1"/>
    <w:rsid w:val="00092862"/>
    <w:rsid w:val="00092B92"/>
    <w:rsid w:val="00093291"/>
    <w:rsid w:val="00093A0C"/>
    <w:rsid w:val="00093E32"/>
    <w:rsid w:val="00093EE8"/>
    <w:rsid w:val="000940C8"/>
    <w:rsid w:val="000943DB"/>
    <w:rsid w:val="000950EF"/>
    <w:rsid w:val="00095148"/>
    <w:rsid w:val="0009519A"/>
    <w:rsid w:val="00096070"/>
    <w:rsid w:val="00096E82"/>
    <w:rsid w:val="00096F2C"/>
    <w:rsid w:val="00097550"/>
    <w:rsid w:val="00097D28"/>
    <w:rsid w:val="000A022F"/>
    <w:rsid w:val="000A090F"/>
    <w:rsid w:val="000A0F77"/>
    <w:rsid w:val="000A12B9"/>
    <w:rsid w:val="000A13DE"/>
    <w:rsid w:val="000A196A"/>
    <w:rsid w:val="000A1AD0"/>
    <w:rsid w:val="000A206B"/>
    <w:rsid w:val="000A24C2"/>
    <w:rsid w:val="000A3424"/>
    <w:rsid w:val="000A5DC8"/>
    <w:rsid w:val="000A6B7F"/>
    <w:rsid w:val="000A6FB6"/>
    <w:rsid w:val="000A74D8"/>
    <w:rsid w:val="000B082E"/>
    <w:rsid w:val="000B0855"/>
    <w:rsid w:val="000B1A08"/>
    <w:rsid w:val="000B2508"/>
    <w:rsid w:val="000B2AB1"/>
    <w:rsid w:val="000B2ECD"/>
    <w:rsid w:val="000B34B6"/>
    <w:rsid w:val="000B38F7"/>
    <w:rsid w:val="000B3AD7"/>
    <w:rsid w:val="000B3BF5"/>
    <w:rsid w:val="000B487A"/>
    <w:rsid w:val="000B4ABB"/>
    <w:rsid w:val="000B4B7A"/>
    <w:rsid w:val="000B719B"/>
    <w:rsid w:val="000B7CCA"/>
    <w:rsid w:val="000B7D1C"/>
    <w:rsid w:val="000C018B"/>
    <w:rsid w:val="000C035C"/>
    <w:rsid w:val="000C0520"/>
    <w:rsid w:val="000C06B0"/>
    <w:rsid w:val="000C188E"/>
    <w:rsid w:val="000C1989"/>
    <w:rsid w:val="000C2030"/>
    <w:rsid w:val="000C2D1E"/>
    <w:rsid w:val="000C3C0F"/>
    <w:rsid w:val="000C44B7"/>
    <w:rsid w:val="000C45EA"/>
    <w:rsid w:val="000C4775"/>
    <w:rsid w:val="000C4DFA"/>
    <w:rsid w:val="000C4FDF"/>
    <w:rsid w:val="000C57E5"/>
    <w:rsid w:val="000C5FC9"/>
    <w:rsid w:val="000C6388"/>
    <w:rsid w:val="000C6C3C"/>
    <w:rsid w:val="000C6EC0"/>
    <w:rsid w:val="000C71A5"/>
    <w:rsid w:val="000C7512"/>
    <w:rsid w:val="000C7CD8"/>
    <w:rsid w:val="000D00C9"/>
    <w:rsid w:val="000D054F"/>
    <w:rsid w:val="000D0C4E"/>
    <w:rsid w:val="000D0C75"/>
    <w:rsid w:val="000D0DB9"/>
    <w:rsid w:val="000D0F3D"/>
    <w:rsid w:val="000D1FC8"/>
    <w:rsid w:val="000D2836"/>
    <w:rsid w:val="000D2AC5"/>
    <w:rsid w:val="000D2CF0"/>
    <w:rsid w:val="000D3F28"/>
    <w:rsid w:val="000D42CF"/>
    <w:rsid w:val="000D4379"/>
    <w:rsid w:val="000D4C0F"/>
    <w:rsid w:val="000D593D"/>
    <w:rsid w:val="000D6D78"/>
    <w:rsid w:val="000D6DAF"/>
    <w:rsid w:val="000D6E59"/>
    <w:rsid w:val="000D7BBF"/>
    <w:rsid w:val="000D7C1A"/>
    <w:rsid w:val="000D7F97"/>
    <w:rsid w:val="000E15E1"/>
    <w:rsid w:val="000E1C86"/>
    <w:rsid w:val="000E2465"/>
    <w:rsid w:val="000E2F50"/>
    <w:rsid w:val="000E31AD"/>
    <w:rsid w:val="000E3986"/>
    <w:rsid w:val="000E3DE6"/>
    <w:rsid w:val="000E406E"/>
    <w:rsid w:val="000E40A5"/>
    <w:rsid w:val="000E41B2"/>
    <w:rsid w:val="000E4B01"/>
    <w:rsid w:val="000E502C"/>
    <w:rsid w:val="000E59B4"/>
    <w:rsid w:val="000E5F2C"/>
    <w:rsid w:val="000E6603"/>
    <w:rsid w:val="000F0066"/>
    <w:rsid w:val="000F0573"/>
    <w:rsid w:val="000F0A8C"/>
    <w:rsid w:val="000F10F4"/>
    <w:rsid w:val="000F1751"/>
    <w:rsid w:val="000F2225"/>
    <w:rsid w:val="000F36F6"/>
    <w:rsid w:val="000F3B44"/>
    <w:rsid w:val="000F3D94"/>
    <w:rsid w:val="000F4B6F"/>
    <w:rsid w:val="000F4E7A"/>
    <w:rsid w:val="000F55C9"/>
    <w:rsid w:val="000F567E"/>
    <w:rsid w:val="000F56D1"/>
    <w:rsid w:val="000F5920"/>
    <w:rsid w:val="000F5953"/>
    <w:rsid w:val="000F5B85"/>
    <w:rsid w:val="000F64BB"/>
    <w:rsid w:val="000F6CA8"/>
    <w:rsid w:val="000F787B"/>
    <w:rsid w:val="000F7979"/>
    <w:rsid w:val="00100267"/>
    <w:rsid w:val="001005E5"/>
    <w:rsid w:val="00100B40"/>
    <w:rsid w:val="00100DC9"/>
    <w:rsid w:val="0010127F"/>
    <w:rsid w:val="0010348E"/>
    <w:rsid w:val="00103B43"/>
    <w:rsid w:val="00104914"/>
    <w:rsid w:val="00104D9D"/>
    <w:rsid w:val="00105912"/>
    <w:rsid w:val="001059FE"/>
    <w:rsid w:val="00106032"/>
    <w:rsid w:val="0010640B"/>
    <w:rsid w:val="001064BA"/>
    <w:rsid w:val="00106E40"/>
    <w:rsid w:val="00106F57"/>
    <w:rsid w:val="00106F5C"/>
    <w:rsid w:val="0010786C"/>
    <w:rsid w:val="00107BBD"/>
    <w:rsid w:val="00110A33"/>
    <w:rsid w:val="00110C6E"/>
    <w:rsid w:val="00111C7D"/>
    <w:rsid w:val="00112E72"/>
    <w:rsid w:val="001138AC"/>
    <w:rsid w:val="001143D1"/>
    <w:rsid w:val="00114CE5"/>
    <w:rsid w:val="00114DF2"/>
    <w:rsid w:val="00115111"/>
    <w:rsid w:val="0011547D"/>
    <w:rsid w:val="00115504"/>
    <w:rsid w:val="00115AD1"/>
    <w:rsid w:val="00115BE3"/>
    <w:rsid w:val="00115D96"/>
    <w:rsid w:val="001161F1"/>
    <w:rsid w:val="001165A5"/>
    <w:rsid w:val="001166B5"/>
    <w:rsid w:val="0011673A"/>
    <w:rsid w:val="00116B03"/>
    <w:rsid w:val="00117159"/>
    <w:rsid w:val="00117707"/>
    <w:rsid w:val="0011772F"/>
    <w:rsid w:val="00117869"/>
    <w:rsid w:val="0011799E"/>
    <w:rsid w:val="00117C81"/>
    <w:rsid w:val="001204ED"/>
    <w:rsid w:val="001216B3"/>
    <w:rsid w:val="00121926"/>
    <w:rsid w:val="00121A2D"/>
    <w:rsid w:val="00121AE9"/>
    <w:rsid w:val="00122452"/>
    <w:rsid w:val="00122455"/>
    <w:rsid w:val="00122523"/>
    <w:rsid w:val="00122547"/>
    <w:rsid w:val="001225A4"/>
    <w:rsid w:val="0012326D"/>
    <w:rsid w:val="0012383E"/>
    <w:rsid w:val="00124F96"/>
    <w:rsid w:val="00125ACC"/>
    <w:rsid w:val="00126C51"/>
    <w:rsid w:val="00126CF4"/>
    <w:rsid w:val="00127EB7"/>
    <w:rsid w:val="001306B3"/>
    <w:rsid w:val="00130869"/>
    <w:rsid w:val="00131756"/>
    <w:rsid w:val="00131B5F"/>
    <w:rsid w:val="00131E8E"/>
    <w:rsid w:val="00132178"/>
    <w:rsid w:val="0013264A"/>
    <w:rsid w:val="001326EE"/>
    <w:rsid w:val="00132DDC"/>
    <w:rsid w:val="00133917"/>
    <w:rsid w:val="00133A98"/>
    <w:rsid w:val="001341F5"/>
    <w:rsid w:val="00134524"/>
    <w:rsid w:val="0013494B"/>
    <w:rsid w:val="001350B9"/>
    <w:rsid w:val="0013514B"/>
    <w:rsid w:val="00135FDB"/>
    <w:rsid w:val="00136781"/>
    <w:rsid w:val="00136975"/>
    <w:rsid w:val="00136BEF"/>
    <w:rsid w:val="00136F90"/>
    <w:rsid w:val="001371BE"/>
    <w:rsid w:val="001376EC"/>
    <w:rsid w:val="00137A39"/>
    <w:rsid w:val="00137A93"/>
    <w:rsid w:val="00137B42"/>
    <w:rsid w:val="00140F34"/>
    <w:rsid w:val="001419DF"/>
    <w:rsid w:val="00142223"/>
    <w:rsid w:val="00142A1C"/>
    <w:rsid w:val="001432A0"/>
    <w:rsid w:val="001437B7"/>
    <w:rsid w:val="001438B3"/>
    <w:rsid w:val="00143AE6"/>
    <w:rsid w:val="00143D9C"/>
    <w:rsid w:val="0014525E"/>
    <w:rsid w:val="00145C20"/>
    <w:rsid w:val="00146719"/>
    <w:rsid w:val="00146C1C"/>
    <w:rsid w:val="00146D41"/>
    <w:rsid w:val="0014749F"/>
    <w:rsid w:val="001474B1"/>
    <w:rsid w:val="001478A9"/>
    <w:rsid w:val="001478F4"/>
    <w:rsid w:val="00147E22"/>
    <w:rsid w:val="00147FDC"/>
    <w:rsid w:val="00150020"/>
    <w:rsid w:val="001502AD"/>
    <w:rsid w:val="00151124"/>
    <w:rsid w:val="00151A14"/>
    <w:rsid w:val="00151CFD"/>
    <w:rsid w:val="001522B4"/>
    <w:rsid w:val="001523C0"/>
    <w:rsid w:val="001525E4"/>
    <w:rsid w:val="00152E04"/>
    <w:rsid w:val="001539AB"/>
    <w:rsid w:val="0015419E"/>
    <w:rsid w:val="001543DB"/>
    <w:rsid w:val="00154426"/>
    <w:rsid w:val="001547D7"/>
    <w:rsid w:val="00154B1F"/>
    <w:rsid w:val="00154E51"/>
    <w:rsid w:val="00155161"/>
    <w:rsid w:val="001562E0"/>
    <w:rsid w:val="001563BD"/>
    <w:rsid w:val="0015702B"/>
    <w:rsid w:val="001571C1"/>
    <w:rsid w:val="001576C3"/>
    <w:rsid w:val="00157D61"/>
    <w:rsid w:val="001604B0"/>
    <w:rsid w:val="00160CE6"/>
    <w:rsid w:val="00160F8B"/>
    <w:rsid w:val="00161691"/>
    <w:rsid w:val="0016181B"/>
    <w:rsid w:val="00161860"/>
    <w:rsid w:val="00161A1C"/>
    <w:rsid w:val="00161AFF"/>
    <w:rsid w:val="00161C76"/>
    <w:rsid w:val="00162547"/>
    <w:rsid w:val="00162C2B"/>
    <w:rsid w:val="001630DB"/>
    <w:rsid w:val="00163B48"/>
    <w:rsid w:val="00164271"/>
    <w:rsid w:val="001644D7"/>
    <w:rsid w:val="00164D48"/>
    <w:rsid w:val="00165070"/>
    <w:rsid w:val="00165323"/>
    <w:rsid w:val="00165A53"/>
    <w:rsid w:val="0016613C"/>
    <w:rsid w:val="00166543"/>
    <w:rsid w:val="00170512"/>
    <w:rsid w:val="00170AC5"/>
    <w:rsid w:val="00170B40"/>
    <w:rsid w:val="00170CA2"/>
    <w:rsid w:val="00170EA0"/>
    <w:rsid w:val="00171D43"/>
    <w:rsid w:val="00172049"/>
    <w:rsid w:val="001722A1"/>
    <w:rsid w:val="001724A7"/>
    <w:rsid w:val="00172BC9"/>
    <w:rsid w:val="0017515B"/>
    <w:rsid w:val="001753DA"/>
    <w:rsid w:val="00176604"/>
    <w:rsid w:val="00176AC6"/>
    <w:rsid w:val="00176CFF"/>
    <w:rsid w:val="00176F9E"/>
    <w:rsid w:val="0017710D"/>
    <w:rsid w:val="001773FC"/>
    <w:rsid w:val="00177A37"/>
    <w:rsid w:val="00177E0E"/>
    <w:rsid w:val="00180463"/>
    <w:rsid w:val="00182469"/>
    <w:rsid w:val="001825E2"/>
    <w:rsid w:val="00183E8A"/>
    <w:rsid w:val="00184A61"/>
    <w:rsid w:val="00185A2F"/>
    <w:rsid w:val="0018641F"/>
    <w:rsid w:val="00187597"/>
    <w:rsid w:val="0018785A"/>
    <w:rsid w:val="001878B4"/>
    <w:rsid w:val="00187B56"/>
    <w:rsid w:val="0019007E"/>
    <w:rsid w:val="001901A1"/>
    <w:rsid w:val="001901B4"/>
    <w:rsid w:val="001902CA"/>
    <w:rsid w:val="00190AF3"/>
    <w:rsid w:val="00190DC2"/>
    <w:rsid w:val="00191459"/>
    <w:rsid w:val="001915DF"/>
    <w:rsid w:val="001923D4"/>
    <w:rsid w:val="00193053"/>
    <w:rsid w:val="001936E1"/>
    <w:rsid w:val="00193893"/>
    <w:rsid w:val="00193B48"/>
    <w:rsid w:val="0019429D"/>
    <w:rsid w:val="00195CF9"/>
    <w:rsid w:val="00195E11"/>
    <w:rsid w:val="00196CEA"/>
    <w:rsid w:val="00197AB2"/>
    <w:rsid w:val="001A01BC"/>
    <w:rsid w:val="001A04F0"/>
    <w:rsid w:val="001A0674"/>
    <w:rsid w:val="001A10D3"/>
    <w:rsid w:val="001A1214"/>
    <w:rsid w:val="001A141C"/>
    <w:rsid w:val="001A18AA"/>
    <w:rsid w:val="001A1AEC"/>
    <w:rsid w:val="001A1E3B"/>
    <w:rsid w:val="001A2614"/>
    <w:rsid w:val="001A2B6C"/>
    <w:rsid w:val="001A366C"/>
    <w:rsid w:val="001A3B5A"/>
    <w:rsid w:val="001A3D44"/>
    <w:rsid w:val="001A44D9"/>
    <w:rsid w:val="001A490F"/>
    <w:rsid w:val="001A4DBE"/>
    <w:rsid w:val="001A4EFA"/>
    <w:rsid w:val="001A53F4"/>
    <w:rsid w:val="001A555A"/>
    <w:rsid w:val="001A580C"/>
    <w:rsid w:val="001A5A7C"/>
    <w:rsid w:val="001A5F5E"/>
    <w:rsid w:val="001A5F83"/>
    <w:rsid w:val="001A6792"/>
    <w:rsid w:val="001A686E"/>
    <w:rsid w:val="001A69FE"/>
    <w:rsid w:val="001A7282"/>
    <w:rsid w:val="001A72EA"/>
    <w:rsid w:val="001A78D4"/>
    <w:rsid w:val="001A7F00"/>
    <w:rsid w:val="001B083D"/>
    <w:rsid w:val="001B091C"/>
    <w:rsid w:val="001B0AAB"/>
    <w:rsid w:val="001B1885"/>
    <w:rsid w:val="001B1BA2"/>
    <w:rsid w:val="001B2B09"/>
    <w:rsid w:val="001B2EA8"/>
    <w:rsid w:val="001B2EC9"/>
    <w:rsid w:val="001B34BA"/>
    <w:rsid w:val="001B38B9"/>
    <w:rsid w:val="001B3E3A"/>
    <w:rsid w:val="001B4DE6"/>
    <w:rsid w:val="001B522E"/>
    <w:rsid w:val="001B54C7"/>
    <w:rsid w:val="001B553E"/>
    <w:rsid w:val="001B5FF3"/>
    <w:rsid w:val="001B6DE6"/>
    <w:rsid w:val="001B71F1"/>
    <w:rsid w:val="001C03F6"/>
    <w:rsid w:val="001C0A13"/>
    <w:rsid w:val="001C1053"/>
    <w:rsid w:val="001C2562"/>
    <w:rsid w:val="001C2A6D"/>
    <w:rsid w:val="001C40F3"/>
    <w:rsid w:val="001C42BA"/>
    <w:rsid w:val="001C4E83"/>
    <w:rsid w:val="001C4FC4"/>
    <w:rsid w:val="001C52E8"/>
    <w:rsid w:val="001C54BF"/>
    <w:rsid w:val="001C5E57"/>
    <w:rsid w:val="001C601E"/>
    <w:rsid w:val="001C6359"/>
    <w:rsid w:val="001C64A9"/>
    <w:rsid w:val="001C66D9"/>
    <w:rsid w:val="001C69EF"/>
    <w:rsid w:val="001D061A"/>
    <w:rsid w:val="001D07A9"/>
    <w:rsid w:val="001D08AC"/>
    <w:rsid w:val="001D1C76"/>
    <w:rsid w:val="001D20F3"/>
    <w:rsid w:val="001D2E01"/>
    <w:rsid w:val="001D3033"/>
    <w:rsid w:val="001D3C43"/>
    <w:rsid w:val="001D3DB4"/>
    <w:rsid w:val="001D449D"/>
    <w:rsid w:val="001D559A"/>
    <w:rsid w:val="001D64B5"/>
    <w:rsid w:val="001D7660"/>
    <w:rsid w:val="001E062F"/>
    <w:rsid w:val="001E11B8"/>
    <w:rsid w:val="001E17FE"/>
    <w:rsid w:val="001E18D2"/>
    <w:rsid w:val="001E1E78"/>
    <w:rsid w:val="001E2723"/>
    <w:rsid w:val="001E278F"/>
    <w:rsid w:val="001E2961"/>
    <w:rsid w:val="001E2A02"/>
    <w:rsid w:val="001E2FF6"/>
    <w:rsid w:val="001E31CC"/>
    <w:rsid w:val="001E3673"/>
    <w:rsid w:val="001E46B7"/>
    <w:rsid w:val="001E4922"/>
    <w:rsid w:val="001E53C1"/>
    <w:rsid w:val="001E545C"/>
    <w:rsid w:val="001E55A1"/>
    <w:rsid w:val="001E5C2E"/>
    <w:rsid w:val="001E5F00"/>
    <w:rsid w:val="001E6554"/>
    <w:rsid w:val="001E6563"/>
    <w:rsid w:val="001E66A7"/>
    <w:rsid w:val="001E7474"/>
    <w:rsid w:val="001E76E6"/>
    <w:rsid w:val="001E7872"/>
    <w:rsid w:val="001E7CB5"/>
    <w:rsid w:val="001F11EC"/>
    <w:rsid w:val="001F1512"/>
    <w:rsid w:val="001F1B70"/>
    <w:rsid w:val="001F1C13"/>
    <w:rsid w:val="001F1C75"/>
    <w:rsid w:val="001F221F"/>
    <w:rsid w:val="001F263B"/>
    <w:rsid w:val="001F2834"/>
    <w:rsid w:val="001F31C8"/>
    <w:rsid w:val="001F4C10"/>
    <w:rsid w:val="001F4EB2"/>
    <w:rsid w:val="001F5013"/>
    <w:rsid w:val="001F5B02"/>
    <w:rsid w:val="001F5D82"/>
    <w:rsid w:val="001F5F9F"/>
    <w:rsid w:val="001F64D5"/>
    <w:rsid w:val="001F65EF"/>
    <w:rsid w:val="001F66F4"/>
    <w:rsid w:val="001F675A"/>
    <w:rsid w:val="001F6D77"/>
    <w:rsid w:val="001F75D6"/>
    <w:rsid w:val="001F7639"/>
    <w:rsid w:val="001F7834"/>
    <w:rsid w:val="00200876"/>
    <w:rsid w:val="00200AE2"/>
    <w:rsid w:val="002023AB"/>
    <w:rsid w:val="00202AD5"/>
    <w:rsid w:val="002032DF"/>
    <w:rsid w:val="002036A1"/>
    <w:rsid w:val="00203EA8"/>
    <w:rsid w:val="002040C9"/>
    <w:rsid w:val="002048D2"/>
    <w:rsid w:val="00204FEA"/>
    <w:rsid w:val="00205855"/>
    <w:rsid w:val="00205963"/>
    <w:rsid w:val="00205BDB"/>
    <w:rsid w:val="00205E20"/>
    <w:rsid w:val="00206846"/>
    <w:rsid w:val="00207299"/>
    <w:rsid w:val="0020737B"/>
    <w:rsid w:val="002079A4"/>
    <w:rsid w:val="00207D6F"/>
    <w:rsid w:val="00207F11"/>
    <w:rsid w:val="0021070D"/>
    <w:rsid w:val="00210CF5"/>
    <w:rsid w:val="00211EA3"/>
    <w:rsid w:val="00212280"/>
    <w:rsid w:val="00212F99"/>
    <w:rsid w:val="002130A6"/>
    <w:rsid w:val="00213B55"/>
    <w:rsid w:val="00213DA1"/>
    <w:rsid w:val="00214396"/>
    <w:rsid w:val="00214645"/>
    <w:rsid w:val="00214D85"/>
    <w:rsid w:val="00215159"/>
    <w:rsid w:val="00215A52"/>
    <w:rsid w:val="00216827"/>
    <w:rsid w:val="00216C53"/>
    <w:rsid w:val="002172EC"/>
    <w:rsid w:val="002202B3"/>
    <w:rsid w:val="002204FE"/>
    <w:rsid w:val="002205B3"/>
    <w:rsid w:val="002208B4"/>
    <w:rsid w:val="002217FE"/>
    <w:rsid w:val="00221986"/>
    <w:rsid w:val="00221E7B"/>
    <w:rsid w:val="002222C9"/>
    <w:rsid w:val="00222598"/>
    <w:rsid w:val="00222921"/>
    <w:rsid w:val="002229A0"/>
    <w:rsid w:val="00222C8B"/>
    <w:rsid w:val="00223153"/>
    <w:rsid w:val="0022362B"/>
    <w:rsid w:val="0022488C"/>
    <w:rsid w:val="00224C4A"/>
    <w:rsid w:val="00224C51"/>
    <w:rsid w:val="002252CF"/>
    <w:rsid w:val="002257CA"/>
    <w:rsid w:val="002258A8"/>
    <w:rsid w:val="00225ACF"/>
    <w:rsid w:val="0022661D"/>
    <w:rsid w:val="0022668A"/>
    <w:rsid w:val="00226E17"/>
    <w:rsid w:val="00226E54"/>
    <w:rsid w:val="00230090"/>
    <w:rsid w:val="0023072A"/>
    <w:rsid w:val="0023083E"/>
    <w:rsid w:val="002309EA"/>
    <w:rsid w:val="00230A28"/>
    <w:rsid w:val="00230BAC"/>
    <w:rsid w:val="00231273"/>
    <w:rsid w:val="002312F4"/>
    <w:rsid w:val="00232312"/>
    <w:rsid w:val="0023263E"/>
    <w:rsid w:val="002328C4"/>
    <w:rsid w:val="002328D7"/>
    <w:rsid w:val="002336FF"/>
    <w:rsid w:val="0023378F"/>
    <w:rsid w:val="00233CFF"/>
    <w:rsid w:val="00233E67"/>
    <w:rsid w:val="00233EF8"/>
    <w:rsid w:val="0023437A"/>
    <w:rsid w:val="002349E5"/>
    <w:rsid w:val="00234FAC"/>
    <w:rsid w:val="00235127"/>
    <w:rsid w:val="0023561E"/>
    <w:rsid w:val="00236010"/>
    <w:rsid w:val="002360FE"/>
    <w:rsid w:val="00236277"/>
    <w:rsid w:val="002365AA"/>
    <w:rsid w:val="0023721A"/>
    <w:rsid w:val="0023765E"/>
    <w:rsid w:val="0023767D"/>
    <w:rsid w:val="00237844"/>
    <w:rsid w:val="00240303"/>
    <w:rsid w:val="00240C98"/>
    <w:rsid w:val="002416F7"/>
    <w:rsid w:val="00242184"/>
    <w:rsid w:val="00242355"/>
    <w:rsid w:val="00242394"/>
    <w:rsid w:val="00242642"/>
    <w:rsid w:val="002426D3"/>
    <w:rsid w:val="00242D64"/>
    <w:rsid w:val="002439B2"/>
    <w:rsid w:val="00243EB0"/>
    <w:rsid w:val="00243F9E"/>
    <w:rsid w:val="002441E7"/>
    <w:rsid w:val="00244B29"/>
    <w:rsid w:val="00244CA6"/>
    <w:rsid w:val="0024561F"/>
    <w:rsid w:val="0024585F"/>
    <w:rsid w:val="00246437"/>
    <w:rsid w:val="002468AE"/>
    <w:rsid w:val="002468CC"/>
    <w:rsid w:val="00246DA9"/>
    <w:rsid w:val="00246EDB"/>
    <w:rsid w:val="00247450"/>
    <w:rsid w:val="00247685"/>
    <w:rsid w:val="00247B39"/>
    <w:rsid w:val="002504A4"/>
    <w:rsid w:val="002506EB"/>
    <w:rsid w:val="00250B68"/>
    <w:rsid w:val="00251464"/>
    <w:rsid w:val="00252319"/>
    <w:rsid w:val="00252373"/>
    <w:rsid w:val="00252649"/>
    <w:rsid w:val="00252782"/>
    <w:rsid w:val="0025291B"/>
    <w:rsid w:val="00252E11"/>
    <w:rsid w:val="00252E14"/>
    <w:rsid w:val="00253D83"/>
    <w:rsid w:val="0025444B"/>
    <w:rsid w:val="002547F5"/>
    <w:rsid w:val="00254A92"/>
    <w:rsid w:val="00254BCF"/>
    <w:rsid w:val="00254D00"/>
    <w:rsid w:val="002554F9"/>
    <w:rsid w:val="00255751"/>
    <w:rsid w:val="00255762"/>
    <w:rsid w:val="00255E4A"/>
    <w:rsid w:val="00256C90"/>
    <w:rsid w:val="00256DA8"/>
    <w:rsid w:val="00257030"/>
    <w:rsid w:val="002578F1"/>
    <w:rsid w:val="00257A13"/>
    <w:rsid w:val="00257FAB"/>
    <w:rsid w:val="002606E8"/>
    <w:rsid w:val="00261984"/>
    <w:rsid w:val="00262B5A"/>
    <w:rsid w:val="00262F6E"/>
    <w:rsid w:val="002634E4"/>
    <w:rsid w:val="00263659"/>
    <w:rsid w:val="002636BD"/>
    <w:rsid w:val="002637EC"/>
    <w:rsid w:val="00263820"/>
    <w:rsid w:val="00263F52"/>
    <w:rsid w:val="00264504"/>
    <w:rsid w:val="00264D70"/>
    <w:rsid w:val="00264F15"/>
    <w:rsid w:val="00265321"/>
    <w:rsid w:val="00265E4E"/>
    <w:rsid w:val="002665F0"/>
    <w:rsid w:val="00266E64"/>
    <w:rsid w:val="00267717"/>
    <w:rsid w:val="002677AC"/>
    <w:rsid w:val="00270409"/>
    <w:rsid w:val="002708DC"/>
    <w:rsid w:val="00271143"/>
    <w:rsid w:val="0027122D"/>
    <w:rsid w:val="002713B1"/>
    <w:rsid w:val="00271589"/>
    <w:rsid w:val="00271EE2"/>
    <w:rsid w:val="00271F2A"/>
    <w:rsid w:val="00271F3A"/>
    <w:rsid w:val="002731FF"/>
    <w:rsid w:val="00274476"/>
    <w:rsid w:val="00274882"/>
    <w:rsid w:val="002748A0"/>
    <w:rsid w:val="00274CAA"/>
    <w:rsid w:val="00274EAB"/>
    <w:rsid w:val="00275598"/>
    <w:rsid w:val="002759B9"/>
    <w:rsid w:val="00275E3B"/>
    <w:rsid w:val="00276090"/>
    <w:rsid w:val="00276A4D"/>
    <w:rsid w:val="00276BE5"/>
    <w:rsid w:val="00276FAF"/>
    <w:rsid w:val="002774E9"/>
    <w:rsid w:val="00277D70"/>
    <w:rsid w:val="00277F4D"/>
    <w:rsid w:val="002804F3"/>
    <w:rsid w:val="0028144C"/>
    <w:rsid w:val="0028170C"/>
    <w:rsid w:val="00281973"/>
    <w:rsid w:val="002829BA"/>
    <w:rsid w:val="002835F3"/>
    <w:rsid w:val="00283743"/>
    <w:rsid w:val="0028378F"/>
    <w:rsid w:val="0028380F"/>
    <w:rsid w:val="0028418E"/>
    <w:rsid w:val="0028464C"/>
    <w:rsid w:val="0028469A"/>
    <w:rsid w:val="00284C27"/>
    <w:rsid w:val="00284E9B"/>
    <w:rsid w:val="002855E1"/>
    <w:rsid w:val="0028573C"/>
    <w:rsid w:val="00285C0C"/>
    <w:rsid w:val="00285E73"/>
    <w:rsid w:val="00286363"/>
    <w:rsid w:val="00286620"/>
    <w:rsid w:val="00286898"/>
    <w:rsid w:val="00286CB3"/>
    <w:rsid w:val="00286F2C"/>
    <w:rsid w:val="0028784B"/>
    <w:rsid w:val="00290084"/>
    <w:rsid w:val="0029010E"/>
    <w:rsid w:val="002905E9"/>
    <w:rsid w:val="002913BD"/>
    <w:rsid w:val="00291719"/>
    <w:rsid w:val="00291EE4"/>
    <w:rsid w:val="00292570"/>
    <w:rsid w:val="00292580"/>
    <w:rsid w:val="002934AE"/>
    <w:rsid w:val="00293556"/>
    <w:rsid w:val="002938CC"/>
    <w:rsid w:val="00293E20"/>
    <w:rsid w:val="00293EA9"/>
    <w:rsid w:val="002944C0"/>
    <w:rsid w:val="00294732"/>
    <w:rsid w:val="00295601"/>
    <w:rsid w:val="00295DB9"/>
    <w:rsid w:val="00296479"/>
    <w:rsid w:val="00296691"/>
    <w:rsid w:val="00296863"/>
    <w:rsid w:val="002968CC"/>
    <w:rsid w:val="002968DA"/>
    <w:rsid w:val="00296B3D"/>
    <w:rsid w:val="00296E65"/>
    <w:rsid w:val="00297D2E"/>
    <w:rsid w:val="00297F8F"/>
    <w:rsid w:val="002A0A5E"/>
    <w:rsid w:val="002A0ED3"/>
    <w:rsid w:val="002A1650"/>
    <w:rsid w:val="002A1DEF"/>
    <w:rsid w:val="002A1ED7"/>
    <w:rsid w:val="002A224D"/>
    <w:rsid w:val="002A258D"/>
    <w:rsid w:val="002A278F"/>
    <w:rsid w:val="002A27EF"/>
    <w:rsid w:val="002A2C3A"/>
    <w:rsid w:val="002A2D26"/>
    <w:rsid w:val="002A2F45"/>
    <w:rsid w:val="002A4E86"/>
    <w:rsid w:val="002A52DF"/>
    <w:rsid w:val="002A54F7"/>
    <w:rsid w:val="002A5E63"/>
    <w:rsid w:val="002A6227"/>
    <w:rsid w:val="002A6413"/>
    <w:rsid w:val="002A6790"/>
    <w:rsid w:val="002A6A2E"/>
    <w:rsid w:val="002A6A3F"/>
    <w:rsid w:val="002A6AA4"/>
    <w:rsid w:val="002A744B"/>
    <w:rsid w:val="002A75CD"/>
    <w:rsid w:val="002A764F"/>
    <w:rsid w:val="002A76D8"/>
    <w:rsid w:val="002A795E"/>
    <w:rsid w:val="002B00F6"/>
    <w:rsid w:val="002B10AB"/>
    <w:rsid w:val="002B13F5"/>
    <w:rsid w:val="002B1722"/>
    <w:rsid w:val="002B1B7A"/>
    <w:rsid w:val="002B2EA9"/>
    <w:rsid w:val="002B3BD7"/>
    <w:rsid w:val="002B4A89"/>
    <w:rsid w:val="002B5764"/>
    <w:rsid w:val="002B5D4C"/>
    <w:rsid w:val="002B5EDA"/>
    <w:rsid w:val="002B5FF2"/>
    <w:rsid w:val="002B61CD"/>
    <w:rsid w:val="002B6AC2"/>
    <w:rsid w:val="002B7483"/>
    <w:rsid w:val="002B74B3"/>
    <w:rsid w:val="002B78E2"/>
    <w:rsid w:val="002B7A23"/>
    <w:rsid w:val="002C0063"/>
    <w:rsid w:val="002C038D"/>
    <w:rsid w:val="002C0628"/>
    <w:rsid w:val="002C06C6"/>
    <w:rsid w:val="002C086A"/>
    <w:rsid w:val="002C1131"/>
    <w:rsid w:val="002C143F"/>
    <w:rsid w:val="002C14A6"/>
    <w:rsid w:val="002C192C"/>
    <w:rsid w:val="002C1BF8"/>
    <w:rsid w:val="002C29F9"/>
    <w:rsid w:val="002C3268"/>
    <w:rsid w:val="002C379E"/>
    <w:rsid w:val="002C3A0E"/>
    <w:rsid w:val="002C447A"/>
    <w:rsid w:val="002C4C23"/>
    <w:rsid w:val="002C5574"/>
    <w:rsid w:val="002C5EFB"/>
    <w:rsid w:val="002C6252"/>
    <w:rsid w:val="002C66C8"/>
    <w:rsid w:val="002C6C4A"/>
    <w:rsid w:val="002C6ED1"/>
    <w:rsid w:val="002C73A3"/>
    <w:rsid w:val="002C756F"/>
    <w:rsid w:val="002C773B"/>
    <w:rsid w:val="002C78C8"/>
    <w:rsid w:val="002D073C"/>
    <w:rsid w:val="002D1481"/>
    <w:rsid w:val="002D249A"/>
    <w:rsid w:val="002D3002"/>
    <w:rsid w:val="002D311D"/>
    <w:rsid w:val="002D3128"/>
    <w:rsid w:val="002D31A6"/>
    <w:rsid w:val="002D37B5"/>
    <w:rsid w:val="002D394C"/>
    <w:rsid w:val="002D3BE5"/>
    <w:rsid w:val="002D4049"/>
    <w:rsid w:val="002D4641"/>
    <w:rsid w:val="002D5022"/>
    <w:rsid w:val="002D53A6"/>
    <w:rsid w:val="002D5586"/>
    <w:rsid w:val="002D59F8"/>
    <w:rsid w:val="002D60C6"/>
    <w:rsid w:val="002D67FC"/>
    <w:rsid w:val="002D7008"/>
    <w:rsid w:val="002D761A"/>
    <w:rsid w:val="002D7683"/>
    <w:rsid w:val="002D76A8"/>
    <w:rsid w:val="002D773A"/>
    <w:rsid w:val="002D7AAC"/>
    <w:rsid w:val="002D7D30"/>
    <w:rsid w:val="002D7F86"/>
    <w:rsid w:val="002E0758"/>
    <w:rsid w:val="002E0940"/>
    <w:rsid w:val="002E12C1"/>
    <w:rsid w:val="002E1520"/>
    <w:rsid w:val="002E1746"/>
    <w:rsid w:val="002E1827"/>
    <w:rsid w:val="002E1934"/>
    <w:rsid w:val="002E1AA6"/>
    <w:rsid w:val="002E20F3"/>
    <w:rsid w:val="002E2CAF"/>
    <w:rsid w:val="002E310F"/>
    <w:rsid w:val="002E4721"/>
    <w:rsid w:val="002E4A33"/>
    <w:rsid w:val="002E4E5C"/>
    <w:rsid w:val="002E561B"/>
    <w:rsid w:val="002E5BA5"/>
    <w:rsid w:val="002E5FF5"/>
    <w:rsid w:val="002E6184"/>
    <w:rsid w:val="002E6774"/>
    <w:rsid w:val="002E6A84"/>
    <w:rsid w:val="002E6E3A"/>
    <w:rsid w:val="002E70D8"/>
    <w:rsid w:val="002E7D7C"/>
    <w:rsid w:val="002E7FBE"/>
    <w:rsid w:val="002F0091"/>
    <w:rsid w:val="002F08CD"/>
    <w:rsid w:val="002F13E7"/>
    <w:rsid w:val="002F19C3"/>
    <w:rsid w:val="002F1BDB"/>
    <w:rsid w:val="002F1CCA"/>
    <w:rsid w:val="002F1F5B"/>
    <w:rsid w:val="002F1FAF"/>
    <w:rsid w:val="002F2715"/>
    <w:rsid w:val="002F3925"/>
    <w:rsid w:val="002F45B8"/>
    <w:rsid w:val="002F4B16"/>
    <w:rsid w:val="002F4E82"/>
    <w:rsid w:val="002F4FE9"/>
    <w:rsid w:val="002F50F5"/>
    <w:rsid w:val="002F5A5A"/>
    <w:rsid w:val="002F5EBD"/>
    <w:rsid w:val="002F6450"/>
    <w:rsid w:val="002F6A62"/>
    <w:rsid w:val="002F6A8E"/>
    <w:rsid w:val="003001A6"/>
    <w:rsid w:val="00300307"/>
    <w:rsid w:val="003004ED"/>
    <w:rsid w:val="00301379"/>
    <w:rsid w:val="003017E6"/>
    <w:rsid w:val="00301C72"/>
    <w:rsid w:val="00301D0C"/>
    <w:rsid w:val="00301FC5"/>
    <w:rsid w:val="00302447"/>
    <w:rsid w:val="00302F6F"/>
    <w:rsid w:val="00304087"/>
    <w:rsid w:val="00305764"/>
    <w:rsid w:val="00306050"/>
    <w:rsid w:val="00306E64"/>
    <w:rsid w:val="003070BF"/>
    <w:rsid w:val="0030728B"/>
    <w:rsid w:val="00307495"/>
    <w:rsid w:val="0030750E"/>
    <w:rsid w:val="003077D3"/>
    <w:rsid w:val="00307A01"/>
    <w:rsid w:val="00307AB2"/>
    <w:rsid w:val="00307B17"/>
    <w:rsid w:val="00307B53"/>
    <w:rsid w:val="00307DCF"/>
    <w:rsid w:val="00310583"/>
    <w:rsid w:val="003109D8"/>
    <w:rsid w:val="00310F27"/>
    <w:rsid w:val="00310F7D"/>
    <w:rsid w:val="003113C3"/>
    <w:rsid w:val="0031209B"/>
    <w:rsid w:val="00312240"/>
    <w:rsid w:val="0031292C"/>
    <w:rsid w:val="00312B93"/>
    <w:rsid w:val="00313458"/>
    <w:rsid w:val="003136CE"/>
    <w:rsid w:val="003141E7"/>
    <w:rsid w:val="00314EB9"/>
    <w:rsid w:val="00315285"/>
    <w:rsid w:val="0031580E"/>
    <w:rsid w:val="00315AE8"/>
    <w:rsid w:val="00316BC1"/>
    <w:rsid w:val="00316BC7"/>
    <w:rsid w:val="00316DCD"/>
    <w:rsid w:val="00316F32"/>
    <w:rsid w:val="003170AD"/>
    <w:rsid w:val="0031762E"/>
    <w:rsid w:val="003176B6"/>
    <w:rsid w:val="00317BA9"/>
    <w:rsid w:val="00317E21"/>
    <w:rsid w:val="00320009"/>
    <w:rsid w:val="00320273"/>
    <w:rsid w:val="00320403"/>
    <w:rsid w:val="003210D9"/>
    <w:rsid w:val="0032152E"/>
    <w:rsid w:val="0032191F"/>
    <w:rsid w:val="00321FD7"/>
    <w:rsid w:val="0032206D"/>
    <w:rsid w:val="00323945"/>
    <w:rsid w:val="00324006"/>
    <w:rsid w:val="00324298"/>
    <w:rsid w:val="0032441B"/>
    <w:rsid w:val="00324837"/>
    <w:rsid w:val="0032483E"/>
    <w:rsid w:val="00324EA5"/>
    <w:rsid w:val="00325C78"/>
    <w:rsid w:val="003264B4"/>
    <w:rsid w:val="003267A8"/>
    <w:rsid w:val="0032723B"/>
    <w:rsid w:val="00330052"/>
    <w:rsid w:val="00330401"/>
    <w:rsid w:val="0033068D"/>
    <w:rsid w:val="003306F6"/>
    <w:rsid w:val="00330A29"/>
    <w:rsid w:val="00330B05"/>
    <w:rsid w:val="00330DC5"/>
    <w:rsid w:val="00331C2B"/>
    <w:rsid w:val="003321B1"/>
    <w:rsid w:val="00332493"/>
    <w:rsid w:val="00332548"/>
    <w:rsid w:val="003326EC"/>
    <w:rsid w:val="00332718"/>
    <w:rsid w:val="00332742"/>
    <w:rsid w:val="00332C7B"/>
    <w:rsid w:val="00332F64"/>
    <w:rsid w:val="0033317E"/>
    <w:rsid w:val="00334B20"/>
    <w:rsid w:val="00334B46"/>
    <w:rsid w:val="00334EEB"/>
    <w:rsid w:val="003354FC"/>
    <w:rsid w:val="0033623F"/>
    <w:rsid w:val="00336B21"/>
    <w:rsid w:val="00337362"/>
    <w:rsid w:val="00337DA2"/>
    <w:rsid w:val="00340376"/>
    <w:rsid w:val="0034053D"/>
    <w:rsid w:val="00340ADB"/>
    <w:rsid w:val="00340CF3"/>
    <w:rsid w:val="00340FA6"/>
    <w:rsid w:val="00341403"/>
    <w:rsid w:val="00341509"/>
    <w:rsid w:val="0034150E"/>
    <w:rsid w:val="0034155C"/>
    <w:rsid w:val="003419E6"/>
    <w:rsid w:val="00341CC9"/>
    <w:rsid w:val="00341E8C"/>
    <w:rsid w:val="00342013"/>
    <w:rsid w:val="003424E4"/>
    <w:rsid w:val="003425E4"/>
    <w:rsid w:val="003427D2"/>
    <w:rsid w:val="00342B56"/>
    <w:rsid w:val="00343B68"/>
    <w:rsid w:val="003442B8"/>
    <w:rsid w:val="003443FD"/>
    <w:rsid w:val="00346012"/>
    <w:rsid w:val="00346082"/>
    <w:rsid w:val="00346193"/>
    <w:rsid w:val="003467E8"/>
    <w:rsid w:val="003469FD"/>
    <w:rsid w:val="00346F08"/>
    <w:rsid w:val="0034707D"/>
    <w:rsid w:val="0034770A"/>
    <w:rsid w:val="00347A63"/>
    <w:rsid w:val="00347D6D"/>
    <w:rsid w:val="00350289"/>
    <w:rsid w:val="00350657"/>
    <w:rsid w:val="00350A9F"/>
    <w:rsid w:val="00351DEC"/>
    <w:rsid w:val="003521F9"/>
    <w:rsid w:val="003522F1"/>
    <w:rsid w:val="00352A62"/>
    <w:rsid w:val="00352D4E"/>
    <w:rsid w:val="00352FC6"/>
    <w:rsid w:val="00353345"/>
    <w:rsid w:val="0035386D"/>
    <w:rsid w:val="00353994"/>
    <w:rsid w:val="0035399A"/>
    <w:rsid w:val="00353A66"/>
    <w:rsid w:val="00353D8F"/>
    <w:rsid w:val="00354474"/>
    <w:rsid w:val="00355F8D"/>
    <w:rsid w:val="00355F8E"/>
    <w:rsid w:val="003564BA"/>
    <w:rsid w:val="00356727"/>
    <w:rsid w:val="00356A21"/>
    <w:rsid w:val="00357A96"/>
    <w:rsid w:val="003608EB"/>
    <w:rsid w:val="0036093F"/>
    <w:rsid w:val="00361345"/>
    <w:rsid w:val="0036180D"/>
    <w:rsid w:val="00361AF3"/>
    <w:rsid w:val="0036284F"/>
    <w:rsid w:val="00362B14"/>
    <w:rsid w:val="00362C8E"/>
    <w:rsid w:val="003637B0"/>
    <w:rsid w:val="00364101"/>
    <w:rsid w:val="003648DF"/>
    <w:rsid w:val="0036498D"/>
    <w:rsid w:val="0036506D"/>
    <w:rsid w:val="003652A6"/>
    <w:rsid w:val="0036531A"/>
    <w:rsid w:val="00365EBF"/>
    <w:rsid w:val="00366156"/>
    <w:rsid w:val="003672F3"/>
    <w:rsid w:val="0036766B"/>
    <w:rsid w:val="003704D2"/>
    <w:rsid w:val="00370FF8"/>
    <w:rsid w:val="003714C7"/>
    <w:rsid w:val="00371919"/>
    <w:rsid w:val="00371FDE"/>
    <w:rsid w:val="0037221B"/>
    <w:rsid w:val="003723B1"/>
    <w:rsid w:val="00372572"/>
    <w:rsid w:val="00372C9A"/>
    <w:rsid w:val="003733C9"/>
    <w:rsid w:val="00373CC5"/>
    <w:rsid w:val="0037480C"/>
    <w:rsid w:val="00374856"/>
    <w:rsid w:val="00374C9F"/>
    <w:rsid w:val="0037527F"/>
    <w:rsid w:val="00375540"/>
    <w:rsid w:val="00375AAD"/>
    <w:rsid w:val="00375B0C"/>
    <w:rsid w:val="00375EFF"/>
    <w:rsid w:val="00375FCA"/>
    <w:rsid w:val="00376221"/>
    <w:rsid w:val="0037644D"/>
    <w:rsid w:val="0037662D"/>
    <w:rsid w:val="00376ECD"/>
    <w:rsid w:val="003808E2"/>
    <w:rsid w:val="0038154B"/>
    <w:rsid w:val="00381837"/>
    <w:rsid w:val="00382ECC"/>
    <w:rsid w:val="003832A3"/>
    <w:rsid w:val="003841D9"/>
    <w:rsid w:val="003847F4"/>
    <w:rsid w:val="00385292"/>
    <w:rsid w:val="00385AB4"/>
    <w:rsid w:val="00385FCC"/>
    <w:rsid w:val="003860B1"/>
    <w:rsid w:val="003861BB"/>
    <w:rsid w:val="00386546"/>
    <w:rsid w:val="003877F3"/>
    <w:rsid w:val="00387BA4"/>
    <w:rsid w:val="0039038D"/>
    <w:rsid w:val="00390C5A"/>
    <w:rsid w:val="00391255"/>
    <w:rsid w:val="00391260"/>
    <w:rsid w:val="0039129B"/>
    <w:rsid w:val="0039232E"/>
    <w:rsid w:val="003923E4"/>
    <w:rsid w:val="00392440"/>
    <w:rsid w:val="00392DE7"/>
    <w:rsid w:val="003933B9"/>
    <w:rsid w:val="00393567"/>
    <w:rsid w:val="00393D0F"/>
    <w:rsid w:val="003960AC"/>
    <w:rsid w:val="003967C6"/>
    <w:rsid w:val="00396F06"/>
    <w:rsid w:val="00397515"/>
    <w:rsid w:val="0039782D"/>
    <w:rsid w:val="00397BEF"/>
    <w:rsid w:val="00397E57"/>
    <w:rsid w:val="003A00CC"/>
    <w:rsid w:val="003A09D8"/>
    <w:rsid w:val="003A0AEA"/>
    <w:rsid w:val="003A0E84"/>
    <w:rsid w:val="003A1C9E"/>
    <w:rsid w:val="003A1FF8"/>
    <w:rsid w:val="003A25F0"/>
    <w:rsid w:val="003A2762"/>
    <w:rsid w:val="003A2B2D"/>
    <w:rsid w:val="003A34D0"/>
    <w:rsid w:val="003A3896"/>
    <w:rsid w:val="003A3918"/>
    <w:rsid w:val="003A461A"/>
    <w:rsid w:val="003A50CB"/>
    <w:rsid w:val="003A530B"/>
    <w:rsid w:val="003A6179"/>
    <w:rsid w:val="003A6262"/>
    <w:rsid w:val="003A650F"/>
    <w:rsid w:val="003A696D"/>
    <w:rsid w:val="003A6C30"/>
    <w:rsid w:val="003A7710"/>
    <w:rsid w:val="003A7B63"/>
    <w:rsid w:val="003A7F08"/>
    <w:rsid w:val="003B0057"/>
    <w:rsid w:val="003B00F7"/>
    <w:rsid w:val="003B11FB"/>
    <w:rsid w:val="003B1342"/>
    <w:rsid w:val="003B18EC"/>
    <w:rsid w:val="003B1918"/>
    <w:rsid w:val="003B1935"/>
    <w:rsid w:val="003B26D9"/>
    <w:rsid w:val="003B2917"/>
    <w:rsid w:val="003B2B0D"/>
    <w:rsid w:val="003B2DAE"/>
    <w:rsid w:val="003B2FE5"/>
    <w:rsid w:val="003B3330"/>
    <w:rsid w:val="003B37A0"/>
    <w:rsid w:val="003B3D2A"/>
    <w:rsid w:val="003B41B5"/>
    <w:rsid w:val="003B483B"/>
    <w:rsid w:val="003B525B"/>
    <w:rsid w:val="003B57CC"/>
    <w:rsid w:val="003B6608"/>
    <w:rsid w:val="003B66C6"/>
    <w:rsid w:val="003B699E"/>
    <w:rsid w:val="003B70C5"/>
    <w:rsid w:val="003B72A4"/>
    <w:rsid w:val="003B774D"/>
    <w:rsid w:val="003B7B3D"/>
    <w:rsid w:val="003B7E57"/>
    <w:rsid w:val="003C00DD"/>
    <w:rsid w:val="003C08B7"/>
    <w:rsid w:val="003C0DFB"/>
    <w:rsid w:val="003C1122"/>
    <w:rsid w:val="003C2199"/>
    <w:rsid w:val="003C267E"/>
    <w:rsid w:val="003C281E"/>
    <w:rsid w:val="003C2D03"/>
    <w:rsid w:val="003C335E"/>
    <w:rsid w:val="003C3E48"/>
    <w:rsid w:val="003C4522"/>
    <w:rsid w:val="003C459A"/>
    <w:rsid w:val="003C4E1F"/>
    <w:rsid w:val="003C50A0"/>
    <w:rsid w:val="003C549C"/>
    <w:rsid w:val="003C54E7"/>
    <w:rsid w:val="003C5553"/>
    <w:rsid w:val="003C5606"/>
    <w:rsid w:val="003C5A0E"/>
    <w:rsid w:val="003C5B24"/>
    <w:rsid w:val="003C5F8A"/>
    <w:rsid w:val="003C6BEE"/>
    <w:rsid w:val="003C75BC"/>
    <w:rsid w:val="003D07AB"/>
    <w:rsid w:val="003D10A7"/>
    <w:rsid w:val="003D1170"/>
    <w:rsid w:val="003D11DF"/>
    <w:rsid w:val="003D125E"/>
    <w:rsid w:val="003D138D"/>
    <w:rsid w:val="003D17FC"/>
    <w:rsid w:val="003D1D86"/>
    <w:rsid w:val="003D337F"/>
    <w:rsid w:val="003D4377"/>
    <w:rsid w:val="003D452F"/>
    <w:rsid w:val="003D4C99"/>
    <w:rsid w:val="003D4D22"/>
    <w:rsid w:val="003D5141"/>
    <w:rsid w:val="003D523A"/>
    <w:rsid w:val="003D5C63"/>
    <w:rsid w:val="003D5C83"/>
    <w:rsid w:val="003D601F"/>
    <w:rsid w:val="003D61F5"/>
    <w:rsid w:val="003D6451"/>
    <w:rsid w:val="003D6E2D"/>
    <w:rsid w:val="003D710C"/>
    <w:rsid w:val="003D76CD"/>
    <w:rsid w:val="003E06AF"/>
    <w:rsid w:val="003E0708"/>
    <w:rsid w:val="003E077C"/>
    <w:rsid w:val="003E08AC"/>
    <w:rsid w:val="003E0F11"/>
    <w:rsid w:val="003E11AC"/>
    <w:rsid w:val="003E1D7A"/>
    <w:rsid w:val="003E200B"/>
    <w:rsid w:val="003E2812"/>
    <w:rsid w:val="003E28E5"/>
    <w:rsid w:val="003E2A9B"/>
    <w:rsid w:val="003E2B78"/>
    <w:rsid w:val="003E2DAC"/>
    <w:rsid w:val="003E2E31"/>
    <w:rsid w:val="003E2FE4"/>
    <w:rsid w:val="003E37AB"/>
    <w:rsid w:val="003E37CE"/>
    <w:rsid w:val="003E3BBD"/>
    <w:rsid w:val="003E4263"/>
    <w:rsid w:val="003E45EA"/>
    <w:rsid w:val="003E4D0F"/>
    <w:rsid w:val="003E5233"/>
    <w:rsid w:val="003E5672"/>
    <w:rsid w:val="003E5FF2"/>
    <w:rsid w:val="003E6554"/>
    <w:rsid w:val="003E6E19"/>
    <w:rsid w:val="003E6E45"/>
    <w:rsid w:val="003E726C"/>
    <w:rsid w:val="003E7AD9"/>
    <w:rsid w:val="003F03FB"/>
    <w:rsid w:val="003F0503"/>
    <w:rsid w:val="003F0F4D"/>
    <w:rsid w:val="003F1559"/>
    <w:rsid w:val="003F197D"/>
    <w:rsid w:val="003F2451"/>
    <w:rsid w:val="003F3509"/>
    <w:rsid w:val="003F3538"/>
    <w:rsid w:val="003F48EE"/>
    <w:rsid w:val="003F5119"/>
    <w:rsid w:val="003F5358"/>
    <w:rsid w:val="003F53F9"/>
    <w:rsid w:val="003F63E8"/>
    <w:rsid w:val="003F6B29"/>
    <w:rsid w:val="003F6D88"/>
    <w:rsid w:val="003F73F5"/>
    <w:rsid w:val="00400488"/>
    <w:rsid w:val="004005C5"/>
    <w:rsid w:val="00400FB3"/>
    <w:rsid w:val="0040105F"/>
    <w:rsid w:val="004012EA"/>
    <w:rsid w:val="00401379"/>
    <w:rsid w:val="00401384"/>
    <w:rsid w:val="00401FA0"/>
    <w:rsid w:val="00402281"/>
    <w:rsid w:val="004023B8"/>
    <w:rsid w:val="00402502"/>
    <w:rsid w:val="0040250F"/>
    <w:rsid w:val="00402804"/>
    <w:rsid w:val="00403BB3"/>
    <w:rsid w:val="0040423D"/>
    <w:rsid w:val="004045B5"/>
    <w:rsid w:val="00404BA3"/>
    <w:rsid w:val="00404C21"/>
    <w:rsid w:val="00404FDF"/>
    <w:rsid w:val="00405105"/>
    <w:rsid w:val="00406177"/>
    <w:rsid w:val="00406764"/>
    <w:rsid w:val="00407A88"/>
    <w:rsid w:val="00407D96"/>
    <w:rsid w:val="00407DC6"/>
    <w:rsid w:val="00410059"/>
    <w:rsid w:val="00410A71"/>
    <w:rsid w:val="00411FCD"/>
    <w:rsid w:val="00412D99"/>
    <w:rsid w:val="004134AD"/>
    <w:rsid w:val="00413B97"/>
    <w:rsid w:val="00413C62"/>
    <w:rsid w:val="004141E1"/>
    <w:rsid w:val="0041434E"/>
    <w:rsid w:val="00414542"/>
    <w:rsid w:val="0041488C"/>
    <w:rsid w:val="0041615C"/>
    <w:rsid w:val="00416407"/>
    <w:rsid w:val="00417173"/>
    <w:rsid w:val="004174CC"/>
    <w:rsid w:val="00417AA7"/>
    <w:rsid w:val="00417C82"/>
    <w:rsid w:val="0042045B"/>
    <w:rsid w:val="00421160"/>
    <w:rsid w:val="0042247B"/>
    <w:rsid w:val="004227C1"/>
    <w:rsid w:val="00422EEB"/>
    <w:rsid w:val="00423244"/>
    <w:rsid w:val="00424834"/>
    <w:rsid w:val="00424E53"/>
    <w:rsid w:val="00425113"/>
    <w:rsid w:val="00425BC2"/>
    <w:rsid w:val="00426237"/>
    <w:rsid w:val="0042638B"/>
    <w:rsid w:val="00426661"/>
    <w:rsid w:val="00426EB0"/>
    <w:rsid w:val="0042702D"/>
    <w:rsid w:val="004301CA"/>
    <w:rsid w:val="00430B1F"/>
    <w:rsid w:val="00430E21"/>
    <w:rsid w:val="004310D3"/>
    <w:rsid w:val="0043118A"/>
    <w:rsid w:val="00431791"/>
    <w:rsid w:val="00431843"/>
    <w:rsid w:val="00431B71"/>
    <w:rsid w:val="00432504"/>
    <w:rsid w:val="00432541"/>
    <w:rsid w:val="00433011"/>
    <w:rsid w:val="00433358"/>
    <w:rsid w:val="00433734"/>
    <w:rsid w:val="004337D5"/>
    <w:rsid w:val="00433EB8"/>
    <w:rsid w:val="004348C4"/>
    <w:rsid w:val="00434B4A"/>
    <w:rsid w:val="00434C78"/>
    <w:rsid w:val="0043504F"/>
    <w:rsid w:val="00435C1E"/>
    <w:rsid w:val="00435DC1"/>
    <w:rsid w:val="0043632C"/>
    <w:rsid w:val="00437748"/>
    <w:rsid w:val="00437D30"/>
    <w:rsid w:val="00440284"/>
    <w:rsid w:val="00440843"/>
    <w:rsid w:val="004408D5"/>
    <w:rsid w:val="00440CB1"/>
    <w:rsid w:val="00440E73"/>
    <w:rsid w:val="00440EFE"/>
    <w:rsid w:val="004418E6"/>
    <w:rsid w:val="00441BEE"/>
    <w:rsid w:val="004423B9"/>
    <w:rsid w:val="00442669"/>
    <w:rsid w:val="004429E0"/>
    <w:rsid w:val="00442CEC"/>
    <w:rsid w:val="00442F84"/>
    <w:rsid w:val="00443092"/>
    <w:rsid w:val="00443BB6"/>
    <w:rsid w:val="00444440"/>
    <w:rsid w:val="0044448C"/>
    <w:rsid w:val="004450AA"/>
    <w:rsid w:val="00445A13"/>
    <w:rsid w:val="00446179"/>
    <w:rsid w:val="00447F34"/>
    <w:rsid w:val="00447F84"/>
    <w:rsid w:val="00450533"/>
    <w:rsid w:val="00450ACE"/>
    <w:rsid w:val="004512C8"/>
    <w:rsid w:val="00451C88"/>
    <w:rsid w:val="0045289E"/>
    <w:rsid w:val="00452BF6"/>
    <w:rsid w:val="00453F37"/>
    <w:rsid w:val="0045462C"/>
    <w:rsid w:val="004549D1"/>
    <w:rsid w:val="00454DE2"/>
    <w:rsid w:val="00454E81"/>
    <w:rsid w:val="004551D7"/>
    <w:rsid w:val="00455753"/>
    <w:rsid w:val="0045575E"/>
    <w:rsid w:val="00455CC7"/>
    <w:rsid w:val="004560E7"/>
    <w:rsid w:val="004566DF"/>
    <w:rsid w:val="004568FD"/>
    <w:rsid w:val="00461905"/>
    <w:rsid w:val="00461BCC"/>
    <w:rsid w:val="004627BD"/>
    <w:rsid w:val="00462812"/>
    <w:rsid w:val="00462B22"/>
    <w:rsid w:val="00462EFF"/>
    <w:rsid w:val="0046304E"/>
    <w:rsid w:val="00463F36"/>
    <w:rsid w:val="00464008"/>
    <w:rsid w:val="00465442"/>
    <w:rsid w:val="00465D51"/>
    <w:rsid w:val="004660A5"/>
    <w:rsid w:val="00466A4C"/>
    <w:rsid w:val="004675BB"/>
    <w:rsid w:val="004676E6"/>
    <w:rsid w:val="004702C8"/>
    <w:rsid w:val="0047188E"/>
    <w:rsid w:val="00471A6B"/>
    <w:rsid w:val="00472BAB"/>
    <w:rsid w:val="004739EF"/>
    <w:rsid w:val="00473A82"/>
    <w:rsid w:val="00473DCB"/>
    <w:rsid w:val="00475BD6"/>
    <w:rsid w:val="00475CE7"/>
    <w:rsid w:val="00476244"/>
    <w:rsid w:val="004772E7"/>
    <w:rsid w:val="00477455"/>
    <w:rsid w:val="00480122"/>
    <w:rsid w:val="00480DE4"/>
    <w:rsid w:val="00480F5B"/>
    <w:rsid w:val="00481646"/>
    <w:rsid w:val="0048199C"/>
    <w:rsid w:val="00481DA7"/>
    <w:rsid w:val="004821F1"/>
    <w:rsid w:val="004848D0"/>
    <w:rsid w:val="00484EB4"/>
    <w:rsid w:val="00484ECF"/>
    <w:rsid w:val="00485235"/>
    <w:rsid w:val="00485DB2"/>
    <w:rsid w:val="00485FD4"/>
    <w:rsid w:val="00486355"/>
    <w:rsid w:val="00486371"/>
    <w:rsid w:val="00486DD7"/>
    <w:rsid w:val="004878D4"/>
    <w:rsid w:val="00487C98"/>
    <w:rsid w:val="00487D49"/>
    <w:rsid w:val="00487F2F"/>
    <w:rsid w:val="004904AF"/>
    <w:rsid w:val="004907F7"/>
    <w:rsid w:val="00490B20"/>
    <w:rsid w:val="00490F78"/>
    <w:rsid w:val="00490FCA"/>
    <w:rsid w:val="004910DC"/>
    <w:rsid w:val="004911CD"/>
    <w:rsid w:val="00491BAE"/>
    <w:rsid w:val="004920E3"/>
    <w:rsid w:val="00492D4C"/>
    <w:rsid w:val="004935E7"/>
    <w:rsid w:val="00493A39"/>
    <w:rsid w:val="00494945"/>
    <w:rsid w:val="0049546F"/>
    <w:rsid w:val="0049555F"/>
    <w:rsid w:val="00495681"/>
    <w:rsid w:val="00495B96"/>
    <w:rsid w:val="00495BA1"/>
    <w:rsid w:val="0049657E"/>
    <w:rsid w:val="004969C8"/>
    <w:rsid w:val="00496C1F"/>
    <w:rsid w:val="00496C5E"/>
    <w:rsid w:val="00496E9F"/>
    <w:rsid w:val="004970D0"/>
    <w:rsid w:val="004972DE"/>
    <w:rsid w:val="00497BC6"/>
    <w:rsid w:val="004A00D4"/>
    <w:rsid w:val="004A090C"/>
    <w:rsid w:val="004A0963"/>
    <w:rsid w:val="004A0A45"/>
    <w:rsid w:val="004A0AFC"/>
    <w:rsid w:val="004A0F92"/>
    <w:rsid w:val="004A11BD"/>
    <w:rsid w:val="004A1815"/>
    <w:rsid w:val="004A1FE3"/>
    <w:rsid w:val="004A2318"/>
    <w:rsid w:val="004A24B1"/>
    <w:rsid w:val="004A298D"/>
    <w:rsid w:val="004A2D88"/>
    <w:rsid w:val="004A3045"/>
    <w:rsid w:val="004A3410"/>
    <w:rsid w:val="004A3E94"/>
    <w:rsid w:val="004A53AC"/>
    <w:rsid w:val="004A593B"/>
    <w:rsid w:val="004A5B1B"/>
    <w:rsid w:val="004A644D"/>
    <w:rsid w:val="004A6752"/>
    <w:rsid w:val="004A687F"/>
    <w:rsid w:val="004A6C5F"/>
    <w:rsid w:val="004A6D3C"/>
    <w:rsid w:val="004A7006"/>
    <w:rsid w:val="004A7E31"/>
    <w:rsid w:val="004A7EED"/>
    <w:rsid w:val="004A7F60"/>
    <w:rsid w:val="004B049E"/>
    <w:rsid w:val="004B04CE"/>
    <w:rsid w:val="004B0C94"/>
    <w:rsid w:val="004B0EC3"/>
    <w:rsid w:val="004B0ECD"/>
    <w:rsid w:val="004B1C0D"/>
    <w:rsid w:val="004B1DF3"/>
    <w:rsid w:val="004B1F6F"/>
    <w:rsid w:val="004B1FB1"/>
    <w:rsid w:val="004B2DB7"/>
    <w:rsid w:val="004B325C"/>
    <w:rsid w:val="004B3768"/>
    <w:rsid w:val="004B38B2"/>
    <w:rsid w:val="004B3F90"/>
    <w:rsid w:val="004B4098"/>
    <w:rsid w:val="004B412D"/>
    <w:rsid w:val="004B42BB"/>
    <w:rsid w:val="004B468B"/>
    <w:rsid w:val="004B47F1"/>
    <w:rsid w:val="004B5378"/>
    <w:rsid w:val="004B5C2B"/>
    <w:rsid w:val="004B6CBB"/>
    <w:rsid w:val="004B6F0D"/>
    <w:rsid w:val="004B6FE9"/>
    <w:rsid w:val="004B798F"/>
    <w:rsid w:val="004B7B5B"/>
    <w:rsid w:val="004B7DA3"/>
    <w:rsid w:val="004C022C"/>
    <w:rsid w:val="004C164E"/>
    <w:rsid w:val="004C249A"/>
    <w:rsid w:val="004C2BAD"/>
    <w:rsid w:val="004C352D"/>
    <w:rsid w:val="004C36A6"/>
    <w:rsid w:val="004C387A"/>
    <w:rsid w:val="004C38B6"/>
    <w:rsid w:val="004C3CB9"/>
    <w:rsid w:val="004C4CA8"/>
    <w:rsid w:val="004C4DC7"/>
    <w:rsid w:val="004C54BD"/>
    <w:rsid w:val="004C57DB"/>
    <w:rsid w:val="004C5A39"/>
    <w:rsid w:val="004C5A7E"/>
    <w:rsid w:val="004C6108"/>
    <w:rsid w:val="004C6FD1"/>
    <w:rsid w:val="004C72A1"/>
    <w:rsid w:val="004C7386"/>
    <w:rsid w:val="004C7E78"/>
    <w:rsid w:val="004D05AD"/>
    <w:rsid w:val="004D08BD"/>
    <w:rsid w:val="004D1880"/>
    <w:rsid w:val="004D1BE5"/>
    <w:rsid w:val="004D1E81"/>
    <w:rsid w:val="004D23E0"/>
    <w:rsid w:val="004D24FF"/>
    <w:rsid w:val="004D2539"/>
    <w:rsid w:val="004D2BDA"/>
    <w:rsid w:val="004D3428"/>
    <w:rsid w:val="004D3835"/>
    <w:rsid w:val="004D4340"/>
    <w:rsid w:val="004D4515"/>
    <w:rsid w:val="004D4893"/>
    <w:rsid w:val="004D528A"/>
    <w:rsid w:val="004D54FC"/>
    <w:rsid w:val="004D6038"/>
    <w:rsid w:val="004D60C4"/>
    <w:rsid w:val="004D6DDF"/>
    <w:rsid w:val="004D71AB"/>
    <w:rsid w:val="004D76F8"/>
    <w:rsid w:val="004D7D30"/>
    <w:rsid w:val="004E0724"/>
    <w:rsid w:val="004E075A"/>
    <w:rsid w:val="004E0B29"/>
    <w:rsid w:val="004E150E"/>
    <w:rsid w:val="004E1C30"/>
    <w:rsid w:val="004E1F21"/>
    <w:rsid w:val="004E1F61"/>
    <w:rsid w:val="004E2541"/>
    <w:rsid w:val="004E2DD1"/>
    <w:rsid w:val="004E303A"/>
    <w:rsid w:val="004E313C"/>
    <w:rsid w:val="004E3698"/>
    <w:rsid w:val="004E37BF"/>
    <w:rsid w:val="004E3C5A"/>
    <w:rsid w:val="004E4543"/>
    <w:rsid w:val="004E4863"/>
    <w:rsid w:val="004E5FB3"/>
    <w:rsid w:val="004E6060"/>
    <w:rsid w:val="004E6337"/>
    <w:rsid w:val="004E6973"/>
    <w:rsid w:val="004E6F9E"/>
    <w:rsid w:val="004E730C"/>
    <w:rsid w:val="004E7542"/>
    <w:rsid w:val="004E7582"/>
    <w:rsid w:val="004F06A3"/>
    <w:rsid w:val="004F1C5F"/>
    <w:rsid w:val="004F1EFB"/>
    <w:rsid w:val="004F279D"/>
    <w:rsid w:val="004F2952"/>
    <w:rsid w:val="004F29CF"/>
    <w:rsid w:val="004F29F5"/>
    <w:rsid w:val="004F488F"/>
    <w:rsid w:val="004F4DE0"/>
    <w:rsid w:val="004F527C"/>
    <w:rsid w:val="004F599E"/>
    <w:rsid w:val="004F6143"/>
    <w:rsid w:val="004F672F"/>
    <w:rsid w:val="004F673E"/>
    <w:rsid w:val="004F6EAC"/>
    <w:rsid w:val="004F6FA4"/>
    <w:rsid w:val="004F762A"/>
    <w:rsid w:val="00500E95"/>
    <w:rsid w:val="0050113F"/>
    <w:rsid w:val="005013E8"/>
    <w:rsid w:val="0050190F"/>
    <w:rsid w:val="005023FD"/>
    <w:rsid w:val="00502A2B"/>
    <w:rsid w:val="00503601"/>
    <w:rsid w:val="00503928"/>
    <w:rsid w:val="00503B78"/>
    <w:rsid w:val="00503CEE"/>
    <w:rsid w:val="00503E14"/>
    <w:rsid w:val="00504067"/>
    <w:rsid w:val="005041A0"/>
    <w:rsid w:val="00504CC1"/>
    <w:rsid w:val="005055D1"/>
    <w:rsid w:val="00505ADE"/>
    <w:rsid w:val="00505BFB"/>
    <w:rsid w:val="00505C30"/>
    <w:rsid w:val="0050610A"/>
    <w:rsid w:val="00506339"/>
    <w:rsid w:val="005065AE"/>
    <w:rsid w:val="005065ED"/>
    <w:rsid w:val="00506B30"/>
    <w:rsid w:val="00506BB8"/>
    <w:rsid w:val="00506C4E"/>
    <w:rsid w:val="00506FAC"/>
    <w:rsid w:val="0050767D"/>
    <w:rsid w:val="00507B57"/>
    <w:rsid w:val="00510E5A"/>
    <w:rsid w:val="005110E8"/>
    <w:rsid w:val="0051144D"/>
    <w:rsid w:val="00511CDF"/>
    <w:rsid w:val="00511F54"/>
    <w:rsid w:val="005131DC"/>
    <w:rsid w:val="005132E2"/>
    <w:rsid w:val="00513B6B"/>
    <w:rsid w:val="0051493B"/>
    <w:rsid w:val="00515108"/>
    <w:rsid w:val="00515436"/>
    <w:rsid w:val="00516CE0"/>
    <w:rsid w:val="005176B7"/>
    <w:rsid w:val="00517990"/>
    <w:rsid w:val="00517E46"/>
    <w:rsid w:val="005203F0"/>
    <w:rsid w:val="00520E00"/>
    <w:rsid w:val="00520E2C"/>
    <w:rsid w:val="00520F84"/>
    <w:rsid w:val="00521116"/>
    <w:rsid w:val="005213AE"/>
    <w:rsid w:val="0052220E"/>
    <w:rsid w:val="0052293A"/>
    <w:rsid w:val="00522B4B"/>
    <w:rsid w:val="005230D7"/>
    <w:rsid w:val="00523487"/>
    <w:rsid w:val="00523533"/>
    <w:rsid w:val="00523755"/>
    <w:rsid w:val="0052425B"/>
    <w:rsid w:val="00525A64"/>
    <w:rsid w:val="005262A6"/>
    <w:rsid w:val="00526F9F"/>
    <w:rsid w:val="00527250"/>
    <w:rsid w:val="0052733A"/>
    <w:rsid w:val="00527941"/>
    <w:rsid w:val="00527968"/>
    <w:rsid w:val="00527C3E"/>
    <w:rsid w:val="005302D5"/>
    <w:rsid w:val="005305E2"/>
    <w:rsid w:val="00530BFE"/>
    <w:rsid w:val="00530D11"/>
    <w:rsid w:val="0053197F"/>
    <w:rsid w:val="00531EBF"/>
    <w:rsid w:val="00532255"/>
    <w:rsid w:val="00532426"/>
    <w:rsid w:val="0053244E"/>
    <w:rsid w:val="005326AB"/>
    <w:rsid w:val="00532883"/>
    <w:rsid w:val="005338FB"/>
    <w:rsid w:val="00534873"/>
    <w:rsid w:val="00535284"/>
    <w:rsid w:val="0053575C"/>
    <w:rsid w:val="00535EE0"/>
    <w:rsid w:val="00536E40"/>
    <w:rsid w:val="005373F4"/>
    <w:rsid w:val="00537887"/>
    <w:rsid w:val="005378F4"/>
    <w:rsid w:val="00540939"/>
    <w:rsid w:val="005410E9"/>
    <w:rsid w:val="00541261"/>
    <w:rsid w:val="00541D80"/>
    <w:rsid w:val="005421A9"/>
    <w:rsid w:val="005426E5"/>
    <w:rsid w:val="005428F0"/>
    <w:rsid w:val="0054310C"/>
    <w:rsid w:val="005431EB"/>
    <w:rsid w:val="005433FA"/>
    <w:rsid w:val="005435DB"/>
    <w:rsid w:val="00543BAC"/>
    <w:rsid w:val="0054430B"/>
    <w:rsid w:val="0054487D"/>
    <w:rsid w:val="00544E8C"/>
    <w:rsid w:val="00545A26"/>
    <w:rsid w:val="00545CDE"/>
    <w:rsid w:val="005468F6"/>
    <w:rsid w:val="00547459"/>
    <w:rsid w:val="0054770A"/>
    <w:rsid w:val="00547C50"/>
    <w:rsid w:val="00550868"/>
    <w:rsid w:val="0055229A"/>
    <w:rsid w:val="005528DA"/>
    <w:rsid w:val="0055299C"/>
    <w:rsid w:val="00552AB3"/>
    <w:rsid w:val="00552F73"/>
    <w:rsid w:val="00554400"/>
    <w:rsid w:val="00554651"/>
    <w:rsid w:val="00554827"/>
    <w:rsid w:val="00554974"/>
    <w:rsid w:val="00554EBD"/>
    <w:rsid w:val="005551CF"/>
    <w:rsid w:val="005562E9"/>
    <w:rsid w:val="00556437"/>
    <w:rsid w:val="005566E7"/>
    <w:rsid w:val="00556714"/>
    <w:rsid w:val="00556888"/>
    <w:rsid w:val="005569B0"/>
    <w:rsid w:val="005569E2"/>
    <w:rsid w:val="00556EAE"/>
    <w:rsid w:val="005573D7"/>
    <w:rsid w:val="005609D3"/>
    <w:rsid w:val="00560A34"/>
    <w:rsid w:val="00560C44"/>
    <w:rsid w:val="00561CB8"/>
    <w:rsid w:val="00561ECA"/>
    <w:rsid w:val="00562603"/>
    <w:rsid w:val="00562DAE"/>
    <w:rsid w:val="00563E2C"/>
    <w:rsid w:val="0056492B"/>
    <w:rsid w:val="0056545F"/>
    <w:rsid w:val="005655BE"/>
    <w:rsid w:val="00565A0B"/>
    <w:rsid w:val="005662B2"/>
    <w:rsid w:val="00566A5B"/>
    <w:rsid w:val="00567222"/>
    <w:rsid w:val="0056748A"/>
    <w:rsid w:val="00567809"/>
    <w:rsid w:val="00567D8F"/>
    <w:rsid w:val="00567DA9"/>
    <w:rsid w:val="0057050A"/>
    <w:rsid w:val="005706AB"/>
    <w:rsid w:val="0057109F"/>
    <w:rsid w:val="0057145E"/>
    <w:rsid w:val="00571884"/>
    <w:rsid w:val="00571DF0"/>
    <w:rsid w:val="0057284D"/>
    <w:rsid w:val="00572986"/>
    <w:rsid w:val="00572A56"/>
    <w:rsid w:val="00572CE8"/>
    <w:rsid w:val="005739EE"/>
    <w:rsid w:val="00574439"/>
    <w:rsid w:val="005747A2"/>
    <w:rsid w:val="00574AF7"/>
    <w:rsid w:val="0057508B"/>
    <w:rsid w:val="00575E1F"/>
    <w:rsid w:val="0057609E"/>
    <w:rsid w:val="005764DC"/>
    <w:rsid w:val="005765F5"/>
    <w:rsid w:val="0057686E"/>
    <w:rsid w:val="00576D93"/>
    <w:rsid w:val="00577162"/>
    <w:rsid w:val="0057728B"/>
    <w:rsid w:val="00577AFA"/>
    <w:rsid w:val="00580392"/>
    <w:rsid w:val="00580A26"/>
    <w:rsid w:val="0058151B"/>
    <w:rsid w:val="00581E1F"/>
    <w:rsid w:val="00582254"/>
    <w:rsid w:val="0058282C"/>
    <w:rsid w:val="00582AA2"/>
    <w:rsid w:val="00582C51"/>
    <w:rsid w:val="00582CF7"/>
    <w:rsid w:val="0058334A"/>
    <w:rsid w:val="00583A8B"/>
    <w:rsid w:val="00583ED6"/>
    <w:rsid w:val="005840BF"/>
    <w:rsid w:val="005840C8"/>
    <w:rsid w:val="0058418E"/>
    <w:rsid w:val="005849D8"/>
    <w:rsid w:val="00586009"/>
    <w:rsid w:val="00586DE3"/>
    <w:rsid w:val="00586EC3"/>
    <w:rsid w:val="00587014"/>
    <w:rsid w:val="0058704E"/>
    <w:rsid w:val="0058723A"/>
    <w:rsid w:val="005875AA"/>
    <w:rsid w:val="00590442"/>
    <w:rsid w:val="00590A89"/>
    <w:rsid w:val="00590DB9"/>
    <w:rsid w:val="00590E72"/>
    <w:rsid w:val="00591CA9"/>
    <w:rsid w:val="00591F8E"/>
    <w:rsid w:val="005922D5"/>
    <w:rsid w:val="00592957"/>
    <w:rsid w:val="005932C5"/>
    <w:rsid w:val="005937BC"/>
    <w:rsid w:val="0059391E"/>
    <w:rsid w:val="00595038"/>
    <w:rsid w:val="00595CA6"/>
    <w:rsid w:val="0059679C"/>
    <w:rsid w:val="00596B61"/>
    <w:rsid w:val="005973B0"/>
    <w:rsid w:val="00597BCA"/>
    <w:rsid w:val="00597D8D"/>
    <w:rsid w:val="00597E35"/>
    <w:rsid w:val="005A0656"/>
    <w:rsid w:val="005A0802"/>
    <w:rsid w:val="005A1712"/>
    <w:rsid w:val="005A1DB2"/>
    <w:rsid w:val="005A243F"/>
    <w:rsid w:val="005A279A"/>
    <w:rsid w:val="005A33D5"/>
    <w:rsid w:val="005A3766"/>
    <w:rsid w:val="005A38AC"/>
    <w:rsid w:val="005A4061"/>
    <w:rsid w:val="005A4190"/>
    <w:rsid w:val="005A4C70"/>
    <w:rsid w:val="005A4FD0"/>
    <w:rsid w:val="005A5062"/>
    <w:rsid w:val="005A677B"/>
    <w:rsid w:val="005A7D0B"/>
    <w:rsid w:val="005A7EB5"/>
    <w:rsid w:val="005A7F4C"/>
    <w:rsid w:val="005B07C7"/>
    <w:rsid w:val="005B0E0D"/>
    <w:rsid w:val="005B1333"/>
    <w:rsid w:val="005B13C7"/>
    <w:rsid w:val="005B184C"/>
    <w:rsid w:val="005B23F5"/>
    <w:rsid w:val="005B2C13"/>
    <w:rsid w:val="005B2CDD"/>
    <w:rsid w:val="005B3330"/>
    <w:rsid w:val="005B36DB"/>
    <w:rsid w:val="005B3CC7"/>
    <w:rsid w:val="005B4943"/>
    <w:rsid w:val="005B4DF9"/>
    <w:rsid w:val="005B4F21"/>
    <w:rsid w:val="005B52BB"/>
    <w:rsid w:val="005B530B"/>
    <w:rsid w:val="005B65FD"/>
    <w:rsid w:val="005B69ED"/>
    <w:rsid w:val="005B730C"/>
    <w:rsid w:val="005B784F"/>
    <w:rsid w:val="005B7A64"/>
    <w:rsid w:val="005C0193"/>
    <w:rsid w:val="005C040C"/>
    <w:rsid w:val="005C0F54"/>
    <w:rsid w:val="005C1925"/>
    <w:rsid w:val="005C285E"/>
    <w:rsid w:val="005C3474"/>
    <w:rsid w:val="005C3AAC"/>
    <w:rsid w:val="005C435F"/>
    <w:rsid w:val="005C4C9A"/>
    <w:rsid w:val="005C5202"/>
    <w:rsid w:val="005C52B9"/>
    <w:rsid w:val="005C5A81"/>
    <w:rsid w:val="005C5D76"/>
    <w:rsid w:val="005C6131"/>
    <w:rsid w:val="005C681C"/>
    <w:rsid w:val="005C68BE"/>
    <w:rsid w:val="005C6CDE"/>
    <w:rsid w:val="005D03E8"/>
    <w:rsid w:val="005D066B"/>
    <w:rsid w:val="005D06C7"/>
    <w:rsid w:val="005D079C"/>
    <w:rsid w:val="005D08EA"/>
    <w:rsid w:val="005D0FB8"/>
    <w:rsid w:val="005D0FD5"/>
    <w:rsid w:val="005D1353"/>
    <w:rsid w:val="005D179B"/>
    <w:rsid w:val="005D1BF7"/>
    <w:rsid w:val="005D1C0F"/>
    <w:rsid w:val="005D2730"/>
    <w:rsid w:val="005D3514"/>
    <w:rsid w:val="005D353C"/>
    <w:rsid w:val="005D3735"/>
    <w:rsid w:val="005D497C"/>
    <w:rsid w:val="005D4CA2"/>
    <w:rsid w:val="005D517C"/>
    <w:rsid w:val="005D5795"/>
    <w:rsid w:val="005D5937"/>
    <w:rsid w:val="005D6434"/>
    <w:rsid w:val="005D685D"/>
    <w:rsid w:val="005D68C5"/>
    <w:rsid w:val="005D742D"/>
    <w:rsid w:val="005D768B"/>
    <w:rsid w:val="005D783A"/>
    <w:rsid w:val="005D797E"/>
    <w:rsid w:val="005D7D88"/>
    <w:rsid w:val="005D7F65"/>
    <w:rsid w:val="005D7F86"/>
    <w:rsid w:val="005E0154"/>
    <w:rsid w:val="005E018E"/>
    <w:rsid w:val="005E029B"/>
    <w:rsid w:val="005E0CCC"/>
    <w:rsid w:val="005E113F"/>
    <w:rsid w:val="005E125A"/>
    <w:rsid w:val="005E127B"/>
    <w:rsid w:val="005E17C2"/>
    <w:rsid w:val="005E19A5"/>
    <w:rsid w:val="005E1C96"/>
    <w:rsid w:val="005E1DBA"/>
    <w:rsid w:val="005E2172"/>
    <w:rsid w:val="005E2BE3"/>
    <w:rsid w:val="005E3A64"/>
    <w:rsid w:val="005E3CA6"/>
    <w:rsid w:val="005E42B2"/>
    <w:rsid w:val="005E432F"/>
    <w:rsid w:val="005E49BA"/>
    <w:rsid w:val="005E4B9D"/>
    <w:rsid w:val="005E4C0E"/>
    <w:rsid w:val="005E53D8"/>
    <w:rsid w:val="005E5917"/>
    <w:rsid w:val="005E5EF9"/>
    <w:rsid w:val="005E644D"/>
    <w:rsid w:val="005E6AFF"/>
    <w:rsid w:val="005E6BC8"/>
    <w:rsid w:val="005E6D81"/>
    <w:rsid w:val="005E6D9B"/>
    <w:rsid w:val="005E70BC"/>
    <w:rsid w:val="005E740D"/>
    <w:rsid w:val="005E74B7"/>
    <w:rsid w:val="005E79A9"/>
    <w:rsid w:val="005F0C6D"/>
    <w:rsid w:val="005F10B0"/>
    <w:rsid w:val="005F1F30"/>
    <w:rsid w:val="005F2E72"/>
    <w:rsid w:val="005F31C7"/>
    <w:rsid w:val="005F321E"/>
    <w:rsid w:val="005F3641"/>
    <w:rsid w:val="005F3744"/>
    <w:rsid w:val="005F416C"/>
    <w:rsid w:val="005F5592"/>
    <w:rsid w:val="005F5894"/>
    <w:rsid w:val="005F60F1"/>
    <w:rsid w:val="005F64DB"/>
    <w:rsid w:val="005F680F"/>
    <w:rsid w:val="005F736A"/>
    <w:rsid w:val="005F7776"/>
    <w:rsid w:val="005F7951"/>
    <w:rsid w:val="005F7A65"/>
    <w:rsid w:val="00600E6D"/>
    <w:rsid w:val="00600F54"/>
    <w:rsid w:val="00601561"/>
    <w:rsid w:val="00601BD3"/>
    <w:rsid w:val="0060248C"/>
    <w:rsid w:val="00602561"/>
    <w:rsid w:val="00602739"/>
    <w:rsid w:val="00602AA8"/>
    <w:rsid w:val="00602D57"/>
    <w:rsid w:val="006035E5"/>
    <w:rsid w:val="006057F8"/>
    <w:rsid w:val="00605BE1"/>
    <w:rsid w:val="0060609E"/>
    <w:rsid w:val="0060616C"/>
    <w:rsid w:val="0060630F"/>
    <w:rsid w:val="006065AF"/>
    <w:rsid w:val="00607A43"/>
    <w:rsid w:val="00610321"/>
    <w:rsid w:val="00610413"/>
    <w:rsid w:val="006104B5"/>
    <w:rsid w:val="006114B6"/>
    <w:rsid w:val="00611990"/>
    <w:rsid w:val="006133E0"/>
    <w:rsid w:val="00613729"/>
    <w:rsid w:val="006139B1"/>
    <w:rsid w:val="00613BA0"/>
    <w:rsid w:val="00613C6E"/>
    <w:rsid w:val="006140F2"/>
    <w:rsid w:val="006141F7"/>
    <w:rsid w:val="006152D4"/>
    <w:rsid w:val="00615F18"/>
    <w:rsid w:val="0061649B"/>
    <w:rsid w:val="006164B8"/>
    <w:rsid w:val="00616AB2"/>
    <w:rsid w:val="00617DC4"/>
    <w:rsid w:val="0062011C"/>
    <w:rsid w:val="00620D79"/>
    <w:rsid w:val="006210F7"/>
    <w:rsid w:val="00621190"/>
    <w:rsid w:val="00621BC7"/>
    <w:rsid w:val="00622672"/>
    <w:rsid w:val="00622FA9"/>
    <w:rsid w:val="00623477"/>
    <w:rsid w:val="0062349A"/>
    <w:rsid w:val="006234CD"/>
    <w:rsid w:val="006244D5"/>
    <w:rsid w:val="00624791"/>
    <w:rsid w:val="0062495E"/>
    <w:rsid w:val="006249F2"/>
    <w:rsid w:val="00624CE8"/>
    <w:rsid w:val="00625106"/>
    <w:rsid w:val="006255A3"/>
    <w:rsid w:val="0062574F"/>
    <w:rsid w:val="00626244"/>
    <w:rsid w:val="00626302"/>
    <w:rsid w:val="0062661A"/>
    <w:rsid w:val="00626D81"/>
    <w:rsid w:val="006270DD"/>
    <w:rsid w:val="00630B29"/>
    <w:rsid w:val="00631DBE"/>
    <w:rsid w:val="00631EA2"/>
    <w:rsid w:val="00631EE8"/>
    <w:rsid w:val="00631F27"/>
    <w:rsid w:val="00632559"/>
    <w:rsid w:val="00632670"/>
    <w:rsid w:val="00632E73"/>
    <w:rsid w:val="0063375E"/>
    <w:rsid w:val="00633C26"/>
    <w:rsid w:val="006340DA"/>
    <w:rsid w:val="006344FD"/>
    <w:rsid w:val="00634EE9"/>
    <w:rsid w:val="00637C18"/>
    <w:rsid w:val="00637D93"/>
    <w:rsid w:val="00640534"/>
    <w:rsid w:val="0064148A"/>
    <w:rsid w:val="00641835"/>
    <w:rsid w:val="00641CD1"/>
    <w:rsid w:val="00641F25"/>
    <w:rsid w:val="00642CFE"/>
    <w:rsid w:val="00643819"/>
    <w:rsid w:val="00644DB1"/>
    <w:rsid w:val="0064523C"/>
    <w:rsid w:val="006467BF"/>
    <w:rsid w:val="00647129"/>
    <w:rsid w:val="006475A1"/>
    <w:rsid w:val="0065068D"/>
    <w:rsid w:val="006506B9"/>
    <w:rsid w:val="00650C2B"/>
    <w:rsid w:val="00650CF8"/>
    <w:rsid w:val="00651056"/>
    <w:rsid w:val="006515E2"/>
    <w:rsid w:val="00651B21"/>
    <w:rsid w:val="0065242D"/>
    <w:rsid w:val="00652486"/>
    <w:rsid w:val="00653305"/>
    <w:rsid w:val="00653511"/>
    <w:rsid w:val="00654B13"/>
    <w:rsid w:val="006553CD"/>
    <w:rsid w:val="006556E4"/>
    <w:rsid w:val="00655724"/>
    <w:rsid w:val="006557EE"/>
    <w:rsid w:val="006558A3"/>
    <w:rsid w:val="00656371"/>
    <w:rsid w:val="00656544"/>
    <w:rsid w:val="00656788"/>
    <w:rsid w:val="00656953"/>
    <w:rsid w:val="0065715C"/>
    <w:rsid w:val="00657AF1"/>
    <w:rsid w:val="00657B1E"/>
    <w:rsid w:val="00657EE1"/>
    <w:rsid w:val="006604CC"/>
    <w:rsid w:val="00660B97"/>
    <w:rsid w:val="00660CBC"/>
    <w:rsid w:val="0066187E"/>
    <w:rsid w:val="00661ADE"/>
    <w:rsid w:val="006623F6"/>
    <w:rsid w:val="006627BE"/>
    <w:rsid w:val="00662AF3"/>
    <w:rsid w:val="00662D78"/>
    <w:rsid w:val="00662F0D"/>
    <w:rsid w:val="006637FD"/>
    <w:rsid w:val="006643F9"/>
    <w:rsid w:val="00664C1A"/>
    <w:rsid w:val="00664D17"/>
    <w:rsid w:val="00664D6C"/>
    <w:rsid w:val="00664F6C"/>
    <w:rsid w:val="006655F9"/>
    <w:rsid w:val="00666219"/>
    <w:rsid w:val="00666B1F"/>
    <w:rsid w:val="00667021"/>
    <w:rsid w:val="00667059"/>
    <w:rsid w:val="0066784D"/>
    <w:rsid w:val="00667B24"/>
    <w:rsid w:val="006702B1"/>
    <w:rsid w:val="00670C51"/>
    <w:rsid w:val="00671399"/>
    <w:rsid w:val="00671CB2"/>
    <w:rsid w:val="00672CE5"/>
    <w:rsid w:val="00674248"/>
    <w:rsid w:val="00674271"/>
    <w:rsid w:val="006743CC"/>
    <w:rsid w:val="00674440"/>
    <w:rsid w:val="006744BE"/>
    <w:rsid w:val="00674FE6"/>
    <w:rsid w:val="00675787"/>
    <w:rsid w:val="00675B5E"/>
    <w:rsid w:val="00675EBD"/>
    <w:rsid w:val="006760B6"/>
    <w:rsid w:val="00676172"/>
    <w:rsid w:val="006765EA"/>
    <w:rsid w:val="0067681A"/>
    <w:rsid w:val="00676F00"/>
    <w:rsid w:val="0067701D"/>
    <w:rsid w:val="006770C5"/>
    <w:rsid w:val="0067799E"/>
    <w:rsid w:val="00677DE3"/>
    <w:rsid w:val="0068006E"/>
    <w:rsid w:val="00680A8C"/>
    <w:rsid w:val="00680CD1"/>
    <w:rsid w:val="00680D3D"/>
    <w:rsid w:val="0068121B"/>
    <w:rsid w:val="00681644"/>
    <w:rsid w:val="006818D0"/>
    <w:rsid w:val="00682A66"/>
    <w:rsid w:val="00682BB4"/>
    <w:rsid w:val="006846D4"/>
    <w:rsid w:val="00684726"/>
    <w:rsid w:val="0068503F"/>
    <w:rsid w:val="00685B0B"/>
    <w:rsid w:val="006869E9"/>
    <w:rsid w:val="00686A21"/>
    <w:rsid w:val="00686E3A"/>
    <w:rsid w:val="0068751E"/>
    <w:rsid w:val="00687746"/>
    <w:rsid w:val="00687C94"/>
    <w:rsid w:val="00687D8E"/>
    <w:rsid w:val="00690054"/>
    <w:rsid w:val="00690FC6"/>
    <w:rsid w:val="00691EF0"/>
    <w:rsid w:val="00692650"/>
    <w:rsid w:val="006928FE"/>
    <w:rsid w:val="00692960"/>
    <w:rsid w:val="00692973"/>
    <w:rsid w:val="0069302B"/>
    <w:rsid w:val="00693DCA"/>
    <w:rsid w:val="00693EDB"/>
    <w:rsid w:val="00694287"/>
    <w:rsid w:val="006951C5"/>
    <w:rsid w:val="00695AEA"/>
    <w:rsid w:val="00695D2D"/>
    <w:rsid w:val="0069638B"/>
    <w:rsid w:val="00696EFE"/>
    <w:rsid w:val="0069708C"/>
    <w:rsid w:val="006973F5"/>
    <w:rsid w:val="00697D8F"/>
    <w:rsid w:val="006A00CA"/>
    <w:rsid w:val="006A0927"/>
    <w:rsid w:val="006A18E6"/>
    <w:rsid w:val="006A2D4E"/>
    <w:rsid w:val="006A341D"/>
    <w:rsid w:val="006A3A69"/>
    <w:rsid w:val="006A3BB1"/>
    <w:rsid w:val="006A4275"/>
    <w:rsid w:val="006A48D6"/>
    <w:rsid w:val="006A4B01"/>
    <w:rsid w:val="006A53FA"/>
    <w:rsid w:val="006A5451"/>
    <w:rsid w:val="006A628A"/>
    <w:rsid w:val="006A62B3"/>
    <w:rsid w:val="006A69A1"/>
    <w:rsid w:val="006A7436"/>
    <w:rsid w:val="006B0384"/>
    <w:rsid w:val="006B03E2"/>
    <w:rsid w:val="006B0859"/>
    <w:rsid w:val="006B095F"/>
    <w:rsid w:val="006B0B2F"/>
    <w:rsid w:val="006B0BAF"/>
    <w:rsid w:val="006B0BE5"/>
    <w:rsid w:val="006B1048"/>
    <w:rsid w:val="006B11EF"/>
    <w:rsid w:val="006B22BA"/>
    <w:rsid w:val="006B2D18"/>
    <w:rsid w:val="006B2EBA"/>
    <w:rsid w:val="006B363A"/>
    <w:rsid w:val="006B3797"/>
    <w:rsid w:val="006B38AD"/>
    <w:rsid w:val="006B3909"/>
    <w:rsid w:val="006B3BB6"/>
    <w:rsid w:val="006B3E47"/>
    <w:rsid w:val="006B435F"/>
    <w:rsid w:val="006B4885"/>
    <w:rsid w:val="006B48A1"/>
    <w:rsid w:val="006B4935"/>
    <w:rsid w:val="006B4975"/>
    <w:rsid w:val="006B582B"/>
    <w:rsid w:val="006B59C7"/>
    <w:rsid w:val="006B5F14"/>
    <w:rsid w:val="006B6AA5"/>
    <w:rsid w:val="006B7465"/>
    <w:rsid w:val="006B7904"/>
    <w:rsid w:val="006B7BDA"/>
    <w:rsid w:val="006B7DE8"/>
    <w:rsid w:val="006C2C85"/>
    <w:rsid w:val="006C2CA4"/>
    <w:rsid w:val="006C2F92"/>
    <w:rsid w:val="006C3A05"/>
    <w:rsid w:val="006C47AE"/>
    <w:rsid w:val="006C500B"/>
    <w:rsid w:val="006C54DB"/>
    <w:rsid w:val="006C5549"/>
    <w:rsid w:val="006C59C3"/>
    <w:rsid w:val="006C5BEC"/>
    <w:rsid w:val="006C5EB4"/>
    <w:rsid w:val="006C61FF"/>
    <w:rsid w:val="006C6DCE"/>
    <w:rsid w:val="006C7826"/>
    <w:rsid w:val="006C78DF"/>
    <w:rsid w:val="006D06EB"/>
    <w:rsid w:val="006D07BC"/>
    <w:rsid w:val="006D0BB5"/>
    <w:rsid w:val="006D1B05"/>
    <w:rsid w:val="006D2655"/>
    <w:rsid w:val="006D2D6F"/>
    <w:rsid w:val="006D2DD0"/>
    <w:rsid w:val="006D308C"/>
    <w:rsid w:val="006D3D13"/>
    <w:rsid w:val="006D44E3"/>
    <w:rsid w:val="006D45B9"/>
    <w:rsid w:val="006D4631"/>
    <w:rsid w:val="006D4732"/>
    <w:rsid w:val="006D47DE"/>
    <w:rsid w:val="006D4834"/>
    <w:rsid w:val="006D4AB9"/>
    <w:rsid w:val="006D4B7A"/>
    <w:rsid w:val="006D4F91"/>
    <w:rsid w:val="006D50E6"/>
    <w:rsid w:val="006D513E"/>
    <w:rsid w:val="006D53D8"/>
    <w:rsid w:val="006D56AC"/>
    <w:rsid w:val="006D5BDB"/>
    <w:rsid w:val="006D5D69"/>
    <w:rsid w:val="006D606B"/>
    <w:rsid w:val="006D6281"/>
    <w:rsid w:val="006D698F"/>
    <w:rsid w:val="006D7320"/>
    <w:rsid w:val="006D7920"/>
    <w:rsid w:val="006D79D4"/>
    <w:rsid w:val="006D7F35"/>
    <w:rsid w:val="006E04CB"/>
    <w:rsid w:val="006E0673"/>
    <w:rsid w:val="006E09AA"/>
    <w:rsid w:val="006E1935"/>
    <w:rsid w:val="006E289C"/>
    <w:rsid w:val="006E2A09"/>
    <w:rsid w:val="006E314A"/>
    <w:rsid w:val="006E3CB9"/>
    <w:rsid w:val="006E48A6"/>
    <w:rsid w:val="006E4D5D"/>
    <w:rsid w:val="006E561B"/>
    <w:rsid w:val="006E565E"/>
    <w:rsid w:val="006E607B"/>
    <w:rsid w:val="006E6B51"/>
    <w:rsid w:val="006E6E01"/>
    <w:rsid w:val="006E6EB4"/>
    <w:rsid w:val="006E732B"/>
    <w:rsid w:val="006F0B1B"/>
    <w:rsid w:val="006F1120"/>
    <w:rsid w:val="006F11C0"/>
    <w:rsid w:val="006F199F"/>
    <w:rsid w:val="006F1AE8"/>
    <w:rsid w:val="006F2150"/>
    <w:rsid w:val="006F2451"/>
    <w:rsid w:val="006F2A74"/>
    <w:rsid w:val="006F2E8C"/>
    <w:rsid w:val="006F3446"/>
    <w:rsid w:val="006F3AC5"/>
    <w:rsid w:val="006F3FDF"/>
    <w:rsid w:val="006F44E3"/>
    <w:rsid w:val="006F45E2"/>
    <w:rsid w:val="006F4803"/>
    <w:rsid w:val="006F4994"/>
    <w:rsid w:val="006F4AC8"/>
    <w:rsid w:val="006F5441"/>
    <w:rsid w:val="006F57D9"/>
    <w:rsid w:val="006F5FBF"/>
    <w:rsid w:val="006F6482"/>
    <w:rsid w:val="006F64B8"/>
    <w:rsid w:val="006F7223"/>
    <w:rsid w:val="006F7236"/>
    <w:rsid w:val="0070106F"/>
    <w:rsid w:val="00701088"/>
    <w:rsid w:val="007012AB"/>
    <w:rsid w:val="007015AD"/>
    <w:rsid w:val="007016B5"/>
    <w:rsid w:val="00701729"/>
    <w:rsid w:val="007017FA"/>
    <w:rsid w:val="007020A1"/>
    <w:rsid w:val="0070257E"/>
    <w:rsid w:val="00702A2B"/>
    <w:rsid w:val="00702A2D"/>
    <w:rsid w:val="00702A41"/>
    <w:rsid w:val="00702EAE"/>
    <w:rsid w:val="00703372"/>
    <w:rsid w:val="0070369B"/>
    <w:rsid w:val="00703A5C"/>
    <w:rsid w:val="00704BA3"/>
    <w:rsid w:val="00704C65"/>
    <w:rsid w:val="007052F4"/>
    <w:rsid w:val="0070584E"/>
    <w:rsid w:val="00705C7D"/>
    <w:rsid w:val="00706224"/>
    <w:rsid w:val="007065DE"/>
    <w:rsid w:val="007066AA"/>
    <w:rsid w:val="00706739"/>
    <w:rsid w:val="007068C6"/>
    <w:rsid w:val="00706EE2"/>
    <w:rsid w:val="00707498"/>
    <w:rsid w:val="00707833"/>
    <w:rsid w:val="00707BAF"/>
    <w:rsid w:val="00710940"/>
    <w:rsid w:val="00710EAD"/>
    <w:rsid w:val="00711927"/>
    <w:rsid w:val="00711EB2"/>
    <w:rsid w:val="00711EB4"/>
    <w:rsid w:val="00711FBC"/>
    <w:rsid w:val="00712382"/>
    <w:rsid w:val="0071262C"/>
    <w:rsid w:val="00712891"/>
    <w:rsid w:val="00713043"/>
    <w:rsid w:val="0071379F"/>
    <w:rsid w:val="00714623"/>
    <w:rsid w:val="007152F1"/>
    <w:rsid w:val="007152F6"/>
    <w:rsid w:val="007153AE"/>
    <w:rsid w:val="007154DF"/>
    <w:rsid w:val="0071570C"/>
    <w:rsid w:val="0071574F"/>
    <w:rsid w:val="00715AFB"/>
    <w:rsid w:val="00715F64"/>
    <w:rsid w:val="0071655F"/>
    <w:rsid w:val="0071686D"/>
    <w:rsid w:val="00716AEC"/>
    <w:rsid w:val="00716CE1"/>
    <w:rsid w:val="00717710"/>
    <w:rsid w:val="00717D2C"/>
    <w:rsid w:val="00717E57"/>
    <w:rsid w:val="00717ECF"/>
    <w:rsid w:val="0072007B"/>
    <w:rsid w:val="00720726"/>
    <w:rsid w:val="00720973"/>
    <w:rsid w:val="00720C7B"/>
    <w:rsid w:val="007213AF"/>
    <w:rsid w:val="007218B7"/>
    <w:rsid w:val="00721A15"/>
    <w:rsid w:val="007223F0"/>
    <w:rsid w:val="00723230"/>
    <w:rsid w:val="007232B8"/>
    <w:rsid w:val="0072346D"/>
    <w:rsid w:val="0072370B"/>
    <w:rsid w:val="00723FC9"/>
    <w:rsid w:val="00724671"/>
    <w:rsid w:val="007259C8"/>
    <w:rsid w:val="00725A41"/>
    <w:rsid w:val="00725BBD"/>
    <w:rsid w:val="00725C44"/>
    <w:rsid w:val="00726183"/>
    <w:rsid w:val="007263E6"/>
    <w:rsid w:val="00726586"/>
    <w:rsid w:val="00726923"/>
    <w:rsid w:val="0072692E"/>
    <w:rsid w:val="00726A70"/>
    <w:rsid w:val="007273AD"/>
    <w:rsid w:val="0073045E"/>
    <w:rsid w:val="007304DF"/>
    <w:rsid w:val="00730E2D"/>
    <w:rsid w:val="00731372"/>
    <w:rsid w:val="00731669"/>
    <w:rsid w:val="00731BCF"/>
    <w:rsid w:val="00732050"/>
    <w:rsid w:val="00732AC8"/>
    <w:rsid w:val="00733685"/>
    <w:rsid w:val="00733A08"/>
    <w:rsid w:val="00733A88"/>
    <w:rsid w:val="00733C97"/>
    <w:rsid w:val="00734CA4"/>
    <w:rsid w:val="00735A22"/>
    <w:rsid w:val="0073603D"/>
    <w:rsid w:val="00736189"/>
    <w:rsid w:val="007364D9"/>
    <w:rsid w:val="00736FD2"/>
    <w:rsid w:val="00740B08"/>
    <w:rsid w:val="00740CCD"/>
    <w:rsid w:val="00740D80"/>
    <w:rsid w:val="00741176"/>
    <w:rsid w:val="007416F4"/>
    <w:rsid w:val="00741820"/>
    <w:rsid w:val="00741B44"/>
    <w:rsid w:val="0074250B"/>
    <w:rsid w:val="00742EDA"/>
    <w:rsid w:val="00743000"/>
    <w:rsid w:val="00743A37"/>
    <w:rsid w:val="00744058"/>
    <w:rsid w:val="00744A22"/>
    <w:rsid w:val="00744BFA"/>
    <w:rsid w:val="00744F21"/>
    <w:rsid w:val="0074506A"/>
    <w:rsid w:val="007450A8"/>
    <w:rsid w:val="007450D5"/>
    <w:rsid w:val="007451F7"/>
    <w:rsid w:val="0074531D"/>
    <w:rsid w:val="0074579D"/>
    <w:rsid w:val="007457A6"/>
    <w:rsid w:val="00745977"/>
    <w:rsid w:val="00745B78"/>
    <w:rsid w:val="007466AA"/>
    <w:rsid w:val="007467A1"/>
    <w:rsid w:val="00746CEF"/>
    <w:rsid w:val="00746D34"/>
    <w:rsid w:val="00746E41"/>
    <w:rsid w:val="00746EBA"/>
    <w:rsid w:val="00746ECB"/>
    <w:rsid w:val="007471D0"/>
    <w:rsid w:val="007473E7"/>
    <w:rsid w:val="00750C7C"/>
    <w:rsid w:val="00750FF6"/>
    <w:rsid w:val="00751017"/>
    <w:rsid w:val="00751951"/>
    <w:rsid w:val="00752F33"/>
    <w:rsid w:val="00753111"/>
    <w:rsid w:val="0075324B"/>
    <w:rsid w:val="0075348B"/>
    <w:rsid w:val="00753790"/>
    <w:rsid w:val="0075463D"/>
    <w:rsid w:val="00754925"/>
    <w:rsid w:val="00754AAC"/>
    <w:rsid w:val="00754FED"/>
    <w:rsid w:val="00756221"/>
    <w:rsid w:val="00756658"/>
    <w:rsid w:val="00756C04"/>
    <w:rsid w:val="00756E28"/>
    <w:rsid w:val="00757110"/>
    <w:rsid w:val="0075737A"/>
    <w:rsid w:val="00757594"/>
    <w:rsid w:val="007576BF"/>
    <w:rsid w:val="0075776B"/>
    <w:rsid w:val="00757ADD"/>
    <w:rsid w:val="0076024D"/>
    <w:rsid w:val="00760878"/>
    <w:rsid w:val="0076098E"/>
    <w:rsid w:val="0076141F"/>
    <w:rsid w:val="00762910"/>
    <w:rsid w:val="00762A91"/>
    <w:rsid w:val="00762B89"/>
    <w:rsid w:val="00762C8B"/>
    <w:rsid w:val="0076348C"/>
    <w:rsid w:val="00763B54"/>
    <w:rsid w:val="00764160"/>
    <w:rsid w:val="0076461E"/>
    <w:rsid w:val="007647B6"/>
    <w:rsid w:val="007648B5"/>
    <w:rsid w:val="00764BFF"/>
    <w:rsid w:val="00764D60"/>
    <w:rsid w:val="00765738"/>
    <w:rsid w:val="00765A90"/>
    <w:rsid w:val="00765B79"/>
    <w:rsid w:val="00765B9D"/>
    <w:rsid w:val="00765C48"/>
    <w:rsid w:val="00766005"/>
    <w:rsid w:val="00767B19"/>
    <w:rsid w:val="00770155"/>
    <w:rsid w:val="007709C5"/>
    <w:rsid w:val="007709DF"/>
    <w:rsid w:val="00772620"/>
    <w:rsid w:val="00772ADE"/>
    <w:rsid w:val="00772B0A"/>
    <w:rsid w:val="007739B2"/>
    <w:rsid w:val="00773EB0"/>
    <w:rsid w:val="00774B03"/>
    <w:rsid w:val="00774D4D"/>
    <w:rsid w:val="00775026"/>
    <w:rsid w:val="00775090"/>
    <w:rsid w:val="0077599A"/>
    <w:rsid w:val="00775F58"/>
    <w:rsid w:val="00776647"/>
    <w:rsid w:val="00777108"/>
    <w:rsid w:val="00777314"/>
    <w:rsid w:val="007773C1"/>
    <w:rsid w:val="00780096"/>
    <w:rsid w:val="007802F1"/>
    <w:rsid w:val="0078072E"/>
    <w:rsid w:val="00780C32"/>
    <w:rsid w:val="00780E8F"/>
    <w:rsid w:val="0078102D"/>
    <w:rsid w:val="00781C32"/>
    <w:rsid w:val="00782614"/>
    <w:rsid w:val="00782652"/>
    <w:rsid w:val="0078266A"/>
    <w:rsid w:val="00782C0D"/>
    <w:rsid w:val="00782D76"/>
    <w:rsid w:val="00782E5C"/>
    <w:rsid w:val="00783538"/>
    <w:rsid w:val="00784AA1"/>
    <w:rsid w:val="0078536A"/>
    <w:rsid w:val="00785A6D"/>
    <w:rsid w:val="00786AA0"/>
    <w:rsid w:val="007904E0"/>
    <w:rsid w:val="00790CAC"/>
    <w:rsid w:val="00792292"/>
    <w:rsid w:val="00792367"/>
    <w:rsid w:val="00792842"/>
    <w:rsid w:val="00792E68"/>
    <w:rsid w:val="007937D3"/>
    <w:rsid w:val="00793B40"/>
    <w:rsid w:val="007940D8"/>
    <w:rsid w:val="0079475A"/>
    <w:rsid w:val="0079480B"/>
    <w:rsid w:val="00794DD3"/>
    <w:rsid w:val="0079553C"/>
    <w:rsid w:val="00795B76"/>
    <w:rsid w:val="007960FF"/>
    <w:rsid w:val="00796A48"/>
    <w:rsid w:val="00796EFC"/>
    <w:rsid w:val="00797812"/>
    <w:rsid w:val="007978D9"/>
    <w:rsid w:val="00797A95"/>
    <w:rsid w:val="00797AB7"/>
    <w:rsid w:val="007A064E"/>
    <w:rsid w:val="007A0857"/>
    <w:rsid w:val="007A0B43"/>
    <w:rsid w:val="007A0BF7"/>
    <w:rsid w:val="007A0D15"/>
    <w:rsid w:val="007A0D48"/>
    <w:rsid w:val="007A0E7F"/>
    <w:rsid w:val="007A10EE"/>
    <w:rsid w:val="007A111D"/>
    <w:rsid w:val="007A1D12"/>
    <w:rsid w:val="007A245B"/>
    <w:rsid w:val="007A2AFA"/>
    <w:rsid w:val="007A3283"/>
    <w:rsid w:val="007A34C3"/>
    <w:rsid w:val="007A3500"/>
    <w:rsid w:val="007A3544"/>
    <w:rsid w:val="007A3993"/>
    <w:rsid w:val="007A3C72"/>
    <w:rsid w:val="007A43B3"/>
    <w:rsid w:val="007A4853"/>
    <w:rsid w:val="007A4A57"/>
    <w:rsid w:val="007A4F84"/>
    <w:rsid w:val="007A5A89"/>
    <w:rsid w:val="007A5AB4"/>
    <w:rsid w:val="007A5C58"/>
    <w:rsid w:val="007A6AD3"/>
    <w:rsid w:val="007A712B"/>
    <w:rsid w:val="007A7839"/>
    <w:rsid w:val="007B0823"/>
    <w:rsid w:val="007B165C"/>
    <w:rsid w:val="007B1945"/>
    <w:rsid w:val="007B2B55"/>
    <w:rsid w:val="007B2F51"/>
    <w:rsid w:val="007B37A6"/>
    <w:rsid w:val="007B3B3C"/>
    <w:rsid w:val="007B3F6E"/>
    <w:rsid w:val="007B4120"/>
    <w:rsid w:val="007B4264"/>
    <w:rsid w:val="007B4AF6"/>
    <w:rsid w:val="007B5776"/>
    <w:rsid w:val="007B5815"/>
    <w:rsid w:val="007B5CFE"/>
    <w:rsid w:val="007B6A27"/>
    <w:rsid w:val="007B7482"/>
    <w:rsid w:val="007B7913"/>
    <w:rsid w:val="007B7C4C"/>
    <w:rsid w:val="007C01A8"/>
    <w:rsid w:val="007C037D"/>
    <w:rsid w:val="007C0AF5"/>
    <w:rsid w:val="007C0C71"/>
    <w:rsid w:val="007C13F6"/>
    <w:rsid w:val="007C189E"/>
    <w:rsid w:val="007C1C07"/>
    <w:rsid w:val="007C1FEF"/>
    <w:rsid w:val="007C20BB"/>
    <w:rsid w:val="007C22CC"/>
    <w:rsid w:val="007C242C"/>
    <w:rsid w:val="007C249F"/>
    <w:rsid w:val="007C2A7D"/>
    <w:rsid w:val="007C2C5D"/>
    <w:rsid w:val="007C3169"/>
    <w:rsid w:val="007C360A"/>
    <w:rsid w:val="007C39D7"/>
    <w:rsid w:val="007C530F"/>
    <w:rsid w:val="007C55B3"/>
    <w:rsid w:val="007C59AD"/>
    <w:rsid w:val="007C6013"/>
    <w:rsid w:val="007C6F60"/>
    <w:rsid w:val="007C729A"/>
    <w:rsid w:val="007C73C2"/>
    <w:rsid w:val="007C7EC9"/>
    <w:rsid w:val="007C7FFC"/>
    <w:rsid w:val="007D021D"/>
    <w:rsid w:val="007D02CC"/>
    <w:rsid w:val="007D04E7"/>
    <w:rsid w:val="007D0E1F"/>
    <w:rsid w:val="007D22BC"/>
    <w:rsid w:val="007D2502"/>
    <w:rsid w:val="007D2732"/>
    <w:rsid w:val="007D2830"/>
    <w:rsid w:val="007D2FE9"/>
    <w:rsid w:val="007D4102"/>
    <w:rsid w:val="007D4252"/>
    <w:rsid w:val="007D4434"/>
    <w:rsid w:val="007D5649"/>
    <w:rsid w:val="007D598D"/>
    <w:rsid w:val="007D67A4"/>
    <w:rsid w:val="007D68A2"/>
    <w:rsid w:val="007D6E2C"/>
    <w:rsid w:val="007D6EBF"/>
    <w:rsid w:val="007D7268"/>
    <w:rsid w:val="007D7286"/>
    <w:rsid w:val="007D7367"/>
    <w:rsid w:val="007D7ADA"/>
    <w:rsid w:val="007D7BBB"/>
    <w:rsid w:val="007D7BC3"/>
    <w:rsid w:val="007E01BE"/>
    <w:rsid w:val="007E0379"/>
    <w:rsid w:val="007E1189"/>
    <w:rsid w:val="007E1A89"/>
    <w:rsid w:val="007E1CBA"/>
    <w:rsid w:val="007E3558"/>
    <w:rsid w:val="007E43AF"/>
    <w:rsid w:val="007E4CE7"/>
    <w:rsid w:val="007E4E50"/>
    <w:rsid w:val="007E4F37"/>
    <w:rsid w:val="007E4FBF"/>
    <w:rsid w:val="007E5110"/>
    <w:rsid w:val="007E59F0"/>
    <w:rsid w:val="007E5C6B"/>
    <w:rsid w:val="007E5CD5"/>
    <w:rsid w:val="007E5D3E"/>
    <w:rsid w:val="007E6211"/>
    <w:rsid w:val="007E6547"/>
    <w:rsid w:val="007E6D6C"/>
    <w:rsid w:val="007E7020"/>
    <w:rsid w:val="007E75E8"/>
    <w:rsid w:val="007F01AA"/>
    <w:rsid w:val="007F02AB"/>
    <w:rsid w:val="007F05AA"/>
    <w:rsid w:val="007F086D"/>
    <w:rsid w:val="007F1421"/>
    <w:rsid w:val="007F15BC"/>
    <w:rsid w:val="007F186E"/>
    <w:rsid w:val="007F1B04"/>
    <w:rsid w:val="007F20A1"/>
    <w:rsid w:val="007F26CD"/>
    <w:rsid w:val="007F2A27"/>
    <w:rsid w:val="007F2A92"/>
    <w:rsid w:val="007F3E8B"/>
    <w:rsid w:val="007F3F58"/>
    <w:rsid w:val="007F42C9"/>
    <w:rsid w:val="007F578F"/>
    <w:rsid w:val="007F57EC"/>
    <w:rsid w:val="007F5A68"/>
    <w:rsid w:val="007F625A"/>
    <w:rsid w:val="007F6527"/>
    <w:rsid w:val="007F7200"/>
    <w:rsid w:val="007F78FF"/>
    <w:rsid w:val="007F7B8F"/>
    <w:rsid w:val="00800612"/>
    <w:rsid w:val="008010F5"/>
    <w:rsid w:val="00801149"/>
    <w:rsid w:val="00801D6C"/>
    <w:rsid w:val="00802097"/>
    <w:rsid w:val="008025E7"/>
    <w:rsid w:val="00802607"/>
    <w:rsid w:val="00802E02"/>
    <w:rsid w:val="00802FD7"/>
    <w:rsid w:val="0080305C"/>
    <w:rsid w:val="008038E2"/>
    <w:rsid w:val="00804257"/>
    <w:rsid w:val="008045A6"/>
    <w:rsid w:val="008046F6"/>
    <w:rsid w:val="0080482A"/>
    <w:rsid w:val="00804C36"/>
    <w:rsid w:val="00804F56"/>
    <w:rsid w:val="008056E1"/>
    <w:rsid w:val="00806101"/>
    <w:rsid w:val="00806FC3"/>
    <w:rsid w:val="008072AF"/>
    <w:rsid w:val="00807636"/>
    <w:rsid w:val="00807749"/>
    <w:rsid w:val="00807CF5"/>
    <w:rsid w:val="00807F56"/>
    <w:rsid w:val="008112F4"/>
    <w:rsid w:val="00811339"/>
    <w:rsid w:val="00811541"/>
    <w:rsid w:val="008122F8"/>
    <w:rsid w:val="008128DA"/>
    <w:rsid w:val="00812BCF"/>
    <w:rsid w:val="00812CC3"/>
    <w:rsid w:val="008140A8"/>
    <w:rsid w:val="00814318"/>
    <w:rsid w:val="00814DEC"/>
    <w:rsid w:val="00815093"/>
    <w:rsid w:val="008155F9"/>
    <w:rsid w:val="00815781"/>
    <w:rsid w:val="0081583F"/>
    <w:rsid w:val="00816206"/>
    <w:rsid w:val="00816C6D"/>
    <w:rsid w:val="00816DE5"/>
    <w:rsid w:val="00817A47"/>
    <w:rsid w:val="00817A4F"/>
    <w:rsid w:val="00820475"/>
    <w:rsid w:val="008210E7"/>
    <w:rsid w:val="00821745"/>
    <w:rsid w:val="00821D72"/>
    <w:rsid w:val="00822738"/>
    <w:rsid w:val="00822F6A"/>
    <w:rsid w:val="00823682"/>
    <w:rsid w:val="008238B6"/>
    <w:rsid w:val="00823A4D"/>
    <w:rsid w:val="00823D4A"/>
    <w:rsid w:val="00823DF2"/>
    <w:rsid w:val="00823EDE"/>
    <w:rsid w:val="008244E0"/>
    <w:rsid w:val="00824865"/>
    <w:rsid w:val="008248E0"/>
    <w:rsid w:val="0082550C"/>
    <w:rsid w:val="008257D6"/>
    <w:rsid w:val="00825C2C"/>
    <w:rsid w:val="0082681F"/>
    <w:rsid w:val="008270C6"/>
    <w:rsid w:val="00827D58"/>
    <w:rsid w:val="0083094B"/>
    <w:rsid w:val="00830AE0"/>
    <w:rsid w:val="00830CF0"/>
    <w:rsid w:val="00830DE8"/>
    <w:rsid w:val="00830E83"/>
    <w:rsid w:val="00830FD7"/>
    <w:rsid w:val="00831EC3"/>
    <w:rsid w:val="008321E2"/>
    <w:rsid w:val="00832506"/>
    <w:rsid w:val="008327ED"/>
    <w:rsid w:val="00832E2B"/>
    <w:rsid w:val="00833362"/>
    <w:rsid w:val="008333D7"/>
    <w:rsid w:val="00833428"/>
    <w:rsid w:val="0083455E"/>
    <w:rsid w:val="00834F87"/>
    <w:rsid w:val="008353E5"/>
    <w:rsid w:val="00835DB8"/>
    <w:rsid w:val="008362B3"/>
    <w:rsid w:val="00836614"/>
    <w:rsid w:val="00836618"/>
    <w:rsid w:val="008366F4"/>
    <w:rsid w:val="0083749B"/>
    <w:rsid w:val="008400DA"/>
    <w:rsid w:val="0084015F"/>
    <w:rsid w:val="0084084B"/>
    <w:rsid w:val="0084086F"/>
    <w:rsid w:val="00840AC6"/>
    <w:rsid w:val="00840EC2"/>
    <w:rsid w:val="00841805"/>
    <w:rsid w:val="0084186B"/>
    <w:rsid w:val="00842170"/>
    <w:rsid w:val="00842987"/>
    <w:rsid w:val="008432DD"/>
    <w:rsid w:val="008438A7"/>
    <w:rsid w:val="00843A6E"/>
    <w:rsid w:val="00843C5D"/>
    <w:rsid w:val="00844CD2"/>
    <w:rsid w:val="00844FE1"/>
    <w:rsid w:val="00847217"/>
    <w:rsid w:val="0084751D"/>
    <w:rsid w:val="00847B8F"/>
    <w:rsid w:val="00847C24"/>
    <w:rsid w:val="0085001D"/>
    <w:rsid w:val="008500B1"/>
    <w:rsid w:val="00850C2E"/>
    <w:rsid w:val="00850E42"/>
    <w:rsid w:val="00851716"/>
    <w:rsid w:val="00851754"/>
    <w:rsid w:val="00851BD9"/>
    <w:rsid w:val="008521FF"/>
    <w:rsid w:val="008528C4"/>
    <w:rsid w:val="00852E8D"/>
    <w:rsid w:val="00853315"/>
    <w:rsid w:val="008537BB"/>
    <w:rsid w:val="0085404B"/>
    <w:rsid w:val="008545AD"/>
    <w:rsid w:val="00854D1D"/>
    <w:rsid w:val="008550C4"/>
    <w:rsid w:val="008551E9"/>
    <w:rsid w:val="00855200"/>
    <w:rsid w:val="00855529"/>
    <w:rsid w:val="0085566F"/>
    <w:rsid w:val="00855776"/>
    <w:rsid w:val="00855D01"/>
    <w:rsid w:val="00855DA9"/>
    <w:rsid w:val="00855F90"/>
    <w:rsid w:val="00856057"/>
    <w:rsid w:val="00856605"/>
    <w:rsid w:val="008617A7"/>
    <w:rsid w:val="00861D7F"/>
    <w:rsid w:val="00861DC3"/>
    <w:rsid w:val="008625C9"/>
    <w:rsid w:val="00862703"/>
    <w:rsid w:val="00862DDC"/>
    <w:rsid w:val="00862E51"/>
    <w:rsid w:val="00862FAB"/>
    <w:rsid w:val="0086324F"/>
    <w:rsid w:val="008636DE"/>
    <w:rsid w:val="0086392B"/>
    <w:rsid w:val="00864A9A"/>
    <w:rsid w:val="0086583C"/>
    <w:rsid w:val="008662AE"/>
    <w:rsid w:val="00866752"/>
    <w:rsid w:val="0086701D"/>
    <w:rsid w:val="008677DE"/>
    <w:rsid w:val="00867DFC"/>
    <w:rsid w:val="00870B6F"/>
    <w:rsid w:val="00870E59"/>
    <w:rsid w:val="008713BD"/>
    <w:rsid w:val="00871BB6"/>
    <w:rsid w:val="008724C5"/>
    <w:rsid w:val="008735A3"/>
    <w:rsid w:val="00873AD5"/>
    <w:rsid w:val="00874259"/>
    <w:rsid w:val="00874E25"/>
    <w:rsid w:val="00876412"/>
    <w:rsid w:val="00876C3A"/>
    <w:rsid w:val="00876DDA"/>
    <w:rsid w:val="00877428"/>
    <w:rsid w:val="0087777C"/>
    <w:rsid w:val="008779E9"/>
    <w:rsid w:val="00877A16"/>
    <w:rsid w:val="00877AF0"/>
    <w:rsid w:val="00877B7D"/>
    <w:rsid w:val="00877BB1"/>
    <w:rsid w:val="00880949"/>
    <w:rsid w:val="00880EAA"/>
    <w:rsid w:val="0088103A"/>
    <w:rsid w:val="00881490"/>
    <w:rsid w:val="00881CBB"/>
    <w:rsid w:val="00882407"/>
    <w:rsid w:val="00882927"/>
    <w:rsid w:val="0088292A"/>
    <w:rsid w:val="008829E0"/>
    <w:rsid w:val="008830A7"/>
    <w:rsid w:val="00883184"/>
    <w:rsid w:val="00883540"/>
    <w:rsid w:val="00883638"/>
    <w:rsid w:val="008838EF"/>
    <w:rsid w:val="00883931"/>
    <w:rsid w:val="00883C83"/>
    <w:rsid w:val="00883E30"/>
    <w:rsid w:val="008841DC"/>
    <w:rsid w:val="0088458D"/>
    <w:rsid w:val="008845EF"/>
    <w:rsid w:val="00884B70"/>
    <w:rsid w:val="00884C08"/>
    <w:rsid w:val="0088531A"/>
    <w:rsid w:val="00885551"/>
    <w:rsid w:val="00885A6D"/>
    <w:rsid w:val="0088679E"/>
    <w:rsid w:val="00887118"/>
    <w:rsid w:val="008879A1"/>
    <w:rsid w:val="00887B55"/>
    <w:rsid w:val="00890215"/>
    <w:rsid w:val="008902D4"/>
    <w:rsid w:val="00890592"/>
    <w:rsid w:val="008906A8"/>
    <w:rsid w:val="00890F81"/>
    <w:rsid w:val="00891967"/>
    <w:rsid w:val="00892781"/>
    <w:rsid w:val="00892AA6"/>
    <w:rsid w:val="0089391A"/>
    <w:rsid w:val="00893D3E"/>
    <w:rsid w:val="00893E7C"/>
    <w:rsid w:val="00893F98"/>
    <w:rsid w:val="008941EF"/>
    <w:rsid w:val="008943F1"/>
    <w:rsid w:val="0089453C"/>
    <w:rsid w:val="008948D5"/>
    <w:rsid w:val="00894AAC"/>
    <w:rsid w:val="008958CF"/>
    <w:rsid w:val="00895C3F"/>
    <w:rsid w:val="00896569"/>
    <w:rsid w:val="00896D19"/>
    <w:rsid w:val="008A027A"/>
    <w:rsid w:val="008A0731"/>
    <w:rsid w:val="008A0B8D"/>
    <w:rsid w:val="008A2193"/>
    <w:rsid w:val="008A2426"/>
    <w:rsid w:val="008A29A2"/>
    <w:rsid w:val="008A41AC"/>
    <w:rsid w:val="008A423D"/>
    <w:rsid w:val="008A44E1"/>
    <w:rsid w:val="008A47BC"/>
    <w:rsid w:val="008A6E40"/>
    <w:rsid w:val="008A70F1"/>
    <w:rsid w:val="008A7CA1"/>
    <w:rsid w:val="008A7DDB"/>
    <w:rsid w:val="008B0227"/>
    <w:rsid w:val="008B0421"/>
    <w:rsid w:val="008B10DA"/>
    <w:rsid w:val="008B18F0"/>
    <w:rsid w:val="008B39AD"/>
    <w:rsid w:val="008B3C42"/>
    <w:rsid w:val="008B4113"/>
    <w:rsid w:val="008B4307"/>
    <w:rsid w:val="008B4658"/>
    <w:rsid w:val="008B4C1E"/>
    <w:rsid w:val="008B4E48"/>
    <w:rsid w:val="008B4EF2"/>
    <w:rsid w:val="008B55FD"/>
    <w:rsid w:val="008B62DD"/>
    <w:rsid w:val="008B67AC"/>
    <w:rsid w:val="008B7507"/>
    <w:rsid w:val="008B7B75"/>
    <w:rsid w:val="008B7EA5"/>
    <w:rsid w:val="008B7F29"/>
    <w:rsid w:val="008C011A"/>
    <w:rsid w:val="008C02D2"/>
    <w:rsid w:val="008C0469"/>
    <w:rsid w:val="008C08BD"/>
    <w:rsid w:val="008C0C29"/>
    <w:rsid w:val="008C134C"/>
    <w:rsid w:val="008C3016"/>
    <w:rsid w:val="008C3945"/>
    <w:rsid w:val="008C4618"/>
    <w:rsid w:val="008C4ACD"/>
    <w:rsid w:val="008C4DF5"/>
    <w:rsid w:val="008C4EA2"/>
    <w:rsid w:val="008C5A5C"/>
    <w:rsid w:val="008C5ABA"/>
    <w:rsid w:val="008C5C02"/>
    <w:rsid w:val="008C601E"/>
    <w:rsid w:val="008C6312"/>
    <w:rsid w:val="008C6579"/>
    <w:rsid w:val="008C6A45"/>
    <w:rsid w:val="008C7534"/>
    <w:rsid w:val="008C7E78"/>
    <w:rsid w:val="008D018F"/>
    <w:rsid w:val="008D1D52"/>
    <w:rsid w:val="008D3251"/>
    <w:rsid w:val="008D462E"/>
    <w:rsid w:val="008D475F"/>
    <w:rsid w:val="008D64D0"/>
    <w:rsid w:val="008D69DC"/>
    <w:rsid w:val="008D6A09"/>
    <w:rsid w:val="008D7300"/>
    <w:rsid w:val="008D74AC"/>
    <w:rsid w:val="008D7686"/>
    <w:rsid w:val="008D7A54"/>
    <w:rsid w:val="008E078B"/>
    <w:rsid w:val="008E0BFE"/>
    <w:rsid w:val="008E0CBF"/>
    <w:rsid w:val="008E11A9"/>
    <w:rsid w:val="008E11DE"/>
    <w:rsid w:val="008E1320"/>
    <w:rsid w:val="008E17F7"/>
    <w:rsid w:val="008E1B17"/>
    <w:rsid w:val="008E1CB3"/>
    <w:rsid w:val="008E1D57"/>
    <w:rsid w:val="008E2266"/>
    <w:rsid w:val="008E3388"/>
    <w:rsid w:val="008E382F"/>
    <w:rsid w:val="008E48F8"/>
    <w:rsid w:val="008E4A73"/>
    <w:rsid w:val="008E514C"/>
    <w:rsid w:val="008E59BB"/>
    <w:rsid w:val="008E6433"/>
    <w:rsid w:val="008E6B12"/>
    <w:rsid w:val="008E6E07"/>
    <w:rsid w:val="008E7438"/>
    <w:rsid w:val="008F00DA"/>
    <w:rsid w:val="008F0389"/>
    <w:rsid w:val="008F05DE"/>
    <w:rsid w:val="008F1079"/>
    <w:rsid w:val="008F1166"/>
    <w:rsid w:val="008F25BC"/>
    <w:rsid w:val="008F2748"/>
    <w:rsid w:val="008F2A23"/>
    <w:rsid w:val="008F2E24"/>
    <w:rsid w:val="008F2F9C"/>
    <w:rsid w:val="008F401C"/>
    <w:rsid w:val="008F433E"/>
    <w:rsid w:val="008F4453"/>
    <w:rsid w:val="008F4BBB"/>
    <w:rsid w:val="008F52AE"/>
    <w:rsid w:val="008F5384"/>
    <w:rsid w:val="008F5679"/>
    <w:rsid w:val="008F5D2B"/>
    <w:rsid w:val="008F5FD1"/>
    <w:rsid w:val="008F6311"/>
    <w:rsid w:val="008F66E1"/>
    <w:rsid w:val="008F68CF"/>
    <w:rsid w:val="008F7127"/>
    <w:rsid w:val="008F7A7A"/>
    <w:rsid w:val="008F7BC0"/>
    <w:rsid w:val="008F7C35"/>
    <w:rsid w:val="008F7D05"/>
    <w:rsid w:val="00900082"/>
    <w:rsid w:val="009005FA"/>
    <w:rsid w:val="009010FF"/>
    <w:rsid w:val="00901520"/>
    <w:rsid w:val="00902C47"/>
    <w:rsid w:val="00902E1A"/>
    <w:rsid w:val="00902F8A"/>
    <w:rsid w:val="009032D4"/>
    <w:rsid w:val="0090339F"/>
    <w:rsid w:val="00903488"/>
    <w:rsid w:val="0090387B"/>
    <w:rsid w:val="00903919"/>
    <w:rsid w:val="009041E7"/>
    <w:rsid w:val="009045C2"/>
    <w:rsid w:val="009049AE"/>
    <w:rsid w:val="00905876"/>
    <w:rsid w:val="00905F5A"/>
    <w:rsid w:val="0090613A"/>
    <w:rsid w:val="009066ED"/>
    <w:rsid w:val="00906D0F"/>
    <w:rsid w:val="00906D4F"/>
    <w:rsid w:val="009071DA"/>
    <w:rsid w:val="00907A49"/>
    <w:rsid w:val="00907C8F"/>
    <w:rsid w:val="00907D25"/>
    <w:rsid w:val="00910D77"/>
    <w:rsid w:val="0091168F"/>
    <w:rsid w:val="009118BE"/>
    <w:rsid w:val="0091208E"/>
    <w:rsid w:val="00912419"/>
    <w:rsid w:val="00912CDB"/>
    <w:rsid w:val="00913191"/>
    <w:rsid w:val="009131FE"/>
    <w:rsid w:val="00913674"/>
    <w:rsid w:val="00913805"/>
    <w:rsid w:val="0091396B"/>
    <w:rsid w:val="009148E0"/>
    <w:rsid w:val="009151CF"/>
    <w:rsid w:val="0091559D"/>
    <w:rsid w:val="00915B2B"/>
    <w:rsid w:val="0091626E"/>
    <w:rsid w:val="00916A3F"/>
    <w:rsid w:val="00916DAF"/>
    <w:rsid w:val="009205CA"/>
    <w:rsid w:val="00920A20"/>
    <w:rsid w:val="009212EE"/>
    <w:rsid w:val="009221B6"/>
    <w:rsid w:val="009223BD"/>
    <w:rsid w:val="009226BE"/>
    <w:rsid w:val="009231D2"/>
    <w:rsid w:val="00923349"/>
    <w:rsid w:val="0092367B"/>
    <w:rsid w:val="009237C9"/>
    <w:rsid w:val="00923DB7"/>
    <w:rsid w:val="00923F87"/>
    <w:rsid w:val="00924375"/>
    <w:rsid w:val="009246BC"/>
    <w:rsid w:val="00924923"/>
    <w:rsid w:val="00924944"/>
    <w:rsid w:val="00924A05"/>
    <w:rsid w:val="00924CDC"/>
    <w:rsid w:val="00925C64"/>
    <w:rsid w:val="00925F4C"/>
    <w:rsid w:val="009260E0"/>
    <w:rsid w:val="00926463"/>
    <w:rsid w:val="009266AD"/>
    <w:rsid w:val="00926F82"/>
    <w:rsid w:val="00926F93"/>
    <w:rsid w:val="00927F37"/>
    <w:rsid w:val="009302B3"/>
    <w:rsid w:val="009302C8"/>
    <w:rsid w:val="009305A0"/>
    <w:rsid w:val="0093095B"/>
    <w:rsid w:val="00930D37"/>
    <w:rsid w:val="00931492"/>
    <w:rsid w:val="00931588"/>
    <w:rsid w:val="00931720"/>
    <w:rsid w:val="00931DAE"/>
    <w:rsid w:val="0093209C"/>
    <w:rsid w:val="0093248D"/>
    <w:rsid w:val="009330DB"/>
    <w:rsid w:val="00933400"/>
    <w:rsid w:val="00933A15"/>
    <w:rsid w:val="009340FD"/>
    <w:rsid w:val="00934955"/>
    <w:rsid w:val="00935217"/>
    <w:rsid w:val="00935282"/>
    <w:rsid w:val="00935AC3"/>
    <w:rsid w:val="00936018"/>
    <w:rsid w:val="009374E4"/>
    <w:rsid w:val="0093773F"/>
    <w:rsid w:val="00937DB8"/>
    <w:rsid w:val="00937E8A"/>
    <w:rsid w:val="00940059"/>
    <w:rsid w:val="00940290"/>
    <w:rsid w:val="0094071D"/>
    <w:rsid w:val="00940BCE"/>
    <w:rsid w:val="00942D53"/>
    <w:rsid w:val="009430AB"/>
    <w:rsid w:val="009431DE"/>
    <w:rsid w:val="0094324C"/>
    <w:rsid w:val="009437B9"/>
    <w:rsid w:val="00943A1E"/>
    <w:rsid w:val="00943AFF"/>
    <w:rsid w:val="00943B7B"/>
    <w:rsid w:val="00943C43"/>
    <w:rsid w:val="0094438D"/>
    <w:rsid w:val="009444A1"/>
    <w:rsid w:val="00944E79"/>
    <w:rsid w:val="00945156"/>
    <w:rsid w:val="00945248"/>
    <w:rsid w:val="00945282"/>
    <w:rsid w:val="009452C6"/>
    <w:rsid w:val="00947567"/>
    <w:rsid w:val="0094775C"/>
    <w:rsid w:val="0094790F"/>
    <w:rsid w:val="00950223"/>
    <w:rsid w:val="0095084F"/>
    <w:rsid w:val="00950850"/>
    <w:rsid w:val="00950C75"/>
    <w:rsid w:val="00950DFB"/>
    <w:rsid w:val="00951E48"/>
    <w:rsid w:val="00951EDA"/>
    <w:rsid w:val="00952098"/>
    <w:rsid w:val="0095224B"/>
    <w:rsid w:val="0095262E"/>
    <w:rsid w:val="00952F47"/>
    <w:rsid w:val="0095423F"/>
    <w:rsid w:val="0095505E"/>
    <w:rsid w:val="00955867"/>
    <w:rsid w:val="00955CCA"/>
    <w:rsid w:val="009565EB"/>
    <w:rsid w:val="00956710"/>
    <w:rsid w:val="0095686F"/>
    <w:rsid w:val="00956B20"/>
    <w:rsid w:val="00956DBA"/>
    <w:rsid w:val="0095721E"/>
    <w:rsid w:val="00957271"/>
    <w:rsid w:val="00957320"/>
    <w:rsid w:val="00957655"/>
    <w:rsid w:val="009578C0"/>
    <w:rsid w:val="00957D00"/>
    <w:rsid w:val="00957E48"/>
    <w:rsid w:val="00957FAA"/>
    <w:rsid w:val="009605E9"/>
    <w:rsid w:val="00960DC5"/>
    <w:rsid w:val="00960FD6"/>
    <w:rsid w:val="00961BEB"/>
    <w:rsid w:val="00961C4B"/>
    <w:rsid w:val="00961FA2"/>
    <w:rsid w:val="0096211E"/>
    <w:rsid w:val="0096253F"/>
    <w:rsid w:val="00962791"/>
    <w:rsid w:val="00962D78"/>
    <w:rsid w:val="00963672"/>
    <w:rsid w:val="009648C4"/>
    <w:rsid w:val="00964E72"/>
    <w:rsid w:val="00965133"/>
    <w:rsid w:val="00965248"/>
    <w:rsid w:val="00965399"/>
    <w:rsid w:val="00965416"/>
    <w:rsid w:val="0096541A"/>
    <w:rsid w:val="00965A91"/>
    <w:rsid w:val="0097001B"/>
    <w:rsid w:val="00970517"/>
    <w:rsid w:val="00970695"/>
    <w:rsid w:val="009706C1"/>
    <w:rsid w:val="009718E8"/>
    <w:rsid w:val="00971E3E"/>
    <w:rsid w:val="00972469"/>
    <w:rsid w:val="00972595"/>
    <w:rsid w:val="00972918"/>
    <w:rsid w:val="00972AC4"/>
    <w:rsid w:val="00972F32"/>
    <w:rsid w:val="0097307F"/>
    <w:rsid w:val="00974384"/>
    <w:rsid w:val="009749F5"/>
    <w:rsid w:val="00974C75"/>
    <w:rsid w:val="00975063"/>
    <w:rsid w:val="0097596E"/>
    <w:rsid w:val="009761BC"/>
    <w:rsid w:val="009764C0"/>
    <w:rsid w:val="00976C67"/>
    <w:rsid w:val="009774CD"/>
    <w:rsid w:val="00977F1C"/>
    <w:rsid w:val="009801A5"/>
    <w:rsid w:val="00980D1B"/>
    <w:rsid w:val="00980F59"/>
    <w:rsid w:val="0098111E"/>
    <w:rsid w:val="0098172C"/>
    <w:rsid w:val="00981B40"/>
    <w:rsid w:val="00982C13"/>
    <w:rsid w:val="009832C7"/>
    <w:rsid w:val="0098351C"/>
    <w:rsid w:val="0098490D"/>
    <w:rsid w:val="00985324"/>
    <w:rsid w:val="009858A7"/>
    <w:rsid w:val="00986428"/>
    <w:rsid w:val="0098665D"/>
    <w:rsid w:val="00986B21"/>
    <w:rsid w:val="00986C23"/>
    <w:rsid w:val="00986D6C"/>
    <w:rsid w:val="00987669"/>
    <w:rsid w:val="009877ED"/>
    <w:rsid w:val="00987881"/>
    <w:rsid w:val="00987FB5"/>
    <w:rsid w:val="00990640"/>
    <w:rsid w:val="009911A2"/>
    <w:rsid w:val="009914AB"/>
    <w:rsid w:val="00991E41"/>
    <w:rsid w:val="009923AB"/>
    <w:rsid w:val="009928D7"/>
    <w:rsid w:val="00993424"/>
    <w:rsid w:val="00993BB8"/>
    <w:rsid w:val="00993D05"/>
    <w:rsid w:val="00993E37"/>
    <w:rsid w:val="00994189"/>
    <w:rsid w:val="009941BB"/>
    <w:rsid w:val="0099485F"/>
    <w:rsid w:val="00995A48"/>
    <w:rsid w:val="0099610E"/>
    <w:rsid w:val="0099614E"/>
    <w:rsid w:val="009964C7"/>
    <w:rsid w:val="0099697A"/>
    <w:rsid w:val="009973C7"/>
    <w:rsid w:val="00997E67"/>
    <w:rsid w:val="009A001A"/>
    <w:rsid w:val="009A100A"/>
    <w:rsid w:val="009A12D4"/>
    <w:rsid w:val="009A1695"/>
    <w:rsid w:val="009A30AE"/>
    <w:rsid w:val="009A378B"/>
    <w:rsid w:val="009A4105"/>
    <w:rsid w:val="009A4A05"/>
    <w:rsid w:val="009A4D8B"/>
    <w:rsid w:val="009A5036"/>
    <w:rsid w:val="009A55FC"/>
    <w:rsid w:val="009A56FD"/>
    <w:rsid w:val="009A69E0"/>
    <w:rsid w:val="009A6B1E"/>
    <w:rsid w:val="009A6D38"/>
    <w:rsid w:val="009A7EB8"/>
    <w:rsid w:val="009A7F6D"/>
    <w:rsid w:val="009B0412"/>
    <w:rsid w:val="009B0766"/>
    <w:rsid w:val="009B0CC3"/>
    <w:rsid w:val="009B132F"/>
    <w:rsid w:val="009B139E"/>
    <w:rsid w:val="009B1492"/>
    <w:rsid w:val="009B1650"/>
    <w:rsid w:val="009B1DBA"/>
    <w:rsid w:val="009B2BD6"/>
    <w:rsid w:val="009B3BF1"/>
    <w:rsid w:val="009B3C76"/>
    <w:rsid w:val="009B3DAB"/>
    <w:rsid w:val="009B4C45"/>
    <w:rsid w:val="009B5A80"/>
    <w:rsid w:val="009B62E2"/>
    <w:rsid w:val="009B7B54"/>
    <w:rsid w:val="009B7EFA"/>
    <w:rsid w:val="009C0050"/>
    <w:rsid w:val="009C0128"/>
    <w:rsid w:val="009C0145"/>
    <w:rsid w:val="009C18FE"/>
    <w:rsid w:val="009C2418"/>
    <w:rsid w:val="009C24B6"/>
    <w:rsid w:val="009C24C8"/>
    <w:rsid w:val="009C24F4"/>
    <w:rsid w:val="009C2C9A"/>
    <w:rsid w:val="009C2E18"/>
    <w:rsid w:val="009C40E9"/>
    <w:rsid w:val="009C48B6"/>
    <w:rsid w:val="009C4C06"/>
    <w:rsid w:val="009C5007"/>
    <w:rsid w:val="009C5A06"/>
    <w:rsid w:val="009C6842"/>
    <w:rsid w:val="009C68FF"/>
    <w:rsid w:val="009C69F2"/>
    <w:rsid w:val="009C6DA6"/>
    <w:rsid w:val="009C724D"/>
    <w:rsid w:val="009C7E95"/>
    <w:rsid w:val="009C7F93"/>
    <w:rsid w:val="009D0491"/>
    <w:rsid w:val="009D0648"/>
    <w:rsid w:val="009D077F"/>
    <w:rsid w:val="009D12F3"/>
    <w:rsid w:val="009D1D89"/>
    <w:rsid w:val="009D1D9B"/>
    <w:rsid w:val="009D351A"/>
    <w:rsid w:val="009D3903"/>
    <w:rsid w:val="009D3949"/>
    <w:rsid w:val="009D3E05"/>
    <w:rsid w:val="009D4987"/>
    <w:rsid w:val="009D4B8A"/>
    <w:rsid w:val="009D5319"/>
    <w:rsid w:val="009D5333"/>
    <w:rsid w:val="009D547F"/>
    <w:rsid w:val="009D54C2"/>
    <w:rsid w:val="009D5BAA"/>
    <w:rsid w:val="009D5FA8"/>
    <w:rsid w:val="009D6050"/>
    <w:rsid w:val="009D62C5"/>
    <w:rsid w:val="009D73EB"/>
    <w:rsid w:val="009D7B59"/>
    <w:rsid w:val="009D7DFA"/>
    <w:rsid w:val="009E131E"/>
    <w:rsid w:val="009E13AA"/>
    <w:rsid w:val="009E14B8"/>
    <w:rsid w:val="009E18B6"/>
    <w:rsid w:val="009E1E02"/>
    <w:rsid w:val="009E3126"/>
    <w:rsid w:val="009E334B"/>
    <w:rsid w:val="009E36B8"/>
    <w:rsid w:val="009E36C5"/>
    <w:rsid w:val="009E3701"/>
    <w:rsid w:val="009E38DC"/>
    <w:rsid w:val="009E3A08"/>
    <w:rsid w:val="009E3A50"/>
    <w:rsid w:val="009E48FE"/>
    <w:rsid w:val="009E4D79"/>
    <w:rsid w:val="009E4DBB"/>
    <w:rsid w:val="009E4DD6"/>
    <w:rsid w:val="009E5029"/>
    <w:rsid w:val="009E525D"/>
    <w:rsid w:val="009E594E"/>
    <w:rsid w:val="009E5B68"/>
    <w:rsid w:val="009E62C2"/>
    <w:rsid w:val="009E6418"/>
    <w:rsid w:val="009E69B4"/>
    <w:rsid w:val="009E6E17"/>
    <w:rsid w:val="009E6E5E"/>
    <w:rsid w:val="009E7350"/>
    <w:rsid w:val="009E73ED"/>
    <w:rsid w:val="009E755D"/>
    <w:rsid w:val="009F1527"/>
    <w:rsid w:val="009F24E3"/>
    <w:rsid w:val="009F35EE"/>
    <w:rsid w:val="009F3757"/>
    <w:rsid w:val="009F577E"/>
    <w:rsid w:val="009F581C"/>
    <w:rsid w:val="009F5D7F"/>
    <w:rsid w:val="009F63DD"/>
    <w:rsid w:val="009F689F"/>
    <w:rsid w:val="009F72F9"/>
    <w:rsid w:val="00A00A50"/>
    <w:rsid w:val="00A00C17"/>
    <w:rsid w:val="00A00C47"/>
    <w:rsid w:val="00A00D09"/>
    <w:rsid w:val="00A01149"/>
    <w:rsid w:val="00A01853"/>
    <w:rsid w:val="00A019BF"/>
    <w:rsid w:val="00A02369"/>
    <w:rsid w:val="00A0335E"/>
    <w:rsid w:val="00A03529"/>
    <w:rsid w:val="00A04202"/>
    <w:rsid w:val="00A04403"/>
    <w:rsid w:val="00A04E9C"/>
    <w:rsid w:val="00A05471"/>
    <w:rsid w:val="00A05E4B"/>
    <w:rsid w:val="00A060D6"/>
    <w:rsid w:val="00A0655F"/>
    <w:rsid w:val="00A0666C"/>
    <w:rsid w:val="00A0669D"/>
    <w:rsid w:val="00A066E7"/>
    <w:rsid w:val="00A067CA"/>
    <w:rsid w:val="00A0682E"/>
    <w:rsid w:val="00A06F68"/>
    <w:rsid w:val="00A10320"/>
    <w:rsid w:val="00A105E4"/>
    <w:rsid w:val="00A110AB"/>
    <w:rsid w:val="00A11968"/>
    <w:rsid w:val="00A11992"/>
    <w:rsid w:val="00A11E18"/>
    <w:rsid w:val="00A12204"/>
    <w:rsid w:val="00A12233"/>
    <w:rsid w:val="00A128BE"/>
    <w:rsid w:val="00A12A63"/>
    <w:rsid w:val="00A130EB"/>
    <w:rsid w:val="00A13818"/>
    <w:rsid w:val="00A14473"/>
    <w:rsid w:val="00A148F4"/>
    <w:rsid w:val="00A14E6B"/>
    <w:rsid w:val="00A15016"/>
    <w:rsid w:val="00A1563F"/>
    <w:rsid w:val="00A15B6C"/>
    <w:rsid w:val="00A15C16"/>
    <w:rsid w:val="00A15EBE"/>
    <w:rsid w:val="00A160C1"/>
    <w:rsid w:val="00A160F1"/>
    <w:rsid w:val="00A16B96"/>
    <w:rsid w:val="00A172A3"/>
    <w:rsid w:val="00A2092F"/>
    <w:rsid w:val="00A20C4C"/>
    <w:rsid w:val="00A2125B"/>
    <w:rsid w:val="00A2175F"/>
    <w:rsid w:val="00A2191D"/>
    <w:rsid w:val="00A22011"/>
    <w:rsid w:val="00A2208E"/>
    <w:rsid w:val="00A22A64"/>
    <w:rsid w:val="00A22B70"/>
    <w:rsid w:val="00A23A32"/>
    <w:rsid w:val="00A245B0"/>
    <w:rsid w:val="00A2479D"/>
    <w:rsid w:val="00A24FA9"/>
    <w:rsid w:val="00A25F68"/>
    <w:rsid w:val="00A26416"/>
    <w:rsid w:val="00A26A15"/>
    <w:rsid w:val="00A26E30"/>
    <w:rsid w:val="00A27436"/>
    <w:rsid w:val="00A27AAD"/>
    <w:rsid w:val="00A27B7B"/>
    <w:rsid w:val="00A27BF7"/>
    <w:rsid w:val="00A3041A"/>
    <w:rsid w:val="00A3099A"/>
    <w:rsid w:val="00A30E81"/>
    <w:rsid w:val="00A3151E"/>
    <w:rsid w:val="00A31653"/>
    <w:rsid w:val="00A31BDC"/>
    <w:rsid w:val="00A32D38"/>
    <w:rsid w:val="00A32D58"/>
    <w:rsid w:val="00A331AD"/>
    <w:rsid w:val="00A33876"/>
    <w:rsid w:val="00A3388C"/>
    <w:rsid w:val="00A339C9"/>
    <w:rsid w:val="00A33A97"/>
    <w:rsid w:val="00A33D82"/>
    <w:rsid w:val="00A33F7A"/>
    <w:rsid w:val="00A34019"/>
    <w:rsid w:val="00A3445C"/>
    <w:rsid w:val="00A347E4"/>
    <w:rsid w:val="00A34CDF"/>
    <w:rsid w:val="00A350DA"/>
    <w:rsid w:val="00A350F5"/>
    <w:rsid w:val="00A351EE"/>
    <w:rsid w:val="00A35329"/>
    <w:rsid w:val="00A35E1A"/>
    <w:rsid w:val="00A3607E"/>
    <w:rsid w:val="00A3623E"/>
    <w:rsid w:val="00A362BD"/>
    <w:rsid w:val="00A365DC"/>
    <w:rsid w:val="00A37819"/>
    <w:rsid w:val="00A379AF"/>
    <w:rsid w:val="00A40A30"/>
    <w:rsid w:val="00A41306"/>
    <w:rsid w:val="00A4224C"/>
    <w:rsid w:val="00A42710"/>
    <w:rsid w:val="00A42AF4"/>
    <w:rsid w:val="00A42EDC"/>
    <w:rsid w:val="00A42FBD"/>
    <w:rsid w:val="00A4321F"/>
    <w:rsid w:val="00A439CB"/>
    <w:rsid w:val="00A440A2"/>
    <w:rsid w:val="00A44E6C"/>
    <w:rsid w:val="00A451A7"/>
    <w:rsid w:val="00A45608"/>
    <w:rsid w:val="00A4597E"/>
    <w:rsid w:val="00A46345"/>
    <w:rsid w:val="00A46983"/>
    <w:rsid w:val="00A47AEF"/>
    <w:rsid w:val="00A50A94"/>
    <w:rsid w:val="00A5134A"/>
    <w:rsid w:val="00A5246D"/>
    <w:rsid w:val="00A53165"/>
    <w:rsid w:val="00A53454"/>
    <w:rsid w:val="00A5463D"/>
    <w:rsid w:val="00A54813"/>
    <w:rsid w:val="00A54962"/>
    <w:rsid w:val="00A54AAE"/>
    <w:rsid w:val="00A54DCA"/>
    <w:rsid w:val="00A556FC"/>
    <w:rsid w:val="00A55A31"/>
    <w:rsid w:val="00A55BF0"/>
    <w:rsid w:val="00A5691F"/>
    <w:rsid w:val="00A56CF6"/>
    <w:rsid w:val="00A57716"/>
    <w:rsid w:val="00A6008E"/>
    <w:rsid w:val="00A60476"/>
    <w:rsid w:val="00A607A2"/>
    <w:rsid w:val="00A60874"/>
    <w:rsid w:val="00A60B55"/>
    <w:rsid w:val="00A614D3"/>
    <w:rsid w:val="00A617A2"/>
    <w:rsid w:val="00A61E06"/>
    <w:rsid w:val="00A62152"/>
    <w:rsid w:val="00A62350"/>
    <w:rsid w:val="00A6275D"/>
    <w:rsid w:val="00A632A5"/>
    <w:rsid w:val="00A63B1D"/>
    <w:rsid w:val="00A63FBD"/>
    <w:rsid w:val="00A64246"/>
    <w:rsid w:val="00A64F02"/>
    <w:rsid w:val="00A6502C"/>
    <w:rsid w:val="00A65192"/>
    <w:rsid w:val="00A65623"/>
    <w:rsid w:val="00A6604B"/>
    <w:rsid w:val="00A667AC"/>
    <w:rsid w:val="00A67709"/>
    <w:rsid w:val="00A678D4"/>
    <w:rsid w:val="00A67C89"/>
    <w:rsid w:val="00A7063D"/>
    <w:rsid w:val="00A70BF5"/>
    <w:rsid w:val="00A71886"/>
    <w:rsid w:val="00A7195D"/>
    <w:rsid w:val="00A71BA3"/>
    <w:rsid w:val="00A723A3"/>
    <w:rsid w:val="00A7275C"/>
    <w:rsid w:val="00A72B87"/>
    <w:rsid w:val="00A72C68"/>
    <w:rsid w:val="00A72F9E"/>
    <w:rsid w:val="00A736D7"/>
    <w:rsid w:val="00A73F54"/>
    <w:rsid w:val="00A7419B"/>
    <w:rsid w:val="00A749D0"/>
    <w:rsid w:val="00A74A43"/>
    <w:rsid w:val="00A74B2F"/>
    <w:rsid w:val="00A74F18"/>
    <w:rsid w:val="00A75140"/>
    <w:rsid w:val="00A75572"/>
    <w:rsid w:val="00A757AB"/>
    <w:rsid w:val="00A7595C"/>
    <w:rsid w:val="00A75B18"/>
    <w:rsid w:val="00A760FC"/>
    <w:rsid w:val="00A76C99"/>
    <w:rsid w:val="00A778F2"/>
    <w:rsid w:val="00A77C1E"/>
    <w:rsid w:val="00A8001E"/>
    <w:rsid w:val="00A80B53"/>
    <w:rsid w:val="00A80EAB"/>
    <w:rsid w:val="00A8111A"/>
    <w:rsid w:val="00A81B91"/>
    <w:rsid w:val="00A82100"/>
    <w:rsid w:val="00A822E9"/>
    <w:rsid w:val="00A8276C"/>
    <w:rsid w:val="00A829B4"/>
    <w:rsid w:val="00A82F86"/>
    <w:rsid w:val="00A83734"/>
    <w:rsid w:val="00A83E05"/>
    <w:rsid w:val="00A845A3"/>
    <w:rsid w:val="00A84685"/>
    <w:rsid w:val="00A84C27"/>
    <w:rsid w:val="00A864F9"/>
    <w:rsid w:val="00A86B17"/>
    <w:rsid w:val="00A86BF4"/>
    <w:rsid w:val="00A86CAB"/>
    <w:rsid w:val="00A86E5D"/>
    <w:rsid w:val="00A86ECE"/>
    <w:rsid w:val="00A86FA3"/>
    <w:rsid w:val="00A87066"/>
    <w:rsid w:val="00A8720E"/>
    <w:rsid w:val="00A87302"/>
    <w:rsid w:val="00A90FA4"/>
    <w:rsid w:val="00A918DD"/>
    <w:rsid w:val="00A91FF9"/>
    <w:rsid w:val="00A926CA"/>
    <w:rsid w:val="00A9277E"/>
    <w:rsid w:val="00A92B9F"/>
    <w:rsid w:val="00A949B8"/>
    <w:rsid w:val="00A95DDA"/>
    <w:rsid w:val="00A95EAC"/>
    <w:rsid w:val="00A960F6"/>
    <w:rsid w:val="00A96A77"/>
    <w:rsid w:val="00A96DA8"/>
    <w:rsid w:val="00A96E1A"/>
    <w:rsid w:val="00A96EF8"/>
    <w:rsid w:val="00A9792C"/>
    <w:rsid w:val="00A97C2D"/>
    <w:rsid w:val="00A97F75"/>
    <w:rsid w:val="00AA026F"/>
    <w:rsid w:val="00AA05C6"/>
    <w:rsid w:val="00AA081D"/>
    <w:rsid w:val="00AA0F4F"/>
    <w:rsid w:val="00AA1674"/>
    <w:rsid w:val="00AA16E3"/>
    <w:rsid w:val="00AA25F3"/>
    <w:rsid w:val="00AA3C43"/>
    <w:rsid w:val="00AA5294"/>
    <w:rsid w:val="00AA5579"/>
    <w:rsid w:val="00AA5A51"/>
    <w:rsid w:val="00AA649A"/>
    <w:rsid w:val="00AA69D5"/>
    <w:rsid w:val="00AA6D27"/>
    <w:rsid w:val="00AA6F14"/>
    <w:rsid w:val="00AA78EC"/>
    <w:rsid w:val="00AA7A1F"/>
    <w:rsid w:val="00AA7DCC"/>
    <w:rsid w:val="00AB05AF"/>
    <w:rsid w:val="00AB0967"/>
    <w:rsid w:val="00AB1146"/>
    <w:rsid w:val="00AB196F"/>
    <w:rsid w:val="00AB1B3D"/>
    <w:rsid w:val="00AB1CAF"/>
    <w:rsid w:val="00AB24DB"/>
    <w:rsid w:val="00AB2714"/>
    <w:rsid w:val="00AB2829"/>
    <w:rsid w:val="00AB330D"/>
    <w:rsid w:val="00AB3EBD"/>
    <w:rsid w:val="00AB4547"/>
    <w:rsid w:val="00AB5BF2"/>
    <w:rsid w:val="00AB7098"/>
    <w:rsid w:val="00AB7308"/>
    <w:rsid w:val="00AB77DD"/>
    <w:rsid w:val="00AB7C09"/>
    <w:rsid w:val="00AB7FC0"/>
    <w:rsid w:val="00AC02AC"/>
    <w:rsid w:val="00AC0ECF"/>
    <w:rsid w:val="00AC150E"/>
    <w:rsid w:val="00AC15E5"/>
    <w:rsid w:val="00AC185D"/>
    <w:rsid w:val="00AC2EA4"/>
    <w:rsid w:val="00AC326C"/>
    <w:rsid w:val="00AC439F"/>
    <w:rsid w:val="00AC486D"/>
    <w:rsid w:val="00AC4A4A"/>
    <w:rsid w:val="00AC4B7A"/>
    <w:rsid w:val="00AC5579"/>
    <w:rsid w:val="00AC5D13"/>
    <w:rsid w:val="00AC6354"/>
    <w:rsid w:val="00AC66FE"/>
    <w:rsid w:val="00AC68C1"/>
    <w:rsid w:val="00AC6A76"/>
    <w:rsid w:val="00AC6C1B"/>
    <w:rsid w:val="00AC6DE8"/>
    <w:rsid w:val="00AD00C9"/>
    <w:rsid w:val="00AD0475"/>
    <w:rsid w:val="00AD1CD0"/>
    <w:rsid w:val="00AD21D5"/>
    <w:rsid w:val="00AD2538"/>
    <w:rsid w:val="00AD2821"/>
    <w:rsid w:val="00AD2A4F"/>
    <w:rsid w:val="00AD2DE9"/>
    <w:rsid w:val="00AD302C"/>
    <w:rsid w:val="00AD3144"/>
    <w:rsid w:val="00AD396F"/>
    <w:rsid w:val="00AD3BBD"/>
    <w:rsid w:val="00AD3C86"/>
    <w:rsid w:val="00AD4A64"/>
    <w:rsid w:val="00AD4E9D"/>
    <w:rsid w:val="00AD5CF6"/>
    <w:rsid w:val="00AD6763"/>
    <w:rsid w:val="00AD6C35"/>
    <w:rsid w:val="00AD6D53"/>
    <w:rsid w:val="00AD7259"/>
    <w:rsid w:val="00AD725E"/>
    <w:rsid w:val="00AD7C85"/>
    <w:rsid w:val="00AD7ECA"/>
    <w:rsid w:val="00AE0656"/>
    <w:rsid w:val="00AE0BD5"/>
    <w:rsid w:val="00AE0E78"/>
    <w:rsid w:val="00AE1114"/>
    <w:rsid w:val="00AE2563"/>
    <w:rsid w:val="00AE2C31"/>
    <w:rsid w:val="00AE3033"/>
    <w:rsid w:val="00AE3242"/>
    <w:rsid w:val="00AE3930"/>
    <w:rsid w:val="00AE394A"/>
    <w:rsid w:val="00AE39B4"/>
    <w:rsid w:val="00AE39B9"/>
    <w:rsid w:val="00AE3B0C"/>
    <w:rsid w:val="00AE454E"/>
    <w:rsid w:val="00AE45A0"/>
    <w:rsid w:val="00AE4A76"/>
    <w:rsid w:val="00AE4CE6"/>
    <w:rsid w:val="00AE4FDD"/>
    <w:rsid w:val="00AE53BC"/>
    <w:rsid w:val="00AE5497"/>
    <w:rsid w:val="00AE5631"/>
    <w:rsid w:val="00AE5CAD"/>
    <w:rsid w:val="00AE5DC5"/>
    <w:rsid w:val="00AE5E02"/>
    <w:rsid w:val="00AE69D7"/>
    <w:rsid w:val="00AE79A0"/>
    <w:rsid w:val="00AE7EE7"/>
    <w:rsid w:val="00AF00AA"/>
    <w:rsid w:val="00AF10CA"/>
    <w:rsid w:val="00AF14DA"/>
    <w:rsid w:val="00AF2116"/>
    <w:rsid w:val="00AF2142"/>
    <w:rsid w:val="00AF24F9"/>
    <w:rsid w:val="00AF2559"/>
    <w:rsid w:val="00AF2A93"/>
    <w:rsid w:val="00AF2DC5"/>
    <w:rsid w:val="00AF3256"/>
    <w:rsid w:val="00AF3CB4"/>
    <w:rsid w:val="00AF467B"/>
    <w:rsid w:val="00AF46EC"/>
    <w:rsid w:val="00AF4A29"/>
    <w:rsid w:val="00AF5414"/>
    <w:rsid w:val="00AF569B"/>
    <w:rsid w:val="00AF64D8"/>
    <w:rsid w:val="00AF64E9"/>
    <w:rsid w:val="00AF6D2C"/>
    <w:rsid w:val="00AF6FE1"/>
    <w:rsid w:val="00AF72AB"/>
    <w:rsid w:val="00AF7764"/>
    <w:rsid w:val="00AF782F"/>
    <w:rsid w:val="00AF7B58"/>
    <w:rsid w:val="00AF7DCE"/>
    <w:rsid w:val="00B00785"/>
    <w:rsid w:val="00B00B45"/>
    <w:rsid w:val="00B00DB4"/>
    <w:rsid w:val="00B00EF3"/>
    <w:rsid w:val="00B00F74"/>
    <w:rsid w:val="00B0175D"/>
    <w:rsid w:val="00B01D50"/>
    <w:rsid w:val="00B01FE2"/>
    <w:rsid w:val="00B028DB"/>
    <w:rsid w:val="00B029C3"/>
    <w:rsid w:val="00B0325E"/>
    <w:rsid w:val="00B0374B"/>
    <w:rsid w:val="00B03B53"/>
    <w:rsid w:val="00B060B2"/>
    <w:rsid w:val="00B06363"/>
    <w:rsid w:val="00B101D7"/>
    <w:rsid w:val="00B10E5C"/>
    <w:rsid w:val="00B119D8"/>
    <w:rsid w:val="00B11C43"/>
    <w:rsid w:val="00B1208F"/>
    <w:rsid w:val="00B12208"/>
    <w:rsid w:val="00B122D1"/>
    <w:rsid w:val="00B126DE"/>
    <w:rsid w:val="00B1289F"/>
    <w:rsid w:val="00B133FD"/>
    <w:rsid w:val="00B136BF"/>
    <w:rsid w:val="00B14B43"/>
    <w:rsid w:val="00B1551E"/>
    <w:rsid w:val="00B15D77"/>
    <w:rsid w:val="00B1639B"/>
    <w:rsid w:val="00B16E26"/>
    <w:rsid w:val="00B16FB4"/>
    <w:rsid w:val="00B1713D"/>
    <w:rsid w:val="00B17927"/>
    <w:rsid w:val="00B20179"/>
    <w:rsid w:val="00B207F1"/>
    <w:rsid w:val="00B2119E"/>
    <w:rsid w:val="00B21507"/>
    <w:rsid w:val="00B215F6"/>
    <w:rsid w:val="00B22E4E"/>
    <w:rsid w:val="00B2442F"/>
    <w:rsid w:val="00B24789"/>
    <w:rsid w:val="00B24825"/>
    <w:rsid w:val="00B248E5"/>
    <w:rsid w:val="00B24981"/>
    <w:rsid w:val="00B25927"/>
    <w:rsid w:val="00B25965"/>
    <w:rsid w:val="00B25A3C"/>
    <w:rsid w:val="00B272A2"/>
    <w:rsid w:val="00B27930"/>
    <w:rsid w:val="00B27A1E"/>
    <w:rsid w:val="00B27BF4"/>
    <w:rsid w:val="00B27BF6"/>
    <w:rsid w:val="00B27FA9"/>
    <w:rsid w:val="00B30400"/>
    <w:rsid w:val="00B30861"/>
    <w:rsid w:val="00B31519"/>
    <w:rsid w:val="00B31584"/>
    <w:rsid w:val="00B317C1"/>
    <w:rsid w:val="00B31CF3"/>
    <w:rsid w:val="00B32149"/>
    <w:rsid w:val="00B321A7"/>
    <w:rsid w:val="00B32883"/>
    <w:rsid w:val="00B32C3F"/>
    <w:rsid w:val="00B32E65"/>
    <w:rsid w:val="00B32F97"/>
    <w:rsid w:val="00B3324F"/>
    <w:rsid w:val="00B3438D"/>
    <w:rsid w:val="00B34DF0"/>
    <w:rsid w:val="00B3528E"/>
    <w:rsid w:val="00B35311"/>
    <w:rsid w:val="00B3533C"/>
    <w:rsid w:val="00B36A63"/>
    <w:rsid w:val="00B36E2B"/>
    <w:rsid w:val="00B373C5"/>
    <w:rsid w:val="00B374A1"/>
    <w:rsid w:val="00B3765C"/>
    <w:rsid w:val="00B3765E"/>
    <w:rsid w:val="00B37E4B"/>
    <w:rsid w:val="00B407DF"/>
    <w:rsid w:val="00B409C8"/>
    <w:rsid w:val="00B40AA6"/>
    <w:rsid w:val="00B40AFF"/>
    <w:rsid w:val="00B40D85"/>
    <w:rsid w:val="00B40F57"/>
    <w:rsid w:val="00B41078"/>
    <w:rsid w:val="00B413F0"/>
    <w:rsid w:val="00B419AA"/>
    <w:rsid w:val="00B42335"/>
    <w:rsid w:val="00B42B7F"/>
    <w:rsid w:val="00B42F89"/>
    <w:rsid w:val="00B43090"/>
    <w:rsid w:val="00B43C03"/>
    <w:rsid w:val="00B4420F"/>
    <w:rsid w:val="00B452E5"/>
    <w:rsid w:val="00B4587C"/>
    <w:rsid w:val="00B458AD"/>
    <w:rsid w:val="00B45DC1"/>
    <w:rsid w:val="00B46152"/>
    <w:rsid w:val="00B46825"/>
    <w:rsid w:val="00B46E22"/>
    <w:rsid w:val="00B46EF8"/>
    <w:rsid w:val="00B47177"/>
    <w:rsid w:val="00B471AB"/>
    <w:rsid w:val="00B471E2"/>
    <w:rsid w:val="00B4721D"/>
    <w:rsid w:val="00B47364"/>
    <w:rsid w:val="00B47F0B"/>
    <w:rsid w:val="00B50446"/>
    <w:rsid w:val="00B50555"/>
    <w:rsid w:val="00B506B7"/>
    <w:rsid w:val="00B51381"/>
    <w:rsid w:val="00B5213F"/>
    <w:rsid w:val="00B5278A"/>
    <w:rsid w:val="00B52BC5"/>
    <w:rsid w:val="00B52BD0"/>
    <w:rsid w:val="00B5315D"/>
    <w:rsid w:val="00B53507"/>
    <w:rsid w:val="00B53DAC"/>
    <w:rsid w:val="00B5428E"/>
    <w:rsid w:val="00B54536"/>
    <w:rsid w:val="00B54CA0"/>
    <w:rsid w:val="00B54D63"/>
    <w:rsid w:val="00B55111"/>
    <w:rsid w:val="00B559B7"/>
    <w:rsid w:val="00B55BAA"/>
    <w:rsid w:val="00B563B5"/>
    <w:rsid w:val="00B56538"/>
    <w:rsid w:val="00B56BA0"/>
    <w:rsid w:val="00B56E56"/>
    <w:rsid w:val="00B5757E"/>
    <w:rsid w:val="00B57AFD"/>
    <w:rsid w:val="00B57EC9"/>
    <w:rsid w:val="00B60A4D"/>
    <w:rsid w:val="00B60D41"/>
    <w:rsid w:val="00B61655"/>
    <w:rsid w:val="00B61763"/>
    <w:rsid w:val="00B6285F"/>
    <w:rsid w:val="00B63DB4"/>
    <w:rsid w:val="00B63E40"/>
    <w:rsid w:val="00B6449F"/>
    <w:rsid w:val="00B645B7"/>
    <w:rsid w:val="00B64835"/>
    <w:rsid w:val="00B6494D"/>
    <w:rsid w:val="00B65EC8"/>
    <w:rsid w:val="00B662D4"/>
    <w:rsid w:val="00B665DC"/>
    <w:rsid w:val="00B675C8"/>
    <w:rsid w:val="00B67CA4"/>
    <w:rsid w:val="00B67CFD"/>
    <w:rsid w:val="00B7033A"/>
    <w:rsid w:val="00B70C09"/>
    <w:rsid w:val="00B70FD9"/>
    <w:rsid w:val="00B71E53"/>
    <w:rsid w:val="00B71ED3"/>
    <w:rsid w:val="00B72471"/>
    <w:rsid w:val="00B7366D"/>
    <w:rsid w:val="00B736D8"/>
    <w:rsid w:val="00B73C51"/>
    <w:rsid w:val="00B73CB0"/>
    <w:rsid w:val="00B73E7C"/>
    <w:rsid w:val="00B7402A"/>
    <w:rsid w:val="00B74B60"/>
    <w:rsid w:val="00B7524C"/>
    <w:rsid w:val="00B75476"/>
    <w:rsid w:val="00B75671"/>
    <w:rsid w:val="00B760DE"/>
    <w:rsid w:val="00B7626B"/>
    <w:rsid w:val="00B76E45"/>
    <w:rsid w:val="00B772C4"/>
    <w:rsid w:val="00B77853"/>
    <w:rsid w:val="00B81152"/>
    <w:rsid w:val="00B815A3"/>
    <w:rsid w:val="00B820A2"/>
    <w:rsid w:val="00B8274C"/>
    <w:rsid w:val="00B82A0F"/>
    <w:rsid w:val="00B82A65"/>
    <w:rsid w:val="00B82BF5"/>
    <w:rsid w:val="00B83082"/>
    <w:rsid w:val="00B83BEE"/>
    <w:rsid w:val="00B8457D"/>
    <w:rsid w:val="00B84594"/>
    <w:rsid w:val="00B84AAB"/>
    <w:rsid w:val="00B84B92"/>
    <w:rsid w:val="00B85DD0"/>
    <w:rsid w:val="00B860D5"/>
    <w:rsid w:val="00B86186"/>
    <w:rsid w:val="00B8664F"/>
    <w:rsid w:val="00B86F3B"/>
    <w:rsid w:val="00B87141"/>
    <w:rsid w:val="00B873AB"/>
    <w:rsid w:val="00B87435"/>
    <w:rsid w:val="00B87922"/>
    <w:rsid w:val="00B87BA7"/>
    <w:rsid w:val="00B90A2B"/>
    <w:rsid w:val="00B9119E"/>
    <w:rsid w:val="00B914DC"/>
    <w:rsid w:val="00B9242D"/>
    <w:rsid w:val="00B92767"/>
    <w:rsid w:val="00B9289E"/>
    <w:rsid w:val="00B92BED"/>
    <w:rsid w:val="00B92C51"/>
    <w:rsid w:val="00B9347C"/>
    <w:rsid w:val="00B935E1"/>
    <w:rsid w:val="00B93C78"/>
    <w:rsid w:val="00B94172"/>
    <w:rsid w:val="00B94772"/>
    <w:rsid w:val="00B949E8"/>
    <w:rsid w:val="00B94E77"/>
    <w:rsid w:val="00B95293"/>
    <w:rsid w:val="00B95B04"/>
    <w:rsid w:val="00B95B13"/>
    <w:rsid w:val="00B962FF"/>
    <w:rsid w:val="00B9648C"/>
    <w:rsid w:val="00B967E2"/>
    <w:rsid w:val="00B974D3"/>
    <w:rsid w:val="00B979DE"/>
    <w:rsid w:val="00B97CE0"/>
    <w:rsid w:val="00BA0582"/>
    <w:rsid w:val="00BA11EB"/>
    <w:rsid w:val="00BA18BE"/>
    <w:rsid w:val="00BA19E5"/>
    <w:rsid w:val="00BA30B6"/>
    <w:rsid w:val="00BA356E"/>
    <w:rsid w:val="00BA3752"/>
    <w:rsid w:val="00BA37B5"/>
    <w:rsid w:val="00BA4317"/>
    <w:rsid w:val="00BA4A60"/>
    <w:rsid w:val="00BA539E"/>
    <w:rsid w:val="00BA551C"/>
    <w:rsid w:val="00BA58A8"/>
    <w:rsid w:val="00BA58DE"/>
    <w:rsid w:val="00BA5A7A"/>
    <w:rsid w:val="00BA5EBF"/>
    <w:rsid w:val="00BA5F1E"/>
    <w:rsid w:val="00BA601E"/>
    <w:rsid w:val="00BA60F0"/>
    <w:rsid w:val="00BA67CD"/>
    <w:rsid w:val="00BA6967"/>
    <w:rsid w:val="00BA72DE"/>
    <w:rsid w:val="00BB03B4"/>
    <w:rsid w:val="00BB0684"/>
    <w:rsid w:val="00BB11F8"/>
    <w:rsid w:val="00BB1246"/>
    <w:rsid w:val="00BB232B"/>
    <w:rsid w:val="00BB2A44"/>
    <w:rsid w:val="00BB3B01"/>
    <w:rsid w:val="00BB4061"/>
    <w:rsid w:val="00BB40DC"/>
    <w:rsid w:val="00BB4D83"/>
    <w:rsid w:val="00BB4FE7"/>
    <w:rsid w:val="00BB5B23"/>
    <w:rsid w:val="00BB5F98"/>
    <w:rsid w:val="00BB63DE"/>
    <w:rsid w:val="00BB7519"/>
    <w:rsid w:val="00BB7CB7"/>
    <w:rsid w:val="00BC0026"/>
    <w:rsid w:val="00BC01C4"/>
    <w:rsid w:val="00BC0B4B"/>
    <w:rsid w:val="00BC0B57"/>
    <w:rsid w:val="00BC1013"/>
    <w:rsid w:val="00BC124E"/>
    <w:rsid w:val="00BC1E7A"/>
    <w:rsid w:val="00BC1F1C"/>
    <w:rsid w:val="00BC2113"/>
    <w:rsid w:val="00BC2E11"/>
    <w:rsid w:val="00BC2E59"/>
    <w:rsid w:val="00BC3229"/>
    <w:rsid w:val="00BC3481"/>
    <w:rsid w:val="00BC36E2"/>
    <w:rsid w:val="00BC3790"/>
    <w:rsid w:val="00BC3CDC"/>
    <w:rsid w:val="00BC3EC5"/>
    <w:rsid w:val="00BC3F2D"/>
    <w:rsid w:val="00BC411A"/>
    <w:rsid w:val="00BC63FC"/>
    <w:rsid w:val="00BC74D3"/>
    <w:rsid w:val="00BC755C"/>
    <w:rsid w:val="00BC75B7"/>
    <w:rsid w:val="00BC788A"/>
    <w:rsid w:val="00BC7DC6"/>
    <w:rsid w:val="00BD09B1"/>
    <w:rsid w:val="00BD15C1"/>
    <w:rsid w:val="00BD1A95"/>
    <w:rsid w:val="00BD2787"/>
    <w:rsid w:val="00BD320A"/>
    <w:rsid w:val="00BD325E"/>
    <w:rsid w:val="00BD383C"/>
    <w:rsid w:val="00BD3E10"/>
    <w:rsid w:val="00BD432F"/>
    <w:rsid w:val="00BD53B2"/>
    <w:rsid w:val="00BD5D6F"/>
    <w:rsid w:val="00BD751B"/>
    <w:rsid w:val="00BD7CAB"/>
    <w:rsid w:val="00BD7E52"/>
    <w:rsid w:val="00BD7ECD"/>
    <w:rsid w:val="00BE1BFB"/>
    <w:rsid w:val="00BE1CC9"/>
    <w:rsid w:val="00BE1D78"/>
    <w:rsid w:val="00BE23F2"/>
    <w:rsid w:val="00BE25EF"/>
    <w:rsid w:val="00BE3B1A"/>
    <w:rsid w:val="00BE4342"/>
    <w:rsid w:val="00BE441B"/>
    <w:rsid w:val="00BE5058"/>
    <w:rsid w:val="00BE55C1"/>
    <w:rsid w:val="00BE57C5"/>
    <w:rsid w:val="00BE5F2E"/>
    <w:rsid w:val="00BE6B8E"/>
    <w:rsid w:val="00BE6B8F"/>
    <w:rsid w:val="00BE6DD3"/>
    <w:rsid w:val="00BE6EED"/>
    <w:rsid w:val="00BE7AAF"/>
    <w:rsid w:val="00BF0334"/>
    <w:rsid w:val="00BF03F9"/>
    <w:rsid w:val="00BF0433"/>
    <w:rsid w:val="00BF0DD1"/>
    <w:rsid w:val="00BF1FDC"/>
    <w:rsid w:val="00BF250E"/>
    <w:rsid w:val="00BF31C9"/>
    <w:rsid w:val="00BF3412"/>
    <w:rsid w:val="00BF387B"/>
    <w:rsid w:val="00BF38BF"/>
    <w:rsid w:val="00BF38DD"/>
    <w:rsid w:val="00BF41D2"/>
    <w:rsid w:val="00BF46E6"/>
    <w:rsid w:val="00BF57D1"/>
    <w:rsid w:val="00BF6239"/>
    <w:rsid w:val="00BF6409"/>
    <w:rsid w:val="00BF6624"/>
    <w:rsid w:val="00BF6E4E"/>
    <w:rsid w:val="00BF6ED4"/>
    <w:rsid w:val="00C00259"/>
    <w:rsid w:val="00C00686"/>
    <w:rsid w:val="00C009CF"/>
    <w:rsid w:val="00C00DC9"/>
    <w:rsid w:val="00C00E33"/>
    <w:rsid w:val="00C00ECD"/>
    <w:rsid w:val="00C00F58"/>
    <w:rsid w:val="00C010A1"/>
    <w:rsid w:val="00C01FC6"/>
    <w:rsid w:val="00C02758"/>
    <w:rsid w:val="00C02A2E"/>
    <w:rsid w:val="00C03596"/>
    <w:rsid w:val="00C04246"/>
    <w:rsid w:val="00C04C60"/>
    <w:rsid w:val="00C04E8B"/>
    <w:rsid w:val="00C05749"/>
    <w:rsid w:val="00C0598B"/>
    <w:rsid w:val="00C05F72"/>
    <w:rsid w:val="00C061B6"/>
    <w:rsid w:val="00C0678A"/>
    <w:rsid w:val="00C06D30"/>
    <w:rsid w:val="00C076EC"/>
    <w:rsid w:val="00C1006E"/>
    <w:rsid w:val="00C10803"/>
    <w:rsid w:val="00C10AD3"/>
    <w:rsid w:val="00C117A7"/>
    <w:rsid w:val="00C11810"/>
    <w:rsid w:val="00C11DE0"/>
    <w:rsid w:val="00C11EF7"/>
    <w:rsid w:val="00C124C7"/>
    <w:rsid w:val="00C125B3"/>
    <w:rsid w:val="00C12845"/>
    <w:rsid w:val="00C14101"/>
    <w:rsid w:val="00C14351"/>
    <w:rsid w:val="00C14B6F"/>
    <w:rsid w:val="00C159AD"/>
    <w:rsid w:val="00C16C50"/>
    <w:rsid w:val="00C16E68"/>
    <w:rsid w:val="00C17208"/>
    <w:rsid w:val="00C1749E"/>
    <w:rsid w:val="00C1798F"/>
    <w:rsid w:val="00C200BD"/>
    <w:rsid w:val="00C20216"/>
    <w:rsid w:val="00C216E9"/>
    <w:rsid w:val="00C21E40"/>
    <w:rsid w:val="00C2223F"/>
    <w:rsid w:val="00C23029"/>
    <w:rsid w:val="00C237F1"/>
    <w:rsid w:val="00C24318"/>
    <w:rsid w:val="00C24DB8"/>
    <w:rsid w:val="00C24EBB"/>
    <w:rsid w:val="00C2517E"/>
    <w:rsid w:val="00C2581E"/>
    <w:rsid w:val="00C275CE"/>
    <w:rsid w:val="00C275D6"/>
    <w:rsid w:val="00C317F8"/>
    <w:rsid w:val="00C318A7"/>
    <w:rsid w:val="00C31C1C"/>
    <w:rsid w:val="00C320CC"/>
    <w:rsid w:val="00C325B7"/>
    <w:rsid w:val="00C3280E"/>
    <w:rsid w:val="00C3306E"/>
    <w:rsid w:val="00C335EA"/>
    <w:rsid w:val="00C33998"/>
    <w:rsid w:val="00C33E77"/>
    <w:rsid w:val="00C342C7"/>
    <w:rsid w:val="00C350D7"/>
    <w:rsid w:val="00C351C3"/>
    <w:rsid w:val="00C361F4"/>
    <w:rsid w:val="00C366F6"/>
    <w:rsid w:val="00C36EEF"/>
    <w:rsid w:val="00C36FBA"/>
    <w:rsid w:val="00C3700F"/>
    <w:rsid w:val="00C3733F"/>
    <w:rsid w:val="00C37B69"/>
    <w:rsid w:val="00C40400"/>
    <w:rsid w:val="00C40CF2"/>
    <w:rsid w:val="00C40E79"/>
    <w:rsid w:val="00C41111"/>
    <w:rsid w:val="00C4153D"/>
    <w:rsid w:val="00C41AC1"/>
    <w:rsid w:val="00C41E94"/>
    <w:rsid w:val="00C42BE1"/>
    <w:rsid w:val="00C433F3"/>
    <w:rsid w:val="00C43C69"/>
    <w:rsid w:val="00C43C7E"/>
    <w:rsid w:val="00C442B6"/>
    <w:rsid w:val="00C449E6"/>
    <w:rsid w:val="00C44BFC"/>
    <w:rsid w:val="00C44F8B"/>
    <w:rsid w:val="00C45971"/>
    <w:rsid w:val="00C45E0F"/>
    <w:rsid w:val="00C4698B"/>
    <w:rsid w:val="00C47062"/>
    <w:rsid w:val="00C478ED"/>
    <w:rsid w:val="00C47934"/>
    <w:rsid w:val="00C47B5E"/>
    <w:rsid w:val="00C47F26"/>
    <w:rsid w:val="00C50761"/>
    <w:rsid w:val="00C50BAF"/>
    <w:rsid w:val="00C511C1"/>
    <w:rsid w:val="00C5176A"/>
    <w:rsid w:val="00C5210A"/>
    <w:rsid w:val="00C5220E"/>
    <w:rsid w:val="00C52AF2"/>
    <w:rsid w:val="00C52FE6"/>
    <w:rsid w:val="00C533F8"/>
    <w:rsid w:val="00C53589"/>
    <w:rsid w:val="00C53C17"/>
    <w:rsid w:val="00C56883"/>
    <w:rsid w:val="00C569B6"/>
    <w:rsid w:val="00C5714C"/>
    <w:rsid w:val="00C576A7"/>
    <w:rsid w:val="00C57A7F"/>
    <w:rsid w:val="00C61095"/>
    <w:rsid w:val="00C6180C"/>
    <w:rsid w:val="00C61B41"/>
    <w:rsid w:val="00C61B75"/>
    <w:rsid w:val="00C61E22"/>
    <w:rsid w:val="00C61EEC"/>
    <w:rsid w:val="00C621BE"/>
    <w:rsid w:val="00C624FB"/>
    <w:rsid w:val="00C62C8E"/>
    <w:rsid w:val="00C630B0"/>
    <w:rsid w:val="00C6377B"/>
    <w:rsid w:val="00C63D48"/>
    <w:rsid w:val="00C63F46"/>
    <w:rsid w:val="00C63FA1"/>
    <w:rsid w:val="00C6420D"/>
    <w:rsid w:val="00C64323"/>
    <w:rsid w:val="00C64566"/>
    <w:rsid w:val="00C64666"/>
    <w:rsid w:val="00C64EB3"/>
    <w:rsid w:val="00C64EDB"/>
    <w:rsid w:val="00C657C4"/>
    <w:rsid w:val="00C65BE6"/>
    <w:rsid w:val="00C65F6D"/>
    <w:rsid w:val="00C662DB"/>
    <w:rsid w:val="00C66F92"/>
    <w:rsid w:val="00C677C8"/>
    <w:rsid w:val="00C67D56"/>
    <w:rsid w:val="00C705AE"/>
    <w:rsid w:val="00C708D8"/>
    <w:rsid w:val="00C70FA8"/>
    <w:rsid w:val="00C716D2"/>
    <w:rsid w:val="00C717F0"/>
    <w:rsid w:val="00C71998"/>
    <w:rsid w:val="00C71A9C"/>
    <w:rsid w:val="00C72089"/>
    <w:rsid w:val="00C72110"/>
    <w:rsid w:val="00C7291A"/>
    <w:rsid w:val="00C72C4C"/>
    <w:rsid w:val="00C72CF0"/>
    <w:rsid w:val="00C72D22"/>
    <w:rsid w:val="00C73E29"/>
    <w:rsid w:val="00C758D1"/>
    <w:rsid w:val="00C77229"/>
    <w:rsid w:val="00C77AB0"/>
    <w:rsid w:val="00C801E3"/>
    <w:rsid w:val="00C80AF6"/>
    <w:rsid w:val="00C80FA5"/>
    <w:rsid w:val="00C817D8"/>
    <w:rsid w:val="00C8223A"/>
    <w:rsid w:val="00C82A4A"/>
    <w:rsid w:val="00C82A5D"/>
    <w:rsid w:val="00C83233"/>
    <w:rsid w:val="00C83338"/>
    <w:rsid w:val="00C83F52"/>
    <w:rsid w:val="00C8411B"/>
    <w:rsid w:val="00C8413A"/>
    <w:rsid w:val="00C84CAD"/>
    <w:rsid w:val="00C84F79"/>
    <w:rsid w:val="00C8500B"/>
    <w:rsid w:val="00C855C9"/>
    <w:rsid w:val="00C858CA"/>
    <w:rsid w:val="00C85B89"/>
    <w:rsid w:val="00C85E6F"/>
    <w:rsid w:val="00C85E7D"/>
    <w:rsid w:val="00C85F6E"/>
    <w:rsid w:val="00C8663E"/>
    <w:rsid w:val="00C867C5"/>
    <w:rsid w:val="00C871F3"/>
    <w:rsid w:val="00C9000B"/>
    <w:rsid w:val="00C902A0"/>
    <w:rsid w:val="00C902CF"/>
    <w:rsid w:val="00C90C19"/>
    <w:rsid w:val="00C90E72"/>
    <w:rsid w:val="00C91541"/>
    <w:rsid w:val="00C915C1"/>
    <w:rsid w:val="00C9255B"/>
    <w:rsid w:val="00C93092"/>
    <w:rsid w:val="00C9342D"/>
    <w:rsid w:val="00C93455"/>
    <w:rsid w:val="00C934D2"/>
    <w:rsid w:val="00C937AF"/>
    <w:rsid w:val="00C9490A"/>
    <w:rsid w:val="00C94F49"/>
    <w:rsid w:val="00C9510B"/>
    <w:rsid w:val="00C95366"/>
    <w:rsid w:val="00C96F0A"/>
    <w:rsid w:val="00C97049"/>
    <w:rsid w:val="00C97471"/>
    <w:rsid w:val="00CA05A0"/>
    <w:rsid w:val="00CA119A"/>
    <w:rsid w:val="00CA1212"/>
    <w:rsid w:val="00CA12F1"/>
    <w:rsid w:val="00CA206A"/>
    <w:rsid w:val="00CA299B"/>
    <w:rsid w:val="00CA2F95"/>
    <w:rsid w:val="00CA3155"/>
    <w:rsid w:val="00CA31CD"/>
    <w:rsid w:val="00CA376D"/>
    <w:rsid w:val="00CA3D5C"/>
    <w:rsid w:val="00CA3DE3"/>
    <w:rsid w:val="00CA4725"/>
    <w:rsid w:val="00CA4B04"/>
    <w:rsid w:val="00CA5FD4"/>
    <w:rsid w:val="00CA6059"/>
    <w:rsid w:val="00CA68B3"/>
    <w:rsid w:val="00CA6EBE"/>
    <w:rsid w:val="00CA71D0"/>
    <w:rsid w:val="00CA7A52"/>
    <w:rsid w:val="00CB07DA"/>
    <w:rsid w:val="00CB0992"/>
    <w:rsid w:val="00CB1352"/>
    <w:rsid w:val="00CB17D0"/>
    <w:rsid w:val="00CB1C52"/>
    <w:rsid w:val="00CB22A3"/>
    <w:rsid w:val="00CB2389"/>
    <w:rsid w:val="00CB285C"/>
    <w:rsid w:val="00CB3009"/>
    <w:rsid w:val="00CB36A2"/>
    <w:rsid w:val="00CB3A1B"/>
    <w:rsid w:val="00CB3FCB"/>
    <w:rsid w:val="00CB4591"/>
    <w:rsid w:val="00CB57F8"/>
    <w:rsid w:val="00CB5AFC"/>
    <w:rsid w:val="00CB5E7F"/>
    <w:rsid w:val="00CB6A9A"/>
    <w:rsid w:val="00CB6F18"/>
    <w:rsid w:val="00CB7317"/>
    <w:rsid w:val="00CB7360"/>
    <w:rsid w:val="00CB772C"/>
    <w:rsid w:val="00CC0333"/>
    <w:rsid w:val="00CC27FF"/>
    <w:rsid w:val="00CC3DCA"/>
    <w:rsid w:val="00CC3DED"/>
    <w:rsid w:val="00CC4DDA"/>
    <w:rsid w:val="00CC502D"/>
    <w:rsid w:val="00CC50A3"/>
    <w:rsid w:val="00CC512B"/>
    <w:rsid w:val="00CC534C"/>
    <w:rsid w:val="00CC5D2A"/>
    <w:rsid w:val="00CC62B9"/>
    <w:rsid w:val="00CC66A3"/>
    <w:rsid w:val="00CC6CB6"/>
    <w:rsid w:val="00CC7278"/>
    <w:rsid w:val="00CC7410"/>
    <w:rsid w:val="00CD05F8"/>
    <w:rsid w:val="00CD1E97"/>
    <w:rsid w:val="00CD251F"/>
    <w:rsid w:val="00CD2AD7"/>
    <w:rsid w:val="00CD3D5F"/>
    <w:rsid w:val="00CD4100"/>
    <w:rsid w:val="00CD44EB"/>
    <w:rsid w:val="00CD45E6"/>
    <w:rsid w:val="00CD496E"/>
    <w:rsid w:val="00CD4B16"/>
    <w:rsid w:val="00CD4E04"/>
    <w:rsid w:val="00CD5C20"/>
    <w:rsid w:val="00CD61A0"/>
    <w:rsid w:val="00CD6474"/>
    <w:rsid w:val="00CD6836"/>
    <w:rsid w:val="00CD69CC"/>
    <w:rsid w:val="00CD6A9E"/>
    <w:rsid w:val="00CD6FEB"/>
    <w:rsid w:val="00CD7E00"/>
    <w:rsid w:val="00CD7E05"/>
    <w:rsid w:val="00CD7EF7"/>
    <w:rsid w:val="00CE0334"/>
    <w:rsid w:val="00CE0361"/>
    <w:rsid w:val="00CE1366"/>
    <w:rsid w:val="00CE171D"/>
    <w:rsid w:val="00CE2015"/>
    <w:rsid w:val="00CE2E4E"/>
    <w:rsid w:val="00CE2E9C"/>
    <w:rsid w:val="00CE38E5"/>
    <w:rsid w:val="00CE3E5A"/>
    <w:rsid w:val="00CE4127"/>
    <w:rsid w:val="00CE4641"/>
    <w:rsid w:val="00CE46DF"/>
    <w:rsid w:val="00CE5076"/>
    <w:rsid w:val="00CE585B"/>
    <w:rsid w:val="00CE6348"/>
    <w:rsid w:val="00CE640B"/>
    <w:rsid w:val="00CE6543"/>
    <w:rsid w:val="00CE676E"/>
    <w:rsid w:val="00CE6987"/>
    <w:rsid w:val="00CE70F0"/>
    <w:rsid w:val="00CE768B"/>
    <w:rsid w:val="00CF0659"/>
    <w:rsid w:val="00CF08AF"/>
    <w:rsid w:val="00CF095F"/>
    <w:rsid w:val="00CF14A7"/>
    <w:rsid w:val="00CF15CA"/>
    <w:rsid w:val="00CF176E"/>
    <w:rsid w:val="00CF1A47"/>
    <w:rsid w:val="00CF1CA4"/>
    <w:rsid w:val="00CF25BC"/>
    <w:rsid w:val="00CF2848"/>
    <w:rsid w:val="00CF2A53"/>
    <w:rsid w:val="00CF2A6A"/>
    <w:rsid w:val="00CF2ABB"/>
    <w:rsid w:val="00CF4103"/>
    <w:rsid w:val="00CF447C"/>
    <w:rsid w:val="00CF492D"/>
    <w:rsid w:val="00CF49F7"/>
    <w:rsid w:val="00CF4A82"/>
    <w:rsid w:val="00CF5E68"/>
    <w:rsid w:val="00CF6066"/>
    <w:rsid w:val="00D007F4"/>
    <w:rsid w:val="00D00857"/>
    <w:rsid w:val="00D0110F"/>
    <w:rsid w:val="00D01190"/>
    <w:rsid w:val="00D0142D"/>
    <w:rsid w:val="00D01B92"/>
    <w:rsid w:val="00D01BA4"/>
    <w:rsid w:val="00D01DAE"/>
    <w:rsid w:val="00D021AB"/>
    <w:rsid w:val="00D028B1"/>
    <w:rsid w:val="00D02DAD"/>
    <w:rsid w:val="00D03520"/>
    <w:rsid w:val="00D0377E"/>
    <w:rsid w:val="00D046E3"/>
    <w:rsid w:val="00D0515F"/>
    <w:rsid w:val="00D064EF"/>
    <w:rsid w:val="00D06814"/>
    <w:rsid w:val="00D07246"/>
    <w:rsid w:val="00D0725D"/>
    <w:rsid w:val="00D07532"/>
    <w:rsid w:val="00D076FA"/>
    <w:rsid w:val="00D07E4D"/>
    <w:rsid w:val="00D07F64"/>
    <w:rsid w:val="00D10B4D"/>
    <w:rsid w:val="00D10C0F"/>
    <w:rsid w:val="00D113B4"/>
    <w:rsid w:val="00D11E7F"/>
    <w:rsid w:val="00D12815"/>
    <w:rsid w:val="00D12CF5"/>
    <w:rsid w:val="00D13800"/>
    <w:rsid w:val="00D13B72"/>
    <w:rsid w:val="00D153D1"/>
    <w:rsid w:val="00D16A6D"/>
    <w:rsid w:val="00D170D7"/>
    <w:rsid w:val="00D176D3"/>
    <w:rsid w:val="00D17D2E"/>
    <w:rsid w:val="00D17EEC"/>
    <w:rsid w:val="00D20861"/>
    <w:rsid w:val="00D208DD"/>
    <w:rsid w:val="00D2107D"/>
    <w:rsid w:val="00D21109"/>
    <w:rsid w:val="00D214CF"/>
    <w:rsid w:val="00D218DE"/>
    <w:rsid w:val="00D21D82"/>
    <w:rsid w:val="00D21E88"/>
    <w:rsid w:val="00D221EA"/>
    <w:rsid w:val="00D22687"/>
    <w:rsid w:val="00D22A26"/>
    <w:rsid w:val="00D22CFD"/>
    <w:rsid w:val="00D231A1"/>
    <w:rsid w:val="00D2340F"/>
    <w:rsid w:val="00D23C9F"/>
    <w:rsid w:val="00D2415B"/>
    <w:rsid w:val="00D242FE"/>
    <w:rsid w:val="00D24308"/>
    <w:rsid w:val="00D24367"/>
    <w:rsid w:val="00D24DBE"/>
    <w:rsid w:val="00D24DE1"/>
    <w:rsid w:val="00D2520F"/>
    <w:rsid w:val="00D25743"/>
    <w:rsid w:val="00D25845"/>
    <w:rsid w:val="00D25955"/>
    <w:rsid w:val="00D26750"/>
    <w:rsid w:val="00D26A4B"/>
    <w:rsid w:val="00D27782"/>
    <w:rsid w:val="00D27E46"/>
    <w:rsid w:val="00D3124B"/>
    <w:rsid w:val="00D31A03"/>
    <w:rsid w:val="00D31A4A"/>
    <w:rsid w:val="00D31B08"/>
    <w:rsid w:val="00D31D12"/>
    <w:rsid w:val="00D32166"/>
    <w:rsid w:val="00D32BAA"/>
    <w:rsid w:val="00D334DF"/>
    <w:rsid w:val="00D33E22"/>
    <w:rsid w:val="00D33EAF"/>
    <w:rsid w:val="00D35091"/>
    <w:rsid w:val="00D35CC3"/>
    <w:rsid w:val="00D36043"/>
    <w:rsid w:val="00D360EF"/>
    <w:rsid w:val="00D36A15"/>
    <w:rsid w:val="00D37077"/>
    <w:rsid w:val="00D374E3"/>
    <w:rsid w:val="00D37AA5"/>
    <w:rsid w:val="00D40333"/>
    <w:rsid w:val="00D4052B"/>
    <w:rsid w:val="00D405DF"/>
    <w:rsid w:val="00D40F16"/>
    <w:rsid w:val="00D411EE"/>
    <w:rsid w:val="00D4201F"/>
    <w:rsid w:val="00D435FE"/>
    <w:rsid w:val="00D43F2F"/>
    <w:rsid w:val="00D440C0"/>
    <w:rsid w:val="00D44137"/>
    <w:rsid w:val="00D44290"/>
    <w:rsid w:val="00D4451A"/>
    <w:rsid w:val="00D44601"/>
    <w:rsid w:val="00D44850"/>
    <w:rsid w:val="00D45146"/>
    <w:rsid w:val="00D4518F"/>
    <w:rsid w:val="00D4521B"/>
    <w:rsid w:val="00D45629"/>
    <w:rsid w:val="00D45631"/>
    <w:rsid w:val="00D45DA0"/>
    <w:rsid w:val="00D45EE1"/>
    <w:rsid w:val="00D4675D"/>
    <w:rsid w:val="00D46D0A"/>
    <w:rsid w:val="00D50E98"/>
    <w:rsid w:val="00D50F40"/>
    <w:rsid w:val="00D50FFB"/>
    <w:rsid w:val="00D514F5"/>
    <w:rsid w:val="00D516C0"/>
    <w:rsid w:val="00D52183"/>
    <w:rsid w:val="00D5234B"/>
    <w:rsid w:val="00D525A9"/>
    <w:rsid w:val="00D52D33"/>
    <w:rsid w:val="00D531DD"/>
    <w:rsid w:val="00D53316"/>
    <w:rsid w:val="00D534B2"/>
    <w:rsid w:val="00D537F5"/>
    <w:rsid w:val="00D53C7B"/>
    <w:rsid w:val="00D53CC8"/>
    <w:rsid w:val="00D53E1E"/>
    <w:rsid w:val="00D54472"/>
    <w:rsid w:val="00D55596"/>
    <w:rsid w:val="00D558F7"/>
    <w:rsid w:val="00D55959"/>
    <w:rsid w:val="00D55C0F"/>
    <w:rsid w:val="00D55DB6"/>
    <w:rsid w:val="00D56098"/>
    <w:rsid w:val="00D5671A"/>
    <w:rsid w:val="00D5684D"/>
    <w:rsid w:val="00D56E7B"/>
    <w:rsid w:val="00D5713D"/>
    <w:rsid w:val="00D60315"/>
    <w:rsid w:val="00D604E3"/>
    <w:rsid w:val="00D60549"/>
    <w:rsid w:val="00D60990"/>
    <w:rsid w:val="00D60B85"/>
    <w:rsid w:val="00D61014"/>
    <w:rsid w:val="00D61D4A"/>
    <w:rsid w:val="00D61F11"/>
    <w:rsid w:val="00D626C6"/>
    <w:rsid w:val="00D62829"/>
    <w:rsid w:val="00D62E1A"/>
    <w:rsid w:val="00D62F2E"/>
    <w:rsid w:val="00D63732"/>
    <w:rsid w:val="00D63744"/>
    <w:rsid w:val="00D63ACE"/>
    <w:rsid w:val="00D64A00"/>
    <w:rsid w:val="00D64AEA"/>
    <w:rsid w:val="00D64FAF"/>
    <w:rsid w:val="00D65551"/>
    <w:rsid w:val="00D6577D"/>
    <w:rsid w:val="00D65824"/>
    <w:rsid w:val="00D65BCE"/>
    <w:rsid w:val="00D65CA0"/>
    <w:rsid w:val="00D660FE"/>
    <w:rsid w:val="00D706A6"/>
    <w:rsid w:val="00D7128E"/>
    <w:rsid w:val="00D71517"/>
    <w:rsid w:val="00D71E50"/>
    <w:rsid w:val="00D71EBB"/>
    <w:rsid w:val="00D72A4E"/>
    <w:rsid w:val="00D72E8F"/>
    <w:rsid w:val="00D731CE"/>
    <w:rsid w:val="00D732B3"/>
    <w:rsid w:val="00D73A74"/>
    <w:rsid w:val="00D74188"/>
    <w:rsid w:val="00D74425"/>
    <w:rsid w:val="00D744A8"/>
    <w:rsid w:val="00D7631A"/>
    <w:rsid w:val="00D76785"/>
    <w:rsid w:val="00D76954"/>
    <w:rsid w:val="00D77001"/>
    <w:rsid w:val="00D8013A"/>
    <w:rsid w:val="00D80610"/>
    <w:rsid w:val="00D80640"/>
    <w:rsid w:val="00D807BF"/>
    <w:rsid w:val="00D8137F"/>
    <w:rsid w:val="00D8159D"/>
    <w:rsid w:val="00D8176B"/>
    <w:rsid w:val="00D81993"/>
    <w:rsid w:val="00D81B6B"/>
    <w:rsid w:val="00D82444"/>
    <w:rsid w:val="00D82B50"/>
    <w:rsid w:val="00D84728"/>
    <w:rsid w:val="00D84FF6"/>
    <w:rsid w:val="00D8665D"/>
    <w:rsid w:val="00D866DC"/>
    <w:rsid w:val="00D86AEF"/>
    <w:rsid w:val="00D870DD"/>
    <w:rsid w:val="00D875AB"/>
    <w:rsid w:val="00D87748"/>
    <w:rsid w:val="00D879F5"/>
    <w:rsid w:val="00D87F07"/>
    <w:rsid w:val="00D90723"/>
    <w:rsid w:val="00D90C1A"/>
    <w:rsid w:val="00D90FE1"/>
    <w:rsid w:val="00D9104C"/>
    <w:rsid w:val="00D91812"/>
    <w:rsid w:val="00D926E7"/>
    <w:rsid w:val="00D92ABA"/>
    <w:rsid w:val="00D92D01"/>
    <w:rsid w:val="00D92D9C"/>
    <w:rsid w:val="00D93075"/>
    <w:rsid w:val="00D93F1F"/>
    <w:rsid w:val="00D9413C"/>
    <w:rsid w:val="00D94443"/>
    <w:rsid w:val="00D949A4"/>
    <w:rsid w:val="00D94B20"/>
    <w:rsid w:val="00D9558B"/>
    <w:rsid w:val="00D9571B"/>
    <w:rsid w:val="00D95ACC"/>
    <w:rsid w:val="00D95B83"/>
    <w:rsid w:val="00D967F0"/>
    <w:rsid w:val="00D96D1C"/>
    <w:rsid w:val="00D977FB"/>
    <w:rsid w:val="00DA12B9"/>
    <w:rsid w:val="00DA12EF"/>
    <w:rsid w:val="00DA1E40"/>
    <w:rsid w:val="00DA1E93"/>
    <w:rsid w:val="00DA27C9"/>
    <w:rsid w:val="00DA2862"/>
    <w:rsid w:val="00DA2C03"/>
    <w:rsid w:val="00DA48E2"/>
    <w:rsid w:val="00DA52F4"/>
    <w:rsid w:val="00DA6393"/>
    <w:rsid w:val="00DA74A1"/>
    <w:rsid w:val="00DA7555"/>
    <w:rsid w:val="00DA78BE"/>
    <w:rsid w:val="00DA7C87"/>
    <w:rsid w:val="00DA7D44"/>
    <w:rsid w:val="00DB0108"/>
    <w:rsid w:val="00DB02CF"/>
    <w:rsid w:val="00DB07E6"/>
    <w:rsid w:val="00DB10CD"/>
    <w:rsid w:val="00DB13FB"/>
    <w:rsid w:val="00DB161E"/>
    <w:rsid w:val="00DB17D1"/>
    <w:rsid w:val="00DB23C8"/>
    <w:rsid w:val="00DB2449"/>
    <w:rsid w:val="00DB2997"/>
    <w:rsid w:val="00DB3CF4"/>
    <w:rsid w:val="00DB40B7"/>
    <w:rsid w:val="00DB42A1"/>
    <w:rsid w:val="00DB4389"/>
    <w:rsid w:val="00DB4566"/>
    <w:rsid w:val="00DB5089"/>
    <w:rsid w:val="00DB5804"/>
    <w:rsid w:val="00DB5A7B"/>
    <w:rsid w:val="00DB5C91"/>
    <w:rsid w:val="00DB5E4C"/>
    <w:rsid w:val="00DB60C1"/>
    <w:rsid w:val="00DB60E1"/>
    <w:rsid w:val="00DB6508"/>
    <w:rsid w:val="00DB784C"/>
    <w:rsid w:val="00DB7DD2"/>
    <w:rsid w:val="00DC0314"/>
    <w:rsid w:val="00DC0D78"/>
    <w:rsid w:val="00DC1985"/>
    <w:rsid w:val="00DC2681"/>
    <w:rsid w:val="00DC2B3A"/>
    <w:rsid w:val="00DC2DFD"/>
    <w:rsid w:val="00DC2F25"/>
    <w:rsid w:val="00DC395C"/>
    <w:rsid w:val="00DC39F6"/>
    <w:rsid w:val="00DC436E"/>
    <w:rsid w:val="00DC45E1"/>
    <w:rsid w:val="00DC4826"/>
    <w:rsid w:val="00DC54AF"/>
    <w:rsid w:val="00DC5990"/>
    <w:rsid w:val="00DC5CED"/>
    <w:rsid w:val="00DC66AD"/>
    <w:rsid w:val="00DC701F"/>
    <w:rsid w:val="00DC7106"/>
    <w:rsid w:val="00DC7B47"/>
    <w:rsid w:val="00DD016B"/>
    <w:rsid w:val="00DD0BDA"/>
    <w:rsid w:val="00DD0FDD"/>
    <w:rsid w:val="00DD1123"/>
    <w:rsid w:val="00DD1ADF"/>
    <w:rsid w:val="00DD2221"/>
    <w:rsid w:val="00DD2D0F"/>
    <w:rsid w:val="00DD3CFA"/>
    <w:rsid w:val="00DD400A"/>
    <w:rsid w:val="00DD4D78"/>
    <w:rsid w:val="00DD55D7"/>
    <w:rsid w:val="00DD58CF"/>
    <w:rsid w:val="00DD65F7"/>
    <w:rsid w:val="00DD68FC"/>
    <w:rsid w:val="00DD7429"/>
    <w:rsid w:val="00DD783F"/>
    <w:rsid w:val="00DD7C8A"/>
    <w:rsid w:val="00DE0210"/>
    <w:rsid w:val="00DE0460"/>
    <w:rsid w:val="00DE13EF"/>
    <w:rsid w:val="00DE238F"/>
    <w:rsid w:val="00DE3C02"/>
    <w:rsid w:val="00DE3DBF"/>
    <w:rsid w:val="00DE4607"/>
    <w:rsid w:val="00DE4912"/>
    <w:rsid w:val="00DE4C32"/>
    <w:rsid w:val="00DE57D6"/>
    <w:rsid w:val="00DE5D1B"/>
    <w:rsid w:val="00DE5E86"/>
    <w:rsid w:val="00DE63FB"/>
    <w:rsid w:val="00DE6589"/>
    <w:rsid w:val="00DE6D01"/>
    <w:rsid w:val="00DE78F8"/>
    <w:rsid w:val="00DF03EA"/>
    <w:rsid w:val="00DF05C1"/>
    <w:rsid w:val="00DF097B"/>
    <w:rsid w:val="00DF0C3B"/>
    <w:rsid w:val="00DF1627"/>
    <w:rsid w:val="00DF1DF2"/>
    <w:rsid w:val="00DF20A8"/>
    <w:rsid w:val="00DF25DC"/>
    <w:rsid w:val="00DF27CC"/>
    <w:rsid w:val="00DF2966"/>
    <w:rsid w:val="00DF2978"/>
    <w:rsid w:val="00DF3448"/>
    <w:rsid w:val="00DF3494"/>
    <w:rsid w:val="00DF35B4"/>
    <w:rsid w:val="00DF3A6A"/>
    <w:rsid w:val="00DF3AA4"/>
    <w:rsid w:val="00DF3FC1"/>
    <w:rsid w:val="00DF470D"/>
    <w:rsid w:val="00DF49EE"/>
    <w:rsid w:val="00DF572D"/>
    <w:rsid w:val="00DF5829"/>
    <w:rsid w:val="00DF585B"/>
    <w:rsid w:val="00DF6121"/>
    <w:rsid w:val="00DF6898"/>
    <w:rsid w:val="00DF75A3"/>
    <w:rsid w:val="00DF78C2"/>
    <w:rsid w:val="00DF78F7"/>
    <w:rsid w:val="00E005A1"/>
    <w:rsid w:val="00E00661"/>
    <w:rsid w:val="00E00806"/>
    <w:rsid w:val="00E00B96"/>
    <w:rsid w:val="00E00F01"/>
    <w:rsid w:val="00E00FCF"/>
    <w:rsid w:val="00E01027"/>
    <w:rsid w:val="00E012D2"/>
    <w:rsid w:val="00E01A61"/>
    <w:rsid w:val="00E01D64"/>
    <w:rsid w:val="00E028D5"/>
    <w:rsid w:val="00E02BD2"/>
    <w:rsid w:val="00E047EC"/>
    <w:rsid w:val="00E0516B"/>
    <w:rsid w:val="00E0518A"/>
    <w:rsid w:val="00E0524C"/>
    <w:rsid w:val="00E05A59"/>
    <w:rsid w:val="00E066F6"/>
    <w:rsid w:val="00E07077"/>
    <w:rsid w:val="00E07290"/>
    <w:rsid w:val="00E079D6"/>
    <w:rsid w:val="00E118B7"/>
    <w:rsid w:val="00E120E2"/>
    <w:rsid w:val="00E121AE"/>
    <w:rsid w:val="00E126B8"/>
    <w:rsid w:val="00E127A0"/>
    <w:rsid w:val="00E1299F"/>
    <w:rsid w:val="00E130DC"/>
    <w:rsid w:val="00E1342B"/>
    <w:rsid w:val="00E1399E"/>
    <w:rsid w:val="00E13FB4"/>
    <w:rsid w:val="00E143A5"/>
    <w:rsid w:val="00E14FC4"/>
    <w:rsid w:val="00E15DCE"/>
    <w:rsid w:val="00E167A3"/>
    <w:rsid w:val="00E16EE2"/>
    <w:rsid w:val="00E170C8"/>
    <w:rsid w:val="00E170DB"/>
    <w:rsid w:val="00E20078"/>
    <w:rsid w:val="00E2114B"/>
    <w:rsid w:val="00E2181D"/>
    <w:rsid w:val="00E21BC3"/>
    <w:rsid w:val="00E221E5"/>
    <w:rsid w:val="00E22289"/>
    <w:rsid w:val="00E22EBC"/>
    <w:rsid w:val="00E23579"/>
    <w:rsid w:val="00E2389F"/>
    <w:rsid w:val="00E23D98"/>
    <w:rsid w:val="00E24394"/>
    <w:rsid w:val="00E24C10"/>
    <w:rsid w:val="00E24C96"/>
    <w:rsid w:val="00E255D4"/>
    <w:rsid w:val="00E25AD1"/>
    <w:rsid w:val="00E25BFD"/>
    <w:rsid w:val="00E25D46"/>
    <w:rsid w:val="00E26027"/>
    <w:rsid w:val="00E263F6"/>
    <w:rsid w:val="00E265BE"/>
    <w:rsid w:val="00E27451"/>
    <w:rsid w:val="00E27FBB"/>
    <w:rsid w:val="00E3049F"/>
    <w:rsid w:val="00E30C70"/>
    <w:rsid w:val="00E310B5"/>
    <w:rsid w:val="00E311CB"/>
    <w:rsid w:val="00E3131A"/>
    <w:rsid w:val="00E31482"/>
    <w:rsid w:val="00E31B2F"/>
    <w:rsid w:val="00E31CFB"/>
    <w:rsid w:val="00E31E89"/>
    <w:rsid w:val="00E31F57"/>
    <w:rsid w:val="00E31FD6"/>
    <w:rsid w:val="00E32605"/>
    <w:rsid w:val="00E32992"/>
    <w:rsid w:val="00E32BA5"/>
    <w:rsid w:val="00E33342"/>
    <w:rsid w:val="00E33F65"/>
    <w:rsid w:val="00E33F86"/>
    <w:rsid w:val="00E34AD5"/>
    <w:rsid w:val="00E34BFD"/>
    <w:rsid w:val="00E350B1"/>
    <w:rsid w:val="00E3526B"/>
    <w:rsid w:val="00E3565E"/>
    <w:rsid w:val="00E35C0D"/>
    <w:rsid w:val="00E35E4F"/>
    <w:rsid w:val="00E36225"/>
    <w:rsid w:val="00E373C8"/>
    <w:rsid w:val="00E37699"/>
    <w:rsid w:val="00E379F6"/>
    <w:rsid w:val="00E37C06"/>
    <w:rsid w:val="00E4023E"/>
    <w:rsid w:val="00E4040A"/>
    <w:rsid w:val="00E40460"/>
    <w:rsid w:val="00E41A65"/>
    <w:rsid w:val="00E41E1E"/>
    <w:rsid w:val="00E4309F"/>
    <w:rsid w:val="00E430D8"/>
    <w:rsid w:val="00E436AE"/>
    <w:rsid w:val="00E43F47"/>
    <w:rsid w:val="00E44DEF"/>
    <w:rsid w:val="00E4522B"/>
    <w:rsid w:val="00E45C9F"/>
    <w:rsid w:val="00E46D02"/>
    <w:rsid w:val="00E474B6"/>
    <w:rsid w:val="00E474CA"/>
    <w:rsid w:val="00E47737"/>
    <w:rsid w:val="00E502FC"/>
    <w:rsid w:val="00E50857"/>
    <w:rsid w:val="00E50D56"/>
    <w:rsid w:val="00E51A05"/>
    <w:rsid w:val="00E53087"/>
    <w:rsid w:val="00E53561"/>
    <w:rsid w:val="00E543E9"/>
    <w:rsid w:val="00E54ADC"/>
    <w:rsid w:val="00E555E1"/>
    <w:rsid w:val="00E55801"/>
    <w:rsid w:val="00E55881"/>
    <w:rsid w:val="00E55C60"/>
    <w:rsid w:val="00E5600F"/>
    <w:rsid w:val="00E566CC"/>
    <w:rsid w:val="00E56FF3"/>
    <w:rsid w:val="00E57CE5"/>
    <w:rsid w:val="00E60AE6"/>
    <w:rsid w:val="00E60BCC"/>
    <w:rsid w:val="00E60E7C"/>
    <w:rsid w:val="00E615DF"/>
    <w:rsid w:val="00E620C5"/>
    <w:rsid w:val="00E62371"/>
    <w:rsid w:val="00E62817"/>
    <w:rsid w:val="00E62CF6"/>
    <w:rsid w:val="00E63C5A"/>
    <w:rsid w:val="00E63D44"/>
    <w:rsid w:val="00E64284"/>
    <w:rsid w:val="00E64405"/>
    <w:rsid w:val="00E6589A"/>
    <w:rsid w:val="00E67119"/>
    <w:rsid w:val="00E67989"/>
    <w:rsid w:val="00E67A23"/>
    <w:rsid w:val="00E70462"/>
    <w:rsid w:val="00E70699"/>
    <w:rsid w:val="00E714D6"/>
    <w:rsid w:val="00E7243B"/>
    <w:rsid w:val="00E72974"/>
    <w:rsid w:val="00E72EDA"/>
    <w:rsid w:val="00E7311E"/>
    <w:rsid w:val="00E734F2"/>
    <w:rsid w:val="00E7422D"/>
    <w:rsid w:val="00E74536"/>
    <w:rsid w:val="00E77005"/>
    <w:rsid w:val="00E772FB"/>
    <w:rsid w:val="00E776D1"/>
    <w:rsid w:val="00E77ACD"/>
    <w:rsid w:val="00E77D59"/>
    <w:rsid w:val="00E810CE"/>
    <w:rsid w:val="00E815A5"/>
    <w:rsid w:val="00E815F2"/>
    <w:rsid w:val="00E81BA4"/>
    <w:rsid w:val="00E8215E"/>
    <w:rsid w:val="00E82A46"/>
    <w:rsid w:val="00E8415E"/>
    <w:rsid w:val="00E84199"/>
    <w:rsid w:val="00E84457"/>
    <w:rsid w:val="00E859F4"/>
    <w:rsid w:val="00E85E54"/>
    <w:rsid w:val="00E861A0"/>
    <w:rsid w:val="00E8635A"/>
    <w:rsid w:val="00E865E3"/>
    <w:rsid w:val="00E876B7"/>
    <w:rsid w:val="00E8777F"/>
    <w:rsid w:val="00E900C1"/>
    <w:rsid w:val="00E9101E"/>
    <w:rsid w:val="00E91450"/>
    <w:rsid w:val="00E91C1B"/>
    <w:rsid w:val="00E92D5D"/>
    <w:rsid w:val="00E92F0C"/>
    <w:rsid w:val="00E9309A"/>
    <w:rsid w:val="00E931F7"/>
    <w:rsid w:val="00E93B65"/>
    <w:rsid w:val="00E93F47"/>
    <w:rsid w:val="00E940AB"/>
    <w:rsid w:val="00E94B3A"/>
    <w:rsid w:val="00E94B94"/>
    <w:rsid w:val="00E9520F"/>
    <w:rsid w:val="00E96538"/>
    <w:rsid w:val="00E9666B"/>
    <w:rsid w:val="00E969DE"/>
    <w:rsid w:val="00E976AB"/>
    <w:rsid w:val="00EA0FE6"/>
    <w:rsid w:val="00EA1188"/>
    <w:rsid w:val="00EA12F7"/>
    <w:rsid w:val="00EA13C5"/>
    <w:rsid w:val="00EA1B1E"/>
    <w:rsid w:val="00EA1BBD"/>
    <w:rsid w:val="00EA1BE7"/>
    <w:rsid w:val="00EA22FA"/>
    <w:rsid w:val="00EA2AE9"/>
    <w:rsid w:val="00EA318D"/>
    <w:rsid w:val="00EA390E"/>
    <w:rsid w:val="00EA3B28"/>
    <w:rsid w:val="00EA3EC9"/>
    <w:rsid w:val="00EA4175"/>
    <w:rsid w:val="00EA44E7"/>
    <w:rsid w:val="00EA4582"/>
    <w:rsid w:val="00EA5CCE"/>
    <w:rsid w:val="00EA5F1D"/>
    <w:rsid w:val="00EA6281"/>
    <w:rsid w:val="00EA6762"/>
    <w:rsid w:val="00EA70AB"/>
    <w:rsid w:val="00EA718E"/>
    <w:rsid w:val="00EA734E"/>
    <w:rsid w:val="00EA79EC"/>
    <w:rsid w:val="00EA7D17"/>
    <w:rsid w:val="00EB0A0B"/>
    <w:rsid w:val="00EB1A8A"/>
    <w:rsid w:val="00EB258F"/>
    <w:rsid w:val="00EB26F2"/>
    <w:rsid w:val="00EB2D35"/>
    <w:rsid w:val="00EB3B92"/>
    <w:rsid w:val="00EB40DF"/>
    <w:rsid w:val="00EB43D7"/>
    <w:rsid w:val="00EB442B"/>
    <w:rsid w:val="00EB453F"/>
    <w:rsid w:val="00EB4DB4"/>
    <w:rsid w:val="00EB5578"/>
    <w:rsid w:val="00EB579D"/>
    <w:rsid w:val="00EB5828"/>
    <w:rsid w:val="00EB60DC"/>
    <w:rsid w:val="00EB6406"/>
    <w:rsid w:val="00EB6551"/>
    <w:rsid w:val="00EB680C"/>
    <w:rsid w:val="00EB69AD"/>
    <w:rsid w:val="00EB6E23"/>
    <w:rsid w:val="00EC003A"/>
    <w:rsid w:val="00EC0316"/>
    <w:rsid w:val="00EC06EF"/>
    <w:rsid w:val="00EC0B17"/>
    <w:rsid w:val="00EC131E"/>
    <w:rsid w:val="00EC171C"/>
    <w:rsid w:val="00EC190C"/>
    <w:rsid w:val="00EC1B05"/>
    <w:rsid w:val="00EC1B65"/>
    <w:rsid w:val="00EC1DF6"/>
    <w:rsid w:val="00EC1FC0"/>
    <w:rsid w:val="00EC2B52"/>
    <w:rsid w:val="00EC3513"/>
    <w:rsid w:val="00EC37CD"/>
    <w:rsid w:val="00EC3EF1"/>
    <w:rsid w:val="00EC4014"/>
    <w:rsid w:val="00EC409E"/>
    <w:rsid w:val="00EC53AE"/>
    <w:rsid w:val="00EC649A"/>
    <w:rsid w:val="00EC66E7"/>
    <w:rsid w:val="00EC6B6F"/>
    <w:rsid w:val="00EC6C04"/>
    <w:rsid w:val="00EC6F83"/>
    <w:rsid w:val="00EC6F85"/>
    <w:rsid w:val="00EC70DE"/>
    <w:rsid w:val="00EC798C"/>
    <w:rsid w:val="00ED07F7"/>
    <w:rsid w:val="00ED0D62"/>
    <w:rsid w:val="00ED1014"/>
    <w:rsid w:val="00ED18F0"/>
    <w:rsid w:val="00ED1E73"/>
    <w:rsid w:val="00ED227A"/>
    <w:rsid w:val="00ED297D"/>
    <w:rsid w:val="00ED2BE0"/>
    <w:rsid w:val="00ED3572"/>
    <w:rsid w:val="00ED3876"/>
    <w:rsid w:val="00ED3BE1"/>
    <w:rsid w:val="00ED40BB"/>
    <w:rsid w:val="00ED486B"/>
    <w:rsid w:val="00ED54FB"/>
    <w:rsid w:val="00ED553F"/>
    <w:rsid w:val="00ED5551"/>
    <w:rsid w:val="00ED59A7"/>
    <w:rsid w:val="00ED5B30"/>
    <w:rsid w:val="00ED5D81"/>
    <w:rsid w:val="00ED6206"/>
    <w:rsid w:val="00ED6402"/>
    <w:rsid w:val="00ED6A56"/>
    <w:rsid w:val="00ED73DA"/>
    <w:rsid w:val="00EE04E7"/>
    <w:rsid w:val="00EE05C5"/>
    <w:rsid w:val="00EE0965"/>
    <w:rsid w:val="00EE099B"/>
    <w:rsid w:val="00EE158B"/>
    <w:rsid w:val="00EE1714"/>
    <w:rsid w:val="00EE1D47"/>
    <w:rsid w:val="00EE1DF6"/>
    <w:rsid w:val="00EE1E75"/>
    <w:rsid w:val="00EE25D1"/>
    <w:rsid w:val="00EE2CEE"/>
    <w:rsid w:val="00EE2D51"/>
    <w:rsid w:val="00EE33FF"/>
    <w:rsid w:val="00EE3621"/>
    <w:rsid w:val="00EE516E"/>
    <w:rsid w:val="00EE56E1"/>
    <w:rsid w:val="00EE5A03"/>
    <w:rsid w:val="00EE5DFD"/>
    <w:rsid w:val="00EE7242"/>
    <w:rsid w:val="00EE7310"/>
    <w:rsid w:val="00EE7ADC"/>
    <w:rsid w:val="00EE7D04"/>
    <w:rsid w:val="00EE7D70"/>
    <w:rsid w:val="00EF027A"/>
    <w:rsid w:val="00EF07A6"/>
    <w:rsid w:val="00EF0AEC"/>
    <w:rsid w:val="00EF1016"/>
    <w:rsid w:val="00EF233C"/>
    <w:rsid w:val="00EF24E3"/>
    <w:rsid w:val="00EF26ED"/>
    <w:rsid w:val="00EF28EA"/>
    <w:rsid w:val="00EF37A0"/>
    <w:rsid w:val="00EF39F2"/>
    <w:rsid w:val="00EF3A87"/>
    <w:rsid w:val="00EF3DE0"/>
    <w:rsid w:val="00EF4170"/>
    <w:rsid w:val="00EF4A65"/>
    <w:rsid w:val="00EF5336"/>
    <w:rsid w:val="00EF5AA9"/>
    <w:rsid w:val="00EF5CAF"/>
    <w:rsid w:val="00EF5F68"/>
    <w:rsid w:val="00EF6551"/>
    <w:rsid w:val="00EF6F56"/>
    <w:rsid w:val="00EF768D"/>
    <w:rsid w:val="00EF77FD"/>
    <w:rsid w:val="00EF78DE"/>
    <w:rsid w:val="00F002BB"/>
    <w:rsid w:val="00F00FAB"/>
    <w:rsid w:val="00F0110F"/>
    <w:rsid w:val="00F01D5A"/>
    <w:rsid w:val="00F026CB"/>
    <w:rsid w:val="00F02EBC"/>
    <w:rsid w:val="00F03263"/>
    <w:rsid w:val="00F04F27"/>
    <w:rsid w:val="00F0533C"/>
    <w:rsid w:val="00F056A9"/>
    <w:rsid w:val="00F05E8C"/>
    <w:rsid w:val="00F05ED2"/>
    <w:rsid w:val="00F0655C"/>
    <w:rsid w:val="00F06639"/>
    <w:rsid w:val="00F06F89"/>
    <w:rsid w:val="00F07398"/>
    <w:rsid w:val="00F1008B"/>
    <w:rsid w:val="00F10374"/>
    <w:rsid w:val="00F10820"/>
    <w:rsid w:val="00F1089E"/>
    <w:rsid w:val="00F111DA"/>
    <w:rsid w:val="00F113AB"/>
    <w:rsid w:val="00F11555"/>
    <w:rsid w:val="00F11D50"/>
    <w:rsid w:val="00F121F8"/>
    <w:rsid w:val="00F12F2C"/>
    <w:rsid w:val="00F13013"/>
    <w:rsid w:val="00F13204"/>
    <w:rsid w:val="00F133CE"/>
    <w:rsid w:val="00F148E8"/>
    <w:rsid w:val="00F150BC"/>
    <w:rsid w:val="00F15B96"/>
    <w:rsid w:val="00F15C86"/>
    <w:rsid w:val="00F15CDE"/>
    <w:rsid w:val="00F162C6"/>
    <w:rsid w:val="00F1635C"/>
    <w:rsid w:val="00F163C8"/>
    <w:rsid w:val="00F16711"/>
    <w:rsid w:val="00F16F25"/>
    <w:rsid w:val="00F176A5"/>
    <w:rsid w:val="00F17767"/>
    <w:rsid w:val="00F178C2"/>
    <w:rsid w:val="00F200E2"/>
    <w:rsid w:val="00F20172"/>
    <w:rsid w:val="00F2066A"/>
    <w:rsid w:val="00F212F0"/>
    <w:rsid w:val="00F218EA"/>
    <w:rsid w:val="00F21ACE"/>
    <w:rsid w:val="00F22516"/>
    <w:rsid w:val="00F22B18"/>
    <w:rsid w:val="00F22FCF"/>
    <w:rsid w:val="00F23BDF"/>
    <w:rsid w:val="00F248FE"/>
    <w:rsid w:val="00F24BD5"/>
    <w:rsid w:val="00F24C71"/>
    <w:rsid w:val="00F24F03"/>
    <w:rsid w:val="00F2513C"/>
    <w:rsid w:val="00F25525"/>
    <w:rsid w:val="00F2647A"/>
    <w:rsid w:val="00F26874"/>
    <w:rsid w:val="00F26B0A"/>
    <w:rsid w:val="00F272CB"/>
    <w:rsid w:val="00F27A67"/>
    <w:rsid w:val="00F300E8"/>
    <w:rsid w:val="00F302A2"/>
    <w:rsid w:val="00F30327"/>
    <w:rsid w:val="00F30F5A"/>
    <w:rsid w:val="00F311FA"/>
    <w:rsid w:val="00F31302"/>
    <w:rsid w:val="00F31320"/>
    <w:rsid w:val="00F32979"/>
    <w:rsid w:val="00F336BA"/>
    <w:rsid w:val="00F33F8D"/>
    <w:rsid w:val="00F341A2"/>
    <w:rsid w:val="00F343BE"/>
    <w:rsid w:val="00F347FA"/>
    <w:rsid w:val="00F3497A"/>
    <w:rsid w:val="00F34CBE"/>
    <w:rsid w:val="00F3548A"/>
    <w:rsid w:val="00F35C6B"/>
    <w:rsid w:val="00F3616C"/>
    <w:rsid w:val="00F36229"/>
    <w:rsid w:val="00F36541"/>
    <w:rsid w:val="00F37026"/>
    <w:rsid w:val="00F3742B"/>
    <w:rsid w:val="00F37475"/>
    <w:rsid w:val="00F374E9"/>
    <w:rsid w:val="00F37A24"/>
    <w:rsid w:val="00F37C37"/>
    <w:rsid w:val="00F37DE7"/>
    <w:rsid w:val="00F40BA0"/>
    <w:rsid w:val="00F40E5B"/>
    <w:rsid w:val="00F40FEA"/>
    <w:rsid w:val="00F40FF6"/>
    <w:rsid w:val="00F41F88"/>
    <w:rsid w:val="00F41FFE"/>
    <w:rsid w:val="00F4234B"/>
    <w:rsid w:val="00F435DA"/>
    <w:rsid w:val="00F43C68"/>
    <w:rsid w:val="00F44768"/>
    <w:rsid w:val="00F44939"/>
    <w:rsid w:val="00F44EFC"/>
    <w:rsid w:val="00F45134"/>
    <w:rsid w:val="00F451A6"/>
    <w:rsid w:val="00F4541A"/>
    <w:rsid w:val="00F45706"/>
    <w:rsid w:val="00F457AA"/>
    <w:rsid w:val="00F45C70"/>
    <w:rsid w:val="00F45F52"/>
    <w:rsid w:val="00F460C0"/>
    <w:rsid w:val="00F46477"/>
    <w:rsid w:val="00F46A3B"/>
    <w:rsid w:val="00F46ECA"/>
    <w:rsid w:val="00F46F5D"/>
    <w:rsid w:val="00F47474"/>
    <w:rsid w:val="00F474E0"/>
    <w:rsid w:val="00F47519"/>
    <w:rsid w:val="00F47A6F"/>
    <w:rsid w:val="00F47FFD"/>
    <w:rsid w:val="00F503BE"/>
    <w:rsid w:val="00F50E22"/>
    <w:rsid w:val="00F50EB8"/>
    <w:rsid w:val="00F514C5"/>
    <w:rsid w:val="00F52159"/>
    <w:rsid w:val="00F52A8C"/>
    <w:rsid w:val="00F52C75"/>
    <w:rsid w:val="00F53006"/>
    <w:rsid w:val="00F5354F"/>
    <w:rsid w:val="00F537EC"/>
    <w:rsid w:val="00F540A0"/>
    <w:rsid w:val="00F55306"/>
    <w:rsid w:val="00F55433"/>
    <w:rsid w:val="00F5561C"/>
    <w:rsid w:val="00F55B85"/>
    <w:rsid w:val="00F55DCC"/>
    <w:rsid w:val="00F56066"/>
    <w:rsid w:val="00F56240"/>
    <w:rsid w:val="00F5664D"/>
    <w:rsid w:val="00F56BA2"/>
    <w:rsid w:val="00F56C72"/>
    <w:rsid w:val="00F56CE1"/>
    <w:rsid w:val="00F57631"/>
    <w:rsid w:val="00F5780E"/>
    <w:rsid w:val="00F60318"/>
    <w:rsid w:val="00F607B7"/>
    <w:rsid w:val="00F60DF1"/>
    <w:rsid w:val="00F61727"/>
    <w:rsid w:val="00F61D63"/>
    <w:rsid w:val="00F61F88"/>
    <w:rsid w:val="00F62732"/>
    <w:rsid w:val="00F62C2F"/>
    <w:rsid w:val="00F63957"/>
    <w:rsid w:val="00F6403E"/>
    <w:rsid w:val="00F6432D"/>
    <w:rsid w:val="00F64400"/>
    <w:rsid w:val="00F64462"/>
    <w:rsid w:val="00F646C3"/>
    <w:rsid w:val="00F64A62"/>
    <w:rsid w:val="00F64E47"/>
    <w:rsid w:val="00F65BE1"/>
    <w:rsid w:val="00F65CEE"/>
    <w:rsid w:val="00F6649B"/>
    <w:rsid w:val="00F6659A"/>
    <w:rsid w:val="00F66935"/>
    <w:rsid w:val="00F66ABF"/>
    <w:rsid w:val="00F66EC2"/>
    <w:rsid w:val="00F66FC4"/>
    <w:rsid w:val="00F67115"/>
    <w:rsid w:val="00F675EB"/>
    <w:rsid w:val="00F710E2"/>
    <w:rsid w:val="00F71504"/>
    <w:rsid w:val="00F71924"/>
    <w:rsid w:val="00F71D77"/>
    <w:rsid w:val="00F71E80"/>
    <w:rsid w:val="00F72365"/>
    <w:rsid w:val="00F72497"/>
    <w:rsid w:val="00F72531"/>
    <w:rsid w:val="00F7297D"/>
    <w:rsid w:val="00F72F29"/>
    <w:rsid w:val="00F7380B"/>
    <w:rsid w:val="00F740BB"/>
    <w:rsid w:val="00F741DF"/>
    <w:rsid w:val="00F74DF8"/>
    <w:rsid w:val="00F7529B"/>
    <w:rsid w:val="00F75533"/>
    <w:rsid w:val="00F75894"/>
    <w:rsid w:val="00F76229"/>
    <w:rsid w:val="00F764AA"/>
    <w:rsid w:val="00F76610"/>
    <w:rsid w:val="00F769BA"/>
    <w:rsid w:val="00F76FBC"/>
    <w:rsid w:val="00F77149"/>
    <w:rsid w:val="00F771AC"/>
    <w:rsid w:val="00F77FE6"/>
    <w:rsid w:val="00F801BA"/>
    <w:rsid w:val="00F803EE"/>
    <w:rsid w:val="00F80BC8"/>
    <w:rsid w:val="00F80FB7"/>
    <w:rsid w:val="00F813CF"/>
    <w:rsid w:val="00F8197E"/>
    <w:rsid w:val="00F8209C"/>
    <w:rsid w:val="00F823BB"/>
    <w:rsid w:val="00F82B22"/>
    <w:rsid w:val="00F82B34"/>
    <w:rsid w:val="00F83394"/>
    <w:rsid w:val="00F8393D"/>
    <w:rsid w:val="00F83AD0"/>
    <w:rsid w:val="00F8413E"/>
    <w:rsid w:val="00F850BE"/>
    <w:rsid w:val="00F853B9"/>
    <w:rsid w:val="00F854F9"/>
    <w:rsid w:val="00F855EB"/>
    <w:rsid w:val="00F86535"/>
    <w:rsid w:val="00F86BBA"/>
    <w:rsid w:val="00F86F46"/>
    <w:rsid w:val="00F87871"/>
    <w:rsid w:val="00F87CE3"/>
    <w:rsid w:val="00F908CB"/>
    <w:rsid w:val="00F90942"/>
    <w:rsid w:val="00F90ABB"/>
    <w:rsid w:val="00F91511"/>
    <w:rsid w:val="00F929AF"/>
    <w:rsid w:val="00F92D5E"/>
    <w:rsid w:val="00F9378C"/>
    <w:rsid w:val="00F93DD5"/>
    <w:rsid w:val="00F94DB7"/>
    <w:rsid w:val="00F95CD2"/>
    <w:rsid w:val="00F968AD"/>
    <w:rsid w:val="00F96EB8"/>
    <w:rsid w:val="00FA0674"/>
    <w:rsid w:val="00FA0835"/>
    <w:rsid w:val="00FA0F5B"/>
    <w:rsid w:val="00FA10A3"/>
    <w:rsid w:val="00FA11ED"/>
    <w:rsid w:val="00FA12D1"/>
    <w:rsid w:val="00FA1CC4"/>
    <w:rsid w:val="00FA210B"/>
    <w:rsid w:val="00FA2387"/>
    <w:rsid w:val="00FA2F05"/>
    <w:rsid w:val="00FA421E"/>
    <w:rsid w:val="00FA427B"/>
    <w:rsid w:val="00FA45E9"/>
    <w:rsid w:val="00FA4B0A"/>
    <w:rsid w:val="00FA4FE8"/>
    <w:rsid w:val="00FA5585"/>
    <w:rsid w:val="00FA6BF4"/>
    <w:rsid w:val="00FA6DB8"/>
    <w:rsid w:val="00FA6FB0"/>
    <w:rsid w:val="00FA71FC"/>
    <w:rsid w:val="00FA727F"/>
    <w:rsid w:val="00FA7612"/>
    <w:rsid w:val="00FA7D80"/>
    <w:rsid w:val="00FA7F51"/>
    <w:rsid w:val="00FB0815"/>
    <w:rsid w:val="00FB0C7A"/>
    <w:rsid w:val="00FB13CA"/>
    <w:rsid w:val="00FB1541"/>
    <w:rsid w:val="00FB169F"/>
    <w:rsid w:val="00FB1705"/>
    <w:rsid w:val="00FB1762"/>
    <w:rsid w:val="00FB1CD2"/>
    <w:rsid w:val="00FB2015"/>
    <w:rsid w:val="00FB2504"/>
    <w:rsid w:val="00FB3B02"/>
    <w:rsid w:val="00FB5A6C"/>
    <w:rsid w:val="00FB624C"/>
    <w:rsid w:val="00FB6D3E"/>
    <w:rsid w:val="00FB7171"/>
    <w:rsid w:val="00FB7414"/>
    <w:rsid w:val="00FC03F1"/>
    <w:rsid w:val="00FC0440"/>
    <w:rsid w:val="00FC05B1"/>
    <w:rsid w:val="00FC0A13"/>
    <w:rsid w:val="00FC0D0E"/>
    <w:rsid w:val="00FC135B"/>
    <w:rsid w:val="00FC13E5"/>
    <w:rsid w:val="00FC25B6"/>
    <w:rsid w:val="00FC284E"/>
    <w:rsid w:val="00FC31D5"/>
    <w:rsid w:val="00FC3D23"/>
    <w:rsid w:val="00FC40FC"/>
    <w:rsid w:val="00FC5604"/>
    <w:rsid w:val="00FC6DA8"/>
    <w:rsid w:val="00FC7163"/>
    <w:rsid w:val="00FC7A3A"/>
    <w:rsid w:val="00FC7B57"/>
    <w:rsid w:val="00FD1F2A"/>
    <w:rsid w:val="00FD21CE"/>
    <w:rsid w:val="00FD26D2"/>
    <w:rsid w:val="00FD3822"/>
    <w:rsid w:val="00FD3A44"/>
    <w:rsid w:val="00FD41D9"/>
    <w:rsid w:val="00FD4589"/>
    <w:rsid w:val="00FD4AF8"/>
    <w:rsid w:val="00FD4B65"/>
    <w:rsid w:val="00FD50DA"/>
    <w:rsid w:val="00FD5555"/>
    <w:rsid w:val="00FD7760"/>
    <w:rsid w:val="00FD7EA1"/>
    <w:rsid w:val="00FE0269"/>
    <w:rsid w:val="00FE0F79"/>
    <w:rsid w:val="00FE1395"/>
    <w:rsid w:val="00FE211B"/>
    <w:rsid w:val="00FE2900"/>
    <w:rsid w:val="00FE2A45"/>
    <w:rsid w:val="00FE3073"/>
    <w:rsid w:val="00FE3483"/>
    <w:rsid w:val="00FE36CB"/>
    <w:rsid w:val="00FE3782"/>
    <w:rsid w:val="00FE3CBC"/>
    <w:rsid w:val="00FE4928"/>
    <w:rsid w:val="00FE4C54"/>
    <w:rsid w:val="00FE4E68"/>
    <w:rsid w:val="00FE572D"/>
    <w:rsid w:val="00FE6AB0"/>
    <w:rsid w:val="00FE7DBD"/>
    <w:rsid w:val="00FE7E1A"/>
    <w:rsid w:val="00FE7F13"/>
    <w:rsid w:val="00FF0737"/>
    <w:rsid w:val="00FF0C3D"/>
    <w:rsid w:val="00FF2750"/>
    <w:rsid w:val="00FF34FD"/>
    <w:rsid w:val="00FF3C37"/>
    <w:rsid w:val="00FF41EF"/>
    <w:rsid w:val="00FF471B"/>
    <w:rsid w:val="00FF60DC"/>
    <w:rsid w:val="00FF6481"/>
    <w:rsid w:val="00FF6FC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black"/>
    </o:shapedefaults>
    <o:shapelayout v:ext="edit">
      <o:idmap v:ext="edit" data="2"/>
    </o:shapelayout>
  </w:shapeDefaults>
  <w:decimalSymbol w:val=","/>
  <w:listSeparator w:val=";"/>
  <w14:docId w14:val="47C32295"/>
  <w15:chartTrackingRefBased/>
  <w15:docId w15:val="{8A10D057-3F4F-49E6-86CB-5E7AA8FA7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s-CR" w:eastAsia="es-CR"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0" w:unhideWhenUsed="1" w:qFormat="1"/>
    <w:lsdException w:name="annotation text" w:semiHidden="1" w:uiPriority="0" w:unhideWhenUsed="1"/>
    <w:lsdException w:name="header" w:locked="0" w:semiHidden="1" w:unhideWhenUsed="1"/>
    <w:lsdException w:name="footer" w:locked="0"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0"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94189"/>
    <w:pPr>
      <w:spacing w:before="160" w:after="120" w:line="276" w:lineRule="auto"/>
      <w:jc w:val="both"/>
    </w:pPr>
    <w:rPr>
      <w:rFonts w:ascii="Arial" w:hAnsi="Arial"/>
      <w:szCs w:val="24"/>
      <w:lang w:eastAsia="en-US"/>
    </w:rPr>
  </w:style>
  <w:style w:type="paragraph" w:styleId="Ttulo1">
    <w:name w:val="heading 1"/>
    <w:next w:val="Normal"/>
    <w:link w:val="Ttulo1Car"/>
    <w:qFormat/>
    <w:rsid w:val="00BA58A8"/>
    <w:pPr>
      <w:keepNext/>
      <w:numPr>
        <w:numId w:val="1"/>
      </w:numPr>
      <w:suppressAutoHyphens/>
      <w:spacing w:before="240" w:after="120"/>
      <w:jc w:val="both"/>
      <w:outlineLvl w:val="0"/>
    </w:pPr>
    <w:rPr>
      <w:rFonts w:ascii="Arial" w:hAnsi="Arial"/>
      <w:b/>
      <w:snapToGrid w:val="0"/>
      <w:kern w:val="28"/>
      <w:sz w:val="24"/>
      <w:szCs w:val="24"/>
      <w:lang w:val="es-ES_tradnl" w:eastAsia="es-ES"/>
    </w:rPr>
  </w:style>
  <w:style w:type="paragraph" w:styleId="Ttulo2">
    <w:name w:val="heading 2"/>
    <w:aliases w:val="CAPÍTULO,Car10"/>
    <w:basedOn w:val="Ttulo1"/>
    <w:next w:val="Normal"/>
    <w:link w:val="Ttulo2Car"/>
    <w:uiPriority w:val="99"/>
    <w:qFormat/>
    <w:rsid w:val="0062349A"/>
    <w:pPr>
      <w:keepNext w:val="0"/>
      <w:numPr>
        <w:ilvl w:val="1"/>
      </w:numPr>
      <w:spacing w:before="120"/>
      <w:outlineLvl w:val="1"/>
    </w:pPr>
    <w:rPr>
      <w:sz w:val="22"/>
      <w:szCs w:val="22"/>
    </w:rPr>
  </w:style>
  <w:style w:type="paragraph" w:styleId="Ttulo3">
    <w:name w:val="heading 3"/>
    <w:basedOn w:val="Ttulo1"/>
    <w:next w:val="Normal"/>
    <w:link w:val="Ttulo3Car"/>
    <w:uiPriority w:val="99"/>
    <w:qFormat/>
    <w:rsid w:val="0062349A"/>
    <w:pPr>
      <w:numPr>
        <w:ilvl w:val="2"/>
      </w:numPr>
      <w:spacing w:before="120"/>
      <w:outlineLvl w:val="2"/>
    </w:pPr>
    <w:rPr>
      <w:sz w:val="20"/>
    </w:rPr>
  </w:style>
  <w:style w:type="paragraph" w:styleId="Ttulo4">
    <w:name w:val="heading 4"/>
    <w:basedOn w:val="Ttulo1"/>
    <w:next w:val="Normal"/>
    <w:link w:val="Ttulo4Car"/>
    <w:uiPriority w:val="99"/>
    <w:qFormat/>
    <w:rsid w:val="0062349A"/>
    <w:pPr>
      <w:numPr>
        <w:ilvl w:val="3"/>
      </w:numPr>
      <w:spacing w:before="120"/>
      <w:outlineLvl w:val="3"/>
    </w:pPr>
    <w:rPr>
      <w:sz w:val="20"/>
    </w:rPr>
  </w:style>
  <w:style w:type="paragraph" w:styleId="Ttulo5">
    <w:name w:val="heading 5"/>
    <w:basedOn w:val="Normal"/>
    <w:next w:val="Normal"/>
    <w:link w:val="Ttulo5Car"/>
    <w:qFormat/>
    <w:locked/>
    <w:rsid w:val="007C6013"/>
    <w:pPr>
      <w:numPr>
        <w:ilvl w:val="4"/>
        <w:numId w:val="1"/>
      </w:numPr>
      <w:spacing w:before="120"/>
      <w:outlineLvl w:val="4"/>
    </w:pPr>
    <w:rPr>
      <w:b/>
      <w:snapToGrid w:val="0"/>
      <w:szCs w:val="20"/>
      <w:lang w:val="es-ES_tradnl" w:eastAsia="es-ES"/>
    </w:rPr>
  </w:style>
  <w:style w:type="paragraph" w:styleId="Ttulo6">
    <w:name w:val="heading 6"/>
    <w:basedOn w:val="Normal"/>
    <w:next w:val="Normal"/>
    <w:link w:val="Ttulo6Car"/>
    <w:qFormat/>
    <w:locked/>
    <w:rsid w:val="007C6013"/>
    <w:pPr>
      <w:numPr>
        <w:ilvl w:val="5"/>
        <w:numId w:val="1"/>
      </w:numPr>
      <w:spacing w:before="120"/>
      <w:outlineLvl w:val="5"/>
    </w:pPr>
    <w:rPr>
      <w:b/>
      <w:snapToGrid w:val="0"/>
      <w:szCs w:val="18"/>
      <w:lang w:val="es-ES_tradnl" w:eastAsia="es-ES"/>
    </w:rPr>
  </w:style>
  <w:style w:type="paragraph" w:styleId="Ttulo7">
    <w:name w:val="heading 7"/>
    <w:basedOn w:val="Normal"/>
    <w:next w:val="Normal"/>
    <w:link w:val="Ttulo7Car"/>
    <w:qFormat/>
    <w:locked/>
    <w:rsid w:val="007C6013"/>
    <w:pPr>
      <w:numPr>
        <w:ilvl w:val="6"/>
        <w:numId w:val="1"/>
      </w:numPr>
      <w:spacing w:before="120"/>
      <w:outlineLvl w:val="6"/>
    </w:pPr>
    <w:rPr>
      <w:b/>
      <w:snapToGrid w:val="0"/>
      <w:szCs w:val="20"/>
      <w:lang w:val="es-ES_tradnl" w:eastAsia="es-ES"/>
    </w:rPr>
  </w:style>
  <w:style w:type="paragraph" w:styleId="Ttulo8">
    <w:name w:val="heading 8"/>
    <w:basedOn w:val="Normal"/>
    <w:next w:val="Normal"/>
    <w:link w:val="Ttulo8Car"/>
    <w:qFormat/>
    <w:locked/>
    <w:rsid w:val="007C6013"/>
    <w:pPr>
      <w:numPr>
        <w:ilvl w:val="7"/>
        <w:numId w:val="1"/>
      </w:numPr>
      <w:spacing w:before="120"/>
      <w:outlineLvl w:val="7"/>
    </w:pPr>
    <w:rPr>
      <w:b/>
      <w:snapToGrid w:val="0"/>
      <w:szCs w:val="18"/>
      <w:lang w:val="es-ES_tradnl" w:eastAsia="es-ES"/>
    </w:rPr>
  </w:style>
  <w:style w:type="paragraph" w:styleId="Ttulo9">
    <w:name w:val="heading 9"/>
    <w:basedOn w:val="ListaNivel2"/>
    <w:next w:val="Normal"/>
    <w:link w:val="Ttulo9Car"/>
    <w:qFormat/>
    <w:locked/>
    <w:rsid w:val="007C6013"/>
    <w:p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A58A8"/>
    <w:rPr>
      <w:rFonts w:ascii="Arial" w:hAnsi="Arial"/>
      <w:b/>
      <w:snapToGrid w:val="0"/>
      <w:kern w:val="28"/>
      <w:sz w:val="24"/>
      <w:szCs w:val="24"/>
      <w:lang w:val="es-ES_tradnl" w:eastAsia="es-ES"/>
    </w:rPr>
  </w:style>
  <w:style w:type="character" w:customStyle="1" w:styleId="Ttulo2Car">
    <w:name w:val="Título 2 Car"/>
    <w:aliases w:val="CAPÍTULO Car,Car10 Car"/>
    <w:link w:val="Ttulo2"/>
    <w:uiPriority w:val="99"/>
    <w:rsid w:val="0062349A"/>
    <w:rPr>
      <w:rFonts w:ascii="Arial" w:hAnsi="Arial"/>
      <w:b/>
      <w:snapToGrid w:val="0"/>
      <w:kern w:val="28"/>
      <w:sz w:val="22"/>
      <w:szCs w:val="22"/>
      <w:lang w:val="es-ES_tradnl" w:eastAsia="es-ES"/>
    </w:rPr>
  </w:style>
  <w:style w:type="character" w:customStyle="1" w:styleId="Ttulo3Car">
    <w:name w:val="Título 3 Car"/>
    <w:link w:val="Ttulo3"/>
    <w:uiPriority w:val="99"/>
    <w:rsid w:val="0062349A"/>
    <w:rPr>
      <w:rFonts w:ascii="Arial" w:hAnsi="Arial"/>
      <w:b/>
      <w:snapToGrid w:val="0"/>
      <w:kern w:val="28"/>
      <w:szCs w:val="24"/>
      <w:lang w:val="es-ES_tradnl" w:eastAsia="es-ES"/>
    </w:rPr>
  </w:style>
  <w:style w:type="character" w:customStyle="1" w:styleId="Ttulo4Car">
    <w:name w:val="Título 4 Car"/>
    <w:link w:val="Ttulo4"/>
    <w:uiPriority w:val="99"/>
    <w:rsid w:val="0062349A"/>
    <w:rPr>
      <w:rFonts w:ascii="Arial" w:hAnsi="Arial"/>
      <w:b/>
      <w:snapToGrid w:val="0"/>
      <w:kern w:val="28"/>
      <w:szCs w:val="24"/>
      <w:lang w:val="es-ES_tradnl" w:eastAsia="es-ES"/>
    </w:rPr>
  </w:style>
  <w:style w:type="character" w:customStyle="1" w:styleId="Ttulo5Car">
    <w:name w:val="Título 5 Car"/>
    <w:link w:val="Ttulo5"/>
    <w:rsid w:val="007C6013"/>
    <w:rPr>
      <w:rFonts w:ascii="Arial" w:hAnsi="Arial"/>
      <w:b/>
      <w:snapToGrid w:val="0"/>
      <w:lang w:val="es-ES_tradnl" w:eastAsia="es-ES"/>
    </w:rPr>
  </w:style>
  <w:style w:type="character" w:customStyle="1" w:styleId="Ttulo6Car">
    <w:name w:val="Título 6 Car"/>
    <w:link w:val="Ttulo6"/>
    <w:rsid w:val="007C6013"/>
    <w:rPr>
      <w:rFonts w:ascii="Arial" w:hAnsi="Arial"/>
      <w:b/>
      <w:snapToGrid w:val="0"/>
      <w:szCs w:val="18"/>
      <w:lang w:val="es-ES_tradnl" w:eastAsia="es-ES"/>
    </w:rPr>
  </w:style>
  <w:style w:type="character" w:customStyle="1" w:styleId="Ttulo7Car">
    <w:name w:val="Título 7 Car"/>
    <w:link w:val="Ttulo7"/>
    <w:rsid w:val="007C6013"/>
    <w:rPr>
      <w:rFonts w:ascii="Arial" w:hAnsi="Arial"/>
      <w:b/>
      <w:snapToGrid w:val="0"/>
      <w:lang w:val="es-ES_tradnl" w:eastAsia="es-ES"/>
    </w:rPr>
  </w:style>
  <w:style w:type="character" w:customStyle="1" w:styleId="Ttulo8Car">
    <w:name w:val="Título 8 Car"/>
    <w:link w:val="Ttulo8"/>
    <w:rsid w:val="007C6013"/>
    <w:rPr>
      <w:rFonts w:ascii="Arial" w:hAnsi="Arial"/>
      <w:b/>
      <w:snapToGrid w:val="0"/>
      <w:szCs w:val="18"/>
      <w:lang w:val="es-ES_tradnl" w:eastAsia="es-ES"/>
    </w:rPr>
  </w:style>
  <w:style w:type="paragraph" w:customStyle="1" w:styleId="ListaNivel2">
    <w:name w:val="Lista Nivel 2"/>
    <w:link w:val="ListaNivel2Car"/>
    <w:qFormat/>
    <w:rsid w:val="009237C9"/>
    <w:pPr>
      <w:tabs>
        <w:tab w:val="num" w:pos="1077"/>
      </w:tabs>
      <w:suppressAutoHyphens/>
      <w:spacing w:before="120" w:after="120"/>
      <w:ind w:left="1077" w:hanging="397"/>
      <w:jc w:val="both"/>
    </w:pPr>
    <w:rPr>
      <w:rFonts w:ascii="Arial" w:hAnsi="Arial"/>
      <w:snapToGrid w:val="0"/>
      <w:szCs w:val="24"/>
      <w:lang w:val="es-ES_tradnl" w:eastAsia="es-ES"/>
    </w:rPr>
  </w:style>
  <w:style w:type="character" w:customStyle="1" w:styleId="ListaNivel2Car">
    <w:name w:val="Lista Nivel 2 Car"/>
    <w:link w:val="ListaNivel2"/>
    <w:rsid w:val="009237C9"/>
    <w:rPr>
      <w:rFonts w:ascii="Arial" w:hAnsi="Arial"/>
      <w:snapToGrid w:val="0"/>
      <w:szCs w:val="24"/>
      <w:lang w:val="es-ES_tradnl" w:eastAsia="es-ES"/>
    </w:rPr>
  </w:style>
  <w:style w:type="character" w:customStyle="1" w:styleId="Ttulo9Car">
    <w:name w:val="Título 9 Car"/>
    <w:link w:val="Ttulo9"/>
    <w:rsid w:val="007C6013"/>
    <w:rPr>
      <w:rFonts w:ascii="Arial" w:hAnsi="Arial"/>
      <w:snapToGrid w:val="0"/>
      <w:szCs w:val="24"/>
      <w:lang w:val="es-ES_tradnl" w:eastAsia="es-ES"/>
    </w:rPr>
  </w:style>
  <w:style w:type="paragraph" w:customStyle="1" w:styleId="ContraportadaCdigo">
    <w:name w:val="Contraportada Código"/>
    <w:qFormat/>
    <w:rsid w:val="007C6013"/>
    <w:pPr>
      <w:keepNext/>
      <w:keepLines/>
      <w:suppressAutoHyphens/>
    </w:pPr>
    <w:rPr>
      <w:rFonts w:ascii="Arial" w:hAnsi="Arial"/>
      <w:sz w:val="73"/>
      <w:szCs w:val="73"/>
      <w:lang w:eastAsia="en-US"/>
    </w:rPr>
  </w:style>
  <w:style w:type="paragraph" w:customStyle="1" w:styleId="ContraportadaConfidencialidad">
    <w:name w:val="Contraportada Confidencialidad"/>
    <w:rsid w:val="007C6013"/>
    <w:pPr>
      <w:mirrorIndents/>
      <w:jc w:val="center"/>
    </w:pPr>
    <w:rPr>
      <w:rFonts w:ascii="Arial" w:hAnsi="Arial"/>
      <w:b/>
      <w:caps/>
      <w:sz w:val="28"/>
      <w:szCs w:val="48"/>
      <w:lang w:eastAsia="en-US"/>
    </w:rPr>
  </w:style>
  <w:style w:type="paragraph" w:customStyle="1" w:styleId="ContraportadaSerieNormas">
    <w:name w:val="Contraportada Serie Normas"/>
    <w:rsid w:val="007C6013"/>
    <w:pPr>
      <w:keepNext/>
      <w:suppressAutoHyphens/>
      <w:spacing w:after="240"/>
      <w:jc w:val="center"/>
    </w:pPr>
    <w:rPr>
      <w:rFonts w:ascii="Arial" w:hAnsi="Arial"/>
      <w:b/>
      <w:caps/>
      <w:spacing w:val="-2"/>
      <w:sz w:val="26"/>
      <w:szCs w:val="26"/>
      <w:lang w:eastAsia="en-US"/>
    </w:rPr>
  </w:style>
  <w:style w:type="paragraph" w:customStyle="1" w:styleId="ContraportadaNombreServicio">
    <w:name w:val="Contraportada Nombre Servicio"/>
    <w:rsid w:val="007C6013"/>
    <w:pPr>
      <w:keepNext/>
      <w:suppressAutoHyphens/>
      <w:spacing w:after="240"/>
      <w:jc w:val="center"/>
    </w:pPr>
    <w:rPr>
      <w:rFonts w:ascii="Arial" w:hAnsi="Arial"/>
      <w:b/>
      <w:caps/>
      <w:spacing w:val="60"/>
      <w:sz w:val="28"/>
      <w:szCs w:val="28"/>
      <w:lang w:eastAsia="en-US"/>
    </w:rPr>
  </w:style>
  <w:style w:type="paragraph" w:customStyle="1" w:styleId="ContraportadaTipoLibro">
    <w:name w:val="Contraportada Tipo Libro"/>
    <w:rsid w:val="007C6013"/>
    <w:pPr>
      <w:spacing w:after="240"/>
      <w:jc w:val="center"/>
    </w:pPr>
    <w:rPr>
      <w:rFonts w:ascii="Arial" w:hAnsi="Arial"/>
      <w:b/>
      <w:caps/>
      <w:spacing w:val="70"/>
      <w:sz w:val="26"/>
      <w:szCs w:val="26"/>
      <w:lang w:eastAsia="en-US"/>
    </w:rPr>
  </w:style>
  <w:style w:type="paragraph" w:styleId="Encabezado">
    <w:name w:val="header"/>
    <w:link w:val="EncabezadoCar"/>
    <w:uiPriority w:val="99"/>
    <w:rsid w:val="007C6013"/>
    <w:pPr>
      <w:jc w:val="both"/>
    </w:pPr>
    <w:rPr>
      <w:rFonts w:ascii="Arial" w:hAnsi="Arial"/>
      <w:b/>
      <w:color w:val="FFFFFF"/>
      <w:spacing w:val="20"/>
      <w:sz w:val="16"/>
      <w:szCs w:val="24"/>
      <w:lang w:val="es-ES" w:eastAsia="en-US"/>
    </w:rPr>
  </w:style>
  <w:style w:type="character" w:customStyle="1" w:styleId="EncabezadoCar">
    <w:name w:val="Encabezado Car"/>
    <w:link w:val="Encabezado"/>
    <w:uiPriority w:val="99"/>
    <w:rsid w:val="007C6013"/>
    <w:rPr>
      <w:rFonts w:ascii="Arial" w:hAnsi="Arial"/>
      <w:b/>
      <w:color w:val="FFFFFF"/>
      <w:spacing w:val="20"/>
      <w:sz w:val="16"/>
      <w:szCs w:val="24"/>
      <w:lang w:val="es-ES" w:eastAsia="en-US" w:bidi="ar-SA"/>
    </w:rPr>
  </w:style>
  <w:style w:type="character" w:styleId="Hipervnculo">
    <w:name w:val="Hyperlink"/>
    <w:uiPriority w:val="99"/>
    <w:unhideWhenUsed/>
    <w:qFormat/>
    <w:rsid w:val="007C6013"/>
    <w:rPr>
      <w:rFonts w:ascii="Arial" w:hAnsi="Arial"/>
      <w:color w:val="0000FF"/>
      <w:sz w:val="20"/>
      <w:u w:val="single"/>
    </w:rPr>
  </w:style>
  <w:style w:type="character" w:customStyle="1" w:styleId="LetraCursiva">
    <w:name w:val="Letra Cursiva"/>
    <w:qFormat/>
    <w:rsid w:val="00B76E45"/>
    <w:rPr>
      <w:rFonts w:ascii="Times New Roman" w:hAnsi="Times New Roman"/>
      <w:i/>
      <w:sz w:val="22"/>
    </w:rPr>
  </w:style>
  <w:style w:type="character" w:customStyle="1" w:styleId="LetraCursivaNegrita">
    <w:name w:val="Letra Cursiva Negrita"/>
    <w:qFormat/>
    <w:rsid w:val="007C6013"/>
    <w:rPr>
      <w:rFonts w:ascii="Arial" w:hAnsi="Arial"/>
      <w:b/>
      <w:i/>
      <w:color w:val="auto"/>
      <w:sz w:val="20"/>
      <w:szCs w:val="20"/>
      <w:u w:val="none"/>
    </w:rPr>
  </w:style>
  <w:style w:type="character" w:customStyle="1" w:styleId="LetraNegrita">
    <w:name w:val="Letra Negrita"/>
    <w:qFormat/>
    <w:rsid w:val="007C6013"/>
    <w:rPr>
      <w:rFonts w:ascii="Arial" w:hAnsi="Arial"/>
      <w:b/>
      <w:color w:val="auto"/>
      <w:sz w:val="20"/>
    </w:rPr>
  </w:style>
  <w:style w:type="character" w:customStyle="1" w:styleId="LetraNegritaSubrayada">
    <w:name w:val="Letra Negrita Subrayada"/>
    <w:uiPriority w:val="1"/>
    <w:qFormat/>
    <w:rsid w:val="007C6013"/>
    <w:rPr>
      <w:rFonts w:ascii="Arial" w:hAnsi="Arial"/>
      <w:b/>
      <w:color w:val="auto"/>
      <w:sz w:val="20"/>
      <w:u w:val="single"/>
    </w:rPr>
  </w:style>
  <w:style w:type="character" w:customStyle="1" w:styleId="LetraSubrayada">
    <w:name w:val="Letra Subrayada"/>
    <w:qFormat/>
    <w:rsid w:val="007C6013"/>
    <w:rPr>
      <w:rFonts w:ascii="Arial" w:hAnsi="Arial"/>
      <w:sz w:val="20"/>
      <w:u w:val="single"/>
    </w:rPr>
  </w:style>
  <w:style w:type="character" w:customStyle="1" w:styleId="LetraTablaCursiva">
    <w:name w:val="Letra Tabla Cursiva"/>
    <w:qFormat/>
    <w:rsid w:val="00AA6F14"/>
    <w:rPr>
      <w:rFonts w:ascii="Times New Roman" w:hAnsi="Times New Roman"/>
      <w:i/>
      <w:sz w:val="22"/>
    </w:rPr>
  </w:style>
  <w:style w:type="character" w:customStyle="1" w:styleId="LetraTablaCursivaNegrita">
    <w:name w:val="Letra Tabla Cursiva Negrita"/>
    <w:uiPriority w:val="1"/>
    <w:qFormat/>
    <w:rsid w:val="00AA6F14"/>
    <w:rPr>
      <w:rFonts w:ascii="Times New Roman" w:hAnsi="Times New Roman"/>
      <w:b/>
      <w:i/>
      <w:sz w:val="22"/>
    </w:rPr>
  </w:style>
  <w:style w:type="character" w:customStyle="1" w:styleId="LetraTablaNegrita">
    <w:name w:val="Letra Tabla Negrita"/>
    <w:qFormat/>
    <w:rsid w:val="00AA6F14"/>
    <w:rPr>
      <w:rFonts w:ascii="Times New Roman" w:hAnsi="Times New Roman"/>
      <w:b/>
      <w:sz w:val="22"/>
    </w:rPr>
  </w:style>
  <w:style w:type="character" w:customStyle="1" w:styleId="LetraTablaNegritaSubrayada">
    <w:name w:val="Letra Tabla Negrita Subrayada"/>
    <w:uiPriority w:val="1"/>
    <w:qFormat/>
    <w:rsid w:val="00AA6F14"/>
    <w:rPr>
      <w:rFonts w:ascii="Times New Roman" w:hAnsi="Times New Roman"/>
      <w:b/>
      <w:sz w:val="22"/>
      <w:u w:val="single"/>
    </w:rPr>
  </w:style>
  <w:style w:type="character" w:customStyle="1" w:styleId="LetraTablaSubrayada">
    <w:name w:val="Letra Tabla Subrayada"/>
    <w:qFormat/>
    <w:rsid w:val="00AA6F14"/>
    <w:rPr>
      <w:rFonts w:ascii="Times New Roman" w:hAnsi="Times New Roman"/>
      <w:b w:val="0"/>
      <w:sz w:val="22"/>
      <w:u w:val="single"/>
    </w:rPr>
  </w:style>
  <w:style w:type="paragraph" w:customStyle="1" w:styleId="ListaNivel1">
    <w:name w:val="Lista Nivel 1"/>
    <w:link w:val="ListaNivel1Car"/>
    <w:qFormat/>
    <w:rsid w:val="009237C9"/>
    <w:pPr>
      <w:spacing w:before="120" w:after="120"/>
      <w:jc w:val="both"/>
    </w:pPr>
    <w:rPr>
      <w:rFonts w:ascii="Arial" w:hAnsi="Arial"/>
      <w:snapToGrid w:val="0"/>
      <w:szCs w:val="24"/>
      <w:lang w:val="es-ES_tradnl" w:eastAsia="es-ES"/>
    </w:rPr>
  </w:style>
  <w:style w:type="character" w:customStyle="1" w:styleId="ListaNivel1Car">
    <w:name w:val="Lista Nivel 1 Car"/>
    <w:link w:val="ListaNivel1"/>
    <w:rsid w:val="009237C9"/>
    <w:rPr>
      <w:rFonts w:ascii="Arial" w:hAnsi="Arial"/>
      <w:snapToGrid w:val="0"/>
      <w:szCs w:val="24"/>
      <w:lang w:val="es-ES_tradnl" w:eastAsia="es-ES"/>
    </w:rPr>
  </w:style>
  <w:style w:type="paragraph" w:customStyle="1" w:styleId="ListaNivel3">
    <w:name w:val="Lista Nivel 3"/>
    <w:link w:val="ListaNivel3Car"/>
    <w:qFormat/>
    <w:rsid w:val="00B75476"/>
    <w:pPr>
      <w:numPr>
        <w:numId w:val="3"/>
      </w:numPr>
      <w:suppressAutoHyphens/>
      <w:spacing w:before="120" w:after="120"/>
      <w:jc w:val="both"/>
    </w:pPr>
    <w:rPr>
      <w:rFonts w:ascii="Arial" w:hAnsi="Arial"/>
      <w:snapToGrid w:val="0"/>
      <w:lang w:eastAsia="es-ES"/>
    </w:rPr>
  </w:style>
  <w:style w:type="character" w:customStyle="1" w:styleId="ListaNivel3Car">
    <w:name w:val="Lista Nivel 3 Car"/>
    <w:link w:val="ListaNivel3"/>
    <w:rsid w:val="00B75476"/>
    <w:rPr>
      <w:rFonts w:ascii="Arial" w:hAnsi="Arial"/>
      <w:snapToGrid w:val="0"/>
      <w:lang w:eastAsia="es-ES"/>
    </w:rPr>
  </w:style>
  <w:style w:type="paragraph" w:customStyle="1" w:styleId="ListaVietas">
    <w:name w:val="Lista Viñetas"/>
    <w:link w:val="ListaVietasCar"/>
    <w:qFormat/>
    <w:rsid w:val="004D4893"/>
    <w:pPr>
      <w:numPr>
        <w:numId w:val="2"/>
      </w:numPr>
      <w:spacing w:before="120" w:after="120"/>
      <w:jc w:val="both"/>
    </w:pPr>
    <w:rPr>
      <w:rFonts w:ascii="Arial" w:hAnsi="Arial"/>
      <w:snapToGrid w:val="0"/>
      <w:lang w:eastAsia="en-US"/>
    </w:rPr>
  </w:style>
  <w:style w:type="character" w:customStyle="1" w:styleId="ListaVietasCar">
    <w:name w:val="Lista Viñetas Car"/>
    <w:link w:val="ListaVietas"/>
    <w:rsid w:val="004D4893"/>
    <w:rPr>
      <w:rFonts w:ascii="Arial" w:hAnsi="Arial"/>
      <w:snapToGrid w:val="0"/>
      <w:lang w:eastAsia="en-US"/>
    </w:rPr>
  </w:style>
  <w:style w:type="paragraph" w:customStyle="1" w:styleId="PrrafoListaNivel1">
    <w:name w:val="Párrafo Lista Nivel 1"/>
    <w:basedOn w:val="Normal"/>
    <w:qFormat/>
    <w:rsid w:val="006C2CA4"/>
    <w:pPr>
      <w:ind w:left="397" w:hanging="57"/>
    </w:pPr>
  </w:style>
  <w:style w:type="paragraph" w:customStyle="1" w:styleId="PrrafoListaNivel2">
    <w:name w:val="Párrafo Lista Nivel 2"/>
    <w:basedOn w:val="Normal"/>
    <w:qFormat/>
    <w:rsid w:val="006C2CA4"/>
    <w:pPr>
      <w:ind w:left="737"/>
    </w:pPr>
    <w:rPr>
      <w:lang w:val="es-ES"/>
    </w:rPr>
  </w:style>
  <w:style w:type="paragraph" w:customStyle="1" w:styleId="PrrafoListaNivel3">
    <w:name w:val="Párrafo Lista Nivel 3"/>
    <w:basedOn w:val="Normal"/>
    <w:qFormat/>
    <w:rsid w:val="00086FA3"/>
    <w:pPr>
      <w:ind w:left="2665" w:hanging="1588"/>
    </w:pPr>
    <w:rPr>
      <w:lang w:val="es-ES"/>
    </w:rPr>
  </w:style>
  <w:style w:type="paragraph" w:customStyle="1" w:styleId="PrrafoListaVietas">
    <w:name w:val="Párrafo Lista Viñetas"/>
    <w:basedOn w:val="Normal"/>
    <w:qFormat/>
    <w:rsid w:val="006C2CA4"/>
    <w:pPr>
      <w:ind w:left="454"/>
    </w:pPr>
    <w:rPr>
      <w:lang w:val="es-ES"/>
    </w:rPr>
  </w:style>
  <w:style w:type="paragraph" w:styleId="Textodeglobo">
    <w:name w:val="Balloon Text"/>
    <w:basedOn w:val="Normal"/>
    <w:link w:val="TextodegloboCar"/>
    <w:semiHidden/>
    <w:unhideWhenUsed/>
    <w:locked/>
    <w:rsid w:val="00A15B6C"/>
    <w:pPr>
      <w:spacing w:before="0" w:after="0" w:line="240" w:lineRule="auto"/>
    </w:pPr>
    <w:rPr>
      <w:rFonts w:ascii="Tahoma" w:hAnsi="Tahoma"/>
      <w:sz w:val="16"/>
      <w:szCs w:val="16"/>
      <w:lang w:val="x-none"/>
    </w:rPr>
  </w:style>
  <w:style w:type="character" w:customStyle="1" w:styleId="TextodegloboCar">
    <w:name w:val="Texto de globo Car"/>
    <w:link w:val="Textodeglobo"/>
    <w:semiHidden/>
    <w:rsid w:val="00A15B6C"/>
    <w:rPr>
      <w:rFonts w:ascii="Tahoma" w:hAnsi="Tahoma" w:cs="Tahoma"/>
      <w:sz w:val="16"/>
      <w:szCs w:val="16"/>
      <w:lang w:eastAsia="en-US"/>
    </w:rPr>
  </w:style>
  <w:style w:type="paragraph" w:customStyle="1" w:styleId="NormalCentrado">
    <w:name w:val="Normal Centrado"/>
    <w:basedOn w:val="Normal"/>
    <w:next w:val="Normal"/>
    <w:qFormat/>
    <w:rsid w:val="000109F0"/>
    <w:pPr>
      <w:spacing w:line="240" w:lineRule="auto"/>
      <w:jc w:val="center"/>
    </w:pPr>
  </w:style>
  <w:style w:type="paragraph" w:styleId="Piedepgina">
    <w:name w:val="footer"/>
    <w:link w:val="PiedepginaCar"/>
    <w:uiPriority w:val="99"/>
    <w:rsid w:val="00D60549"/>
    <w:pPr>
      <w:tabs>
        <w:tab w:val="center" w:pos="4419"/>
        <w:tab w:val="right" w:pos="8838"/>
      </w:tabs>
      <w:jc w:val="center"/>
    </w:pPr>
    <w:rPr>
      <w:rFonts w:ascii="Arial" w:hAnsi="Arial"/>
      <w:szCs w:val="24"/>
      <w:lang w:eastAsia="en-US"/>
    </w:rPr>
  </w:style>
  <w:style w:type="character" w:customStyle="1" w:styleId="PiedepginaCar">
    <w:name w:val="Pie de página Car"/>
    <w:link w:val="Piedepgina"/>
    <w:uiPriority w:val="99"/>
    <w:rsid w:val="00D60549"/>
    <w:rPr>
      <w:rFonts w:ascii="Arial" w:hAnsi="Arial"/>
      <w:szCs w:val="24"/>
      <w:lang w:eastAsia="en-US" w:bidi="ar-SA"/>
    </w:rPr>
  </w:style>
  <w:style w:type="paragraph" w:customStyle="1" w:styleId="PortadaCdigo">
    <w:name w:val="Portada Código"/>
    <w:qFormat/>
    <w:rsid w:val="007C6013"/>
    <w:rPr>
      <w:rFonts w:ascii="Arial" w:hAnsi="Arial"/>
      <w:b/>
      <w:sz w:val="73"/>
      <w:szCs w:val="73"/>
      <w:lang w:eastAsia="en-US"/>
    </w:rPr>
  </w:style>
  <w:style w:type="paragraph" w:customStyle="1" w:styleId="PortadaConfidencialidad">
    <w:name w:val="Portada Confidencialidad"/>
    <w:rsid w:val="007C6013"/>
    <w:pPr>
      <w:jc w:val="center"/>
    </w:pPr>
    <w:rPr>
      <w:rFonts w:ascii="Arial" w:hAnsi="Arial"/>
      <w:b/>
      <w:sz w:val="48"/>
      <w:szCs w:val="48"/>
      <w:lang w:eastAsia="en-US"/>
    </w:rPr>
  </w:style>
  <w:style w:type="paragraph" w:customStyle="1" w:styleId="PortadaNombreServicio">
    <w:name w:val="Portada Nombre Servicio"/>
    <w:rsid w:val="007C6013"/>
    <w:pPr>
      <w:keepNext/>
      <w:keepLines/>
      <w:suppressAutoHyphens/>
      <w:spacing w:after="240"/>
      <w:jc w:val="center"/>
    </w:pPr>
    <w:rPr>
      <w:rFonts w:ascii="Arial" w:hAnsi="Arial"/>
      <w:b/>
      <w:caps/>
      <w:spacing w:val="80"/>
      <w:sz w:val="40"/>
      <w:szCs w:val="40"/>
      <w:lang w:eastAsia="en-US"/>
    </w:rPr>
  </w:style>
  <w:style w:type="paragraph" w:customStyle="1" w:styleId="PortadaSerieNormas">
    <w:name w:val="Portada Serie Normas"/>
    <w:rsid w:val="007C6013"/>
    <w:pPr>
      <w:keepNext/>
      <w:keepLines/>
      <w:suppressAutoHyphens/>
      <w:spacing w:after="240"/>
      <w:jc w:val="center"/>
    </w:pPr>
    <w:rPr>
      <w:rFonts w:ascii="Arial" w:hAnsi="Arial"/>
      <w:b/>
      <w:caps/>
      <w:color w:val="1C4598"/>
      <w:spacing w:val="24"/>
      <w:sz w:val="32"/>
      <w:szCs w:val="32"/>
      <w:lang w:eastAsia="en-US"/>
    </w:rPr>
  </w:style>
  <w:style w:type="paragraph" w:customStyle="1" w:styleId="PortadaTipoLibro">
    <w:name w:val="Portada Tipo Libro"/>
    <w:rsid w:val="007C6013"/>
    <w:pPr>
      <w:spacing w:after="240"/>
      <w:jc w:val="center"/>
    </w:pPr>
    <w:rPr>
      <w:rFonts w:ascii="Arial" w:hAnsi="Arial"/>
      <w:b/>
      <w:caps/>
      <w:color w:val="1C4598"/>
      <w:spacing w:val="130"/>
      <w:sz w:val="32"/>
      <w:szCs w:val="32"/>
      <w:lang w:eastAsia="en-US"/>
    </w:rPr>
  </w:style>
  <w:style w:type="character" w:styleId="Refdenotaalpie">
    <w:name w:val="footnote reference"/>
    <w:rsid w:val="007C6013"/>
    <w:rPr>
      <w:rFonts w:ascii="Arial Black" w:hAnsi="Arial Black"/>
      <w:b/>
      <w:sz w:val="24"/>
      <w:vertAlign w:val="superscript"/>
    </w:rPr>
  </w:style>
  <w:style w:type="table" w:styleId="Sombreadoclaro">
    <w:name w:val="Light Shading"/>
    <w:basedOn w:val="Tablanormal"/>
    <w:uiPriority w:val="60"/>
    <w:locked/>
    <w:rsid w:val="008867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concuadrcula">
    <w:name w:val="Table Grid"/>
    <w:basedOn w:val="Tablanormal"/>
    <w:qFormat/>
    <w:rsid w:val="000509FC"/>
    <w:rPr>
      <w:rFonts w:ascii="Times New Roman" w:hAnsi="Times New Roman"/>
      <w:position w:val="-20"/>
    </w:rPr>
    <w:tblPr>
      <w:tblBorders>
        <w:top w:val="single" w:sz="4" w:space="0" w:color="4082E2"/>
        <w:left w:val="single" w:sz="4" w:space="0" w:color="4082E2"/>
        <w:bottom w:val="single" w:sz="4" w:space="0" w:color="4082E2"/>
        <w:right w:val="single" w:sz="4" w:space="0" w:color="4082E2"/>
        <w:insideH w:val="single" w:sz="6" w:space="0" w:color="4082E2"/>
        <w:insideV w:val="single" w:sz="6" w:space="0" w:color="4082E2"/>
      </w:tblBorders>
      <w:tblCellMar>
        <w:left w:w="0" w:type="dxa"/>
        <w:right w:w="0" w:type="dxa"/>
      </w:tblCellMar>
    </w:tblPr>
    <w:trPr>
      <w:cantSplit/>
    </w:trPr>
    <w:tcPr>
      <w:vAlign w:val="center"/>
    </w:tcPr>
    <w:tblStylePr w:type="firstRow">
      <w:pPr>
        <w:jc w:val="center"/>
      </w:pPr>
      <w:rPr>
        <w:rFonts w:ascii="Times New Roman" w:hAnsi="Times New Roman"/>
        <w:sz w:val="20"/>
      </w:rPr>
      <w:tblPr/>
      <w:tcPr>
        <w:vAlign w:val="center"/>
      </w:tcPr>
    </w:tblStylePr>
    <w:tblStylePr w:type="lastRow">
      <w:tblPr/>
      <w:tcPr>
        <w:tcBorders>
          <w:top w:val="single" w:sz="6" w:space="0" w:color="008000"/>
          <w:tl2br w:val="none" w:sz="0" w:space="0" w:color="auto"/>
          <w:tr2bl w:val="none" w:sz="0" w:space="0" w:color="auto"/>
        </w:tcBorders>
      </w:tcPr>
    </w:tblStylePr>
  </w:style>
  <w:style w:type="paragraph" w:styleId="TDC1">
    <w:name w:val="toc 1"/>
    <w:uiPriority w:val="39"/>
    <w:rsid w:val="00C8411B"/>
    <w:pPr>
      <w:tabs>
        <w:tab w:val="left" w:pos="284"/>
        <w:tab w:val="right" w:leader="dot" w:pos="8505"/>
      </w:tabs>
      <w:spacing w:before="40" w:after="40"/>
      <w:ind w:left="284" w:right="635" w:hanging="284"/>
      <w:jc w:val="both"/>
    </w:pPr>
    <w:rPr>
      <w:rFonts w:ascii="Times New Roman" w:hAnsi="Times New Roman"/>
      <w:b/>
      <w:snapToGrid w:val="0"/>
      <w:lang w:val="es-ES_tradnl" w:eastAsia="es-ES"/>
    </w:rPr>
  </w:style>
  <w:style w:type="paragraph" w:styleId="TDC2">
    <w:name w:val="toc 2"/>
    <w:uiPriority w:val="39"/>
    <w:rsid w:val="00F5354F"/>
    <w:pPr>
      <w:tabs>
        <w:tab w:val="left" w:pos="567"/>
        <w:tab w:val="right" w:leader="dot" w:pos="8505"/>
      </w:tabs>
      <w:spacing w:before="40" w:after="40"/>
      <w:ind w:left="397" w:right="567" w:hanging="397"/>
      <w:jc w:val="both"/>
    </w:pPr>
    <w:rPr>
      <w:rFonts w:ascii="Times New Roman" w:hAnsi="Times New Roman"/>
      <w:noProof/>
      <w:snapToGrid w:val="0"/>
      <w:lang w:val="es-ES_tradnl" w:eastAsia="es-ES"/>
    </w:rPr>
  </w:style>
  <w:style w:type="paragraph" w:styleId="TDC3">
    <w:name w:val="toc 3"/>
    <w:uiPriority w:val="39"/>
    <w:rsid w:val="00C8411B"/>
    <w:pPr>
      <w:tabs>
        <w:tab w:val="left" w:pos="635"/>
        <w:tab w:val="right" w:leader="dot" w:pos="8505"/>
      </w:tabs>
      <w:spacing w:before="60" w:after="100"/>
      <w:ind w:left="680" w:right="635" w:hanging="680"/>
      <w:jc w:val="both"/>
    </w:pPr>
    <w:rPr>
      <w:rFonts w:ascii="Times New Roman" w:hAnsi="Times New Roman"/>
      <w:noProof/>
      <w:snapToGrid w:val="0"/>
      <w:color w:val="262626"/>
      <w:sz w:val="18"/>
      <w:lang w:val="es-ES_tradnl" w:eastAsia="es-ES"/>
    </w:rPr>
  </w:style>
  <w:style w:type="paragraph" w:styleId="TDC4">
    <w:name w:val="toc 4"/>
    <w:uiPriority w:val="39"/>
    <w:rsid w:val="0009179F"/>
    <w:pPr>
      <w:tabs>
        <w:tab w:val="left" w:leader="dot" w:pos="635"/>
        <w:tab w:val="right" w:leader="dot" w:pos="8505"/>
      </w:tabs>
      <w:spacing w:before="40" w:after="40"/>
      <w:ind w:left="737" w:right="680" w:hanging="737"/>
      <w:jc w:val="both"/>
    </w:pPr>
    <w:rPr>
      <w:rFonts w:ascii="Times New Roman" w:hAnsi="Times New Roman"/>
      <w:i/>
      <w:color w:val="404040"/>
      <w:sz w:val="18"/>
      <w:szCs w:val="18"/>
      <w:lang w:eastAsia="en-US"/>
    </w:rPr>
  </w:style>
  <w:style w:type="paragraph" w:customStyle="1" w:styleId="TextoInicial">
    <w:name w:val="Texto Inicial"/>
    <w:rsid w:val="00765738"/>
    <w:pPr>
      <w:spacing w:before="120" w:after="240"/>
    </w:pPr>
    <w:rPr>
      <w:rFonts w:ascii="Arial" w:hAnsi="Arial"/>
      <w:b/>
      <w:sz w:val="28"/>
      <w:szCs w:val="24"/>
      <w:lang w:eastAsia="en-US"/>
    </w:rPr>
  </w:style>
  <w:style w:type="paragraph" w:customStyle="1" w:styleId="TextoIntroductorio">
    <w:name w:val="Texto Introductorio"/>
    <w:rsid w:val="007C6013"/>
    <w:pPr>
      <w:keepNext/>
      <w:suppressAutoHyphens/>
      <w:spacing w:before="120" w:line="360" w:lineRule="auto"/>
    </w:pPr>
    <w:rPr>
      <w:rFonts w:ascii="Arial" w:hAnsi="Arial"/>
      <w:b/>
      <w:color w:val="999999"/>
      <w:lang w:eastAsia="en-US"/>
    </w:rPr>
  </w:style>
  <w:style w:type="paragraph" w:styleId="Textonotapie">
    <w:name w:val="footnote text"/>
    <w:link w:val="TextonotapieCar"/>
    <w:rsid w:val="007C6013"/>
    <w:pPr>
      <w:ind w:left="170" w:hanging="170"/>
      <w:jc w:val="both"/>
    </w:pPr>
    <w:rPr>
      <w:rFonts w:ascii="Arial" w:hAnsi="Arial"/>
      <w:i/>
      <w:sz w:val="18"/>
      <w:lang w:eastAsia="en-US"/>
    </w:rPr>
  </w:style>
  <w:style w:type="character" w:customStyle="1" w:styleId="TextonotapieCar">
    <w:name w:val="Texto nota pie Car"/>
    <w:link w:val="Textonotapie"/>
    <w:rsid w:val="007C6013"/>
    <w:rPr>
      <w:rFonts w:ascii="Arial" w:hAnsi="Arial"/>
      <w:i/>
      <w:sz w:val="18"/>
      <w:lang w:eastAsia="en-US" w:bidi="ar-SA"/>
    </w:rPr>
  </w:style>
  <w:style w:type="paragraph" w:customStyle="1" w:styleId="TextoTablaCentrado">
    <w:name w:val="Texto Tabla Centrado"/>
    <w:qFormat/>
    <w:rsid w:val="00823A4D"/>
    <w:pPr>
      <w:jc w:val="center"/>
    </w:pPr>
    <w:rPr>
      <w:rFonts w:ascii="Times New Roman" w:hAnsi="Times New Roman"/>
      <w:sz w:val="22"/>
      <w:szCs w:val="24"/>
      <w:lang w:eastAsia="en-US"/>
    </w:rPr>
  </w:style>
  <w:style w:type="paragraph" w:customStyle="1" w:styleId="TextoTablaJustificado">
    <w:name w:val="Texto Tabla Justificado"/>
    <w:qFormat/>
    <w:rsid w:val="00AA69D5"/>
    <w:pPr>
      <w:jc w:val="both"/>
    </w:pPr>
    <w:rPr>
      <w:rFonts w:ascii="Times New Roman" w:hAnsi="Times New Roman"/>
      <w:sz w:val="22"/>
      <w:szCs w:val="24"/>
      <w:lang w:eastAsia="en-US"/>
    </w:rPr>
  </w:style>
  <w:style w:type="paragraph" w:customStyle="1" w:styleId="TextoTablaDerecha">
    <w:name w:val="Texto Tabla Derecha"/>
    <w:qFormat/>
    <w:rsid w:val="00ED486B"/>
    <w:pPr>
      <w:jc w:val="right"/>
    </w:pPr>
    <w:rPr>
      <w:rFonts w:ascii="Times New Roman" w:hAnsi="Times New Roman"/>
      <w:sz w:val="22"/>
      <w:szCs w:val="24"/>
      <w:lang w:eastAsia="en-US"/>
    </w:rPr>
  </w:style>
  <w:style w:type="paragraph" w:customStyle="1" w:styleId="TextoTablaIzquierda">
    <w:name w:val="Texto Tabla Izquierda"/>
    <w:qFormat/>
    <w:rsid w:val="00681644"/>
    <w:rPr>
      <w:rFonts w:ascii="Times New Roman" w:hAnsi="Times New Roman"/>
      <w:sz w:val="22"/>
      <w:szCs w:val="24"/>
      <w:lang w:eastAsia="en-US"/>
    </w:rPr>
  </w:style>
  <w:style w:type="character" w:styleId="Ttulodellibro">
    <w:name w:val="Book Title"/>
    <w:uiPriority w:val="33"/>
    <w:qFormat/>
    <w:locked/>
    <w:rsid w:val="00BE23F2"/>
    <w:rPr>
      <w:b/>
      <w:bCs/>
      <w:smallCaps/>
      <w:spacing w:val="5"/>
    </w:rPr>
  </w:style>
  <w:style w:type="paragraph" w:customStyle="1" w:styleId="TtuloTablaContenido">
    <w:name w:val="Título Tabla Contenido"/>
    <w:rsid w:val="007C6013"/>
    <w:pPr>
      <w:spacing w:after="360"/>
      <w:jc w:val="center"/>
    </w:pPr>
    <w:rPr>
      <w:rFonts w:ascii="Times New Roman" w:hAnsi="Times New Roman"/>
      <w:b/>
      <w:sz w:val="36"/>
      <w:szCs w:val="24"/>
      <w:lang w:eastAsia="en-US"/>
    </w:rPr>
  </w:style>
  <w:style w:type="paragraph" w:styleId="Revisin">
    <w:name w:val="Revision"/>
    <w:hidden/>
    <w:uiPriority w:val="99"/>
    <w:semiHidden/>
    <w:rsid w:val="007C6013"/>
    <w:rPr>
      <w:rFonts w:ascii="Arial" w:hAnsi="Arial" w:cs="Arial"/>
      <w:lang w:eastAsia="en-US"/>
    </w:rPr>
  </w:style>
  <w:style w:type="paragraph" w:customStyle="1" w:styleId="Cuadros">
    <w:name w:val="Cuadros"/>
    <w:next w:val="Normal"/>
    <w:uiPriority w:val="99"/>
    <w:qFormat/>
    <w:rsid w:val="005A7D0B"/>
    <w:pPr>
      <w:spacing w:before="240" w:after="240"/>
      <w:jc w:val="center"/>
    </w:pPr>
    <w:rPr>
      <w:rFonts w:ascii="Arial" w:hAnsi="Arial" w:cs="Arial"/>
      <w:szCs w:val="24"/>
      <w:lang w:val="es-ES_tradnl" w:eastAsia="es-ES"/>
    </w:rPr>
  </w:style>
  <w:style w:type="paragraph" w:styleId="TDC5">
    <w:name w:val="toc 5"/>
    <w:basedOn w:val="Normal"/>
    <w:next w:val="Normal"/>
    <w:uiPriority w:val="39"/>
    <w:unhideWhenUsed/>
    <w:locked/>
    <w:rsid w:val="007C6013"/>
    <w:pPr>
      <w:spacing w:after="100"/>
      <w:ind w:left="880"/>
    </w:pPr>
    <w:rPr>
      <w:rFonts w:ascii="Calibri" w:hAnsi="Calibri"/>
      <w:sz w:val="22"/>
      <w:szCs w:val="22"/>
      <w:lang w:eastAsia="es-CR"/>
    </w:rPr>
  </w:style>
  <w:style w:type="paragraph" w:styleId="TDC6">
    <w:name w:val="toc 6"/>
    <w:basedOn w:val="Normal"/>
    <w:next w:val="Normal"/>
    <w:uiPriority w:val="39"/>
    <w:unhideWhenUsed/>
    <w:locked/>
    <w:rsid w:val="007C6013"/>
    <w:pPr>
      <w:spacing w:after="100"/>
      <w:ind w:left="1100"/>
    </w:pPr>
    <w:rPr>
      <w:rFonts w:ascii="Calibri" w:hAnsi="Calibri"/>
      <w:sz w:val="22"/>
      <w:szCs w:val="22"/>
      <w:lang w:eastAsia="es-CR"/>
    </w:rPr>
  </w:style>
  <w:style w:type="paragraph" w:styleId="TDC7">
    <w:name w:val="toc 7"/>
    <w:basedOn w:val="Normal"/>
    <w:next w:val="Normal"/>
    <w:uiPriority w:val="39"/>
    <w:unhideWhenUsed/>
    <w:locked/>
    <w:rsid w:val="007C6013"/>
    <w:pPr>
      <w:spacing w:after="100"/>
      <w:ind w:left="1320"/>
    </w:pPr>
    <w:rPr>
      <w:rFonts w:ascii="Calibri" w:hAnsi="Calibri"/>
      <w:sz w:val="22"/>
      <w:szCs w:val="22"/>
      <w:lang w:eastAsia="es-CR"/>
    </w:rPr>
  </w:style>
  <w:style w:type="paragraph" w:styleId="TDC8">
    <w:name w:val="toc 8"/>
    <w:basedOn w:val="Normal"/>
    <w:next w:val="Normal"/>
    <w:uiPriority w:val="39"/>
    <w:unhideWhenUsed/>
    <w:locked/>
    <w:rsid w:val="007C6013"/>
    <w:pPr>
      <w:spacing w:after="100"/>
      <w:ind w:left="1540"/>
    </w:pPr>
    <w:rPr>
      <w:rFonts w:ascii="Calibri" w:hAnsi="Calibri"/>
      <w:sz w:val="22"/>
      <w:szCs w:val="22"/>
      <w:lang w:eastAsia="es-CR"/>
    </w:rPr>
  </w:style>
  <w:style w:type="paragraph" w:styleId="TDC9">
    <w:name w:val="toc 9"/>
    <w:basedOn w:val="Normal"/>
    <w:next w:val="Normal"/>
    <w:uiPriority w:val="39"/>
    <w:unhideWhenUsed/>
    <w:locked/>
    <w:rsid w:val="007C6013"/>
    <w:pPr>
      <w:spacing w:after="100"/>
      <w:ind w:left="1760"/>
    </w:pPr>
    <w:rPr>
      <w:rFonts w:ascii="Calibri" w:hAnsi="Calibri"/>
      <w:sz w:val="22"/>
      <w:szCs w:val="22"/>
      <w:lang w:eastAsia="es-CR"/>
    </w:rPr>
  </w:style>
  <w:style w:type="character" w:styleId="Hipervnculovisitado">
    <w:name w:val="FollowedHyperlink"/>
    <w:locked/>
    <w:rsid w:val="007C6013"/>
    <w:rPr>
      <w:rFonts w:ascii="Arial" w:hAnsi="Arial"/>
      <w:color w:val="800080"/>
      <w:sz w:val="20"/>
      <w:u w:val="single"/>
    </w:rPr>
  </w:style>
  <w:style w:type="table" w:styleId="Sombreadoclaro-nfasis1">
    <w:name w:val="Light Shading Accent 1"/>
    <w:basedOn w:val="Tablanormal"/>
    <w:uiPriority w:val="60"/>
    <w:locked/>
    <w:rsid w:val="00D0352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media2-nfasis1">
    <w:name w:val="Medium List 2 Accent 1"/>
    <w:basedOn w:val="Tablanormal"/>
    <w:uiPriority w:val="66"/>
    <w:locked/>
    <w:rsid w:val="0063267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tuloTabla">
    <w:name w:val="Título Tabla"/>
    <w:qFormat/>
    <w:rsid w:val="002E310F"/>
    <w:pPr>
      <w:spacing w:before="120" w:after="120"/>
      <w:jc w:val="center"/>
    </w:pPr>
    <w:rPr>
      <w:rFonts w:ascii="Times New Roman" w:hAnsi="Times New Roman"/>
      <w:b/>
      <w:color w:val="1F497D"/>
      <w:sz w:val="24"/>
      <w:szCs w:val="24"/>
      <w:lang w:eastAsia="en-US"/>
    </w:rPr>
  </w:style>
  <w:style w:type="table" w:styleId="Tablabsica1">
    <w:name w:val="Table Simple 1"/>
    <w:basedOn w:val="Tablanormal"/>
    <w:uiPriority w:val="99"/>
    <w:unhideWhenUsed/>
    <w:locked/>
    <w:rsid w:val="00B407DF"/>
    <w:pPr>
      <w:spacing w:before="160" w:after="1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blHeader/>
    </w:trPr>
    <w:tcPr>
      <w:shd w:val="clear" w:color="auto" w:fill="auto"/>
      <w:vAlign w:val="center"/>
    </w:tcPr>
    <w:tblStylePr w:type="firstRow">
      <w:pPr>
        <w:jc w:val="left"/>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notaalfinal">
    <w:name w:val="endnote text"/>
    <w:basedOn w:val="Normal"/>
    <w:link w:val="TextonotaalfinalCar"/>
    <w:uiPriority w:val="99"/>
    <w:semiHidden/>
    <w:unhideWhenUsed/>
    <w:locked/>
    <w:rsid w:val="00DF585B"/>
    <w:rPr>
      <w:szCs w:val="20"/>
      <w:lang w:val="x-none"/>
    </w:rPr>
  </w:style>
  <w:style w:type="character" w:customStyle="1" w:styleId="TextonotaalfinalCar">
    <w:name w:val="Texto nota al final Car"/>
    <w:link w:val="Textonotaalfinal"/>
    <w:uiPriority w:val="99"/>
    <w:semiHidden/>
    <w:rsid w:val="00DF585B"/>
    <w:rPr>
      <w:rFonts w:ascii="Arial" w:hAnsi="Arial"/>
      <w:lang w:eastAsia="en-US"/>
    </w:rPr>
  </w:style>
  <w:style w:type="character" w:styleId="Refdenotaalfinal">
    <w:name w:val="endnote reference"/>
    <w:uiPriority w:val="99"/>
    <w:semiHidden/>
    <w:unhideWhenUsed/>
    <w:locked/>
    <w:rsid w:val="00DF585B"/>
    <w:rPr>
      <w:vertAlign w:val="superscript"/>
    </w:rPr>
  </w:style>
  <w:style w:type="character" w:styleId="Refdecomentario">
    <w:name w:val="annotation reference"/>
    <w:semiHidden/>
    <w:unhideWhenUsed/>
    <w:locked/>
    <w:rsid w:val="00695AEA"/>
    <w:rPr>
      <w:sz w:val="16"/>
      <w:szCs w:val="16"/>
    </w:rPr>
  </w:style>
  <w:style w:type="paragraph" w:styleId="Textocomentario">
    <w:name w:val="annotation text"/>
    <w:basedOn w:val="Normal"/>
    <w:link w:val="TextocomentarioCar"/>
    <w:unhideWhenUsed/>
    <w:locked/>
    <w:rsid w:val="00695AEA"/>
    <w:rPr>
      <w:szCs w:val="20"/>
      <w:lang w:val="x-none"/>
    </w:rPr>
  </w:style>
  <w:style w:type="character" w:customStyle="1" w:styleId="TextocomentarioCar">
    <w:name w:val="Texto comentario Car"/>
    <w:link w:val="Textocomentario"/>
    <w:rsid w:val="00695AEA"/>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locked/>
    <w:rsid w:val="00695AEA"/>
    <w:rPr>
      <w:b/>
      <w:bCs/>
    </w:rPr>
  </w:style>
  <w:style w:type="character" w:customStyle="1" w:styleId="AsuntodelcomentarioCar">
    <w:name w:val="Asunto del comentario Car"/>
    <w:link w:val="Asuntodelcomentario"/>
    <w:uiPriority w:val="99"/>
    <w:semiHidden/>
    <w:rsid w:val="00695AEA"/>
    <w:rPr>
      <w:rFonts w:ascii="Arial" w:hAnsi="Arial"/>
      <w:b/>
      <w:bCs/>
      <w:lang w:eastAsia="en-US"/>
    </w:rPr>
  </w:style>
  <w:style w:type="paragraph" w:customStyle="1" w:styleId="PrrafoTtulos">
    <w:name w:val="Párrafo Títulos"/>
    <w:link w:val="PrrafoTtulosCar"/>
    <w:rsid w:val="00A87066"/>
    <w:pPr>
      <w:spacing w:before="160" w:after="160"/>
      <w:ind w:left="1701"/>
      <w:jc w:val="both"/>
    </w:pPr>
    <w:rPr>
      <w:rFonts w:ascii="Arial" w:hAnsi="Arial"/>
      <w:lang w:eastAsia="en-US"/>
    </w:rPr>
  </w:style>
  <w:style w:type="character" w:customStyle="1" w:styleId="PrrafoTtulosCar">
    <w:name w:val="Párrafo Títulos Car"/>
    <w:link w:val="PrrafoTtulos"/>
    <w:rsid w:val="00A87066"/>
    <w:rPr>
      <w:rFonts w:ascii="Arial" w:hAnsi="Arial"/>
      <w:lang w:eastAsia="en-US"/>
    </w:rPr>
  </w:style>
  <w:style w:type="paragraph" w:styleId="Prrafodelista">
    <w:name w:val="List Paragraph"/>
    <w:aliases w:val="figuras y gráficos,Viñetas,Bulletr List Paragraph,3,titulo 5,Informe,Con viñetas,Normal con viñetas,Use Case List Paragraph,Bullet 1,Bolita,Guión,Viñeta 2,Párrafo de lista3,BOLA,Párrafo de lista21,Titulo 8,Párrafo de lista2,HOJA,BOLADEF"/>
    <w:basedOn w:val="Normal"/>
    <w:link w:val="PrrafodelistaCar"/>
    <w:uiPriority w:val="34"/>
    <w:qFormat/>
    <w:locked/>
    <w:rsid w:val="00C449E6"/>
    <w:pPr>
      <w:spacing w:before="0" w:after="160" w:line="259" w:lineRule="auto"/>
      <w:ind w:left="720"/>
      <w:contextualSpacing/>
      <w:jc w:val="left"/>
    </w:pPr>
    <w:rPr>
      <w:rFonts w:ascii="Calibri" w:eastAsia="Calibri" w:hAnsi="Calibri"/>
      <w:sz w:val="22"/>
      <w:szCs w:val="22"/>
    </w:rPr>
  </w:style>
  <w:style w:type="paragraph" w:customStyle="1" w:styleId="Default">
    <w:name w:val="Default"/>
    <w:rsid w:val="00715AFB"/>
    <w:pPr>
      <w:autoSpaceDE w:val="0"/>
      <w:autoSpaceDN w:val="0"/>
      <w:adjustRightInd w:val="0"/>
    </w:pPr>
    <w:rPr>
      <w:rFonts w:ascii="Arial" w:hAnsi="Arial" w:cs="Arial"/>
      <w:color w:val="000000"/>
      <w:sz w:val="24"/>
      <w:szCs w:val="24"/>
      <w:lang w:val="es-ES" w:eastAsia="es-ES"/>
    </w:rPr>
  </w:style>
  <w:style w:type="paragraph" w:styleId="Textoindependiente">
    <w:name w:val="Body Text"/>
    <w:basedOn w:val="Normal"/>
    <w:link w:val="TextoindependienteCar"/>
    <w:uiPriority w:val="99"/>
    <w:unhideWhenUsed/>
    <w:locked/>
    <w:rsid w:val="00935282"/>
    <w:pPr>
      <w:spacing w:before="0" w:line="240" w:lineRule="auto"/>
      <w:jc w:val="left"/>
    </w:pPr>
    <w:rPr>
      <w:rFonts w:ascii="Calibri" w:eastAsia="Calibri" w:hAnsi="Calibri"/>
      <w:sz w:val="24"/>
      <w:lang w:val="es-ES_tradnl"/>
    </w:rPr>
  </w:style>
  <w:style w:type="character" w:customStyle="1" w:styleId="TextoindependienteCar">
    <w:name w:val="Texto independiente Car"/>
    <w:link w:val="Textoindependiente"/>
    <w:uiPriority w:val="99"/>
    <w:rsid w:val="00935282"/>
    <w:rPr>
      <w:rFonts w:eastAsia="Calibri"/>
      <w:sz w:val="24"/>
      <w:szCs w:val="24"/>
      <w:lang w:val="es-ES_tradnl" w:eastAsia="en-US"/>
    </w:rPr>
  </w:style>
  <w:style w:type="character" w:styleId="Mencinsinresolver">
    <w:name w:val="Unresolved Mention"/>
    <w:uiPriority w:val="99"/>
    <w:semiHidden/>
    <w:unhideWhenUsed/>
    <w:rsid w:val="00EF37A0"/>
    <w:rPr>
      <w:color w:val="605E5C"/>
      <w:shd w:val="clear" w:color="auto" w:fill="E1DFDD"/>
    </w:rPr>
  </w:style>
  <w:style w:type="character" w:customStyle="1" w:styleId="jlqj4b">
    <w:name w:val="jlqj4b"/>
    <w:rsid w:val="00F37A24"/>
  </w:style>
  <w:style w:type="paragraph" w:customStyle="1" w:styleId="Ttulotablacontenidootros">
    <w:name w:val="Título tabla contenido otros"/>
    <w:qFormat/>
    <w:rsid w:val="00A42AF4"/>
    <w:pPr>
      <w:spacing w:after="160" w:line="288" w:lineRule="auto"/>
    </w:pPr>
    <w:rPr>
      <w:rFonts w:ascii="Calibri Light" w:hAnsi="Calibri Light" w:cs="Times New Roman (Títulos en alf"/>
      <w:b/>
      <w:caps/>
      <w:color w:val="004E83"/>
      <w:spacing w:val="20"/>
      <w:sz w:val="32"/>
      <w:szCs w:val="32"/>
      <w:lang w:val="es-CO" w:eastAsia="en-US"/>
    </w:rPr>
  </w:style>
  <w:style w:type="paragraph" w:customStyle="1" w:styleId="TextoCentradoTabla">
    <w:name w:val="Texto Centrado Tabla"/>
    <w:basedOn w:val="TextoJustificadoTabla"/>
    <w:rsid w:val="00AF467B"/>
    <w:pPr>
      <w:jc w:val="center"/>
    </w:pPr>
  </w:style>
  <w:style w:type="paragraph" w:customStyle="1" w:styleId="TextoJustificadoTabla">
    <w:name w:val="Texto Justificado Tabla"/>
    <w:basedOn w:val="Normal"/>
    <w:link w:val="TextoJustificadoTablaChar"/>
    <w:rsid w:val="00AF467B"/>
    <w:pPr>
      <w:spacing w:before="60" w:after="60" w:line="240" w:lineRule="auto"/>
      <w:ind w:left="57" w:right="57"/>
    </w:pPr>
    <w:rPr>
      <w:snapToGrid w:val="0"/>
      <w:sz w:val="16"/>
      <w:szCs w:val="16"/>
      <w:lang w:val="es-ES_tradnl" w:eastAsia="es-ES"/>
    </w:rPr>
  </w:style>
  <w:style w:type="paragraph" w:customStyle="1" w:styleId="TextoCentradoNegritaTabla">
    <w:name w:val="Texto Centrado Negrita Tabla"/>
    <w:basedOn w:val="TextoJustificadoTabla"/>
    <w:rsid w:val="00AF467B"/>
    <w:pPr>
      <w:jc w:val="center"/>
    </w:pPr>
    <w:rPr>
      <w:b/>
    </w:rPr>
  </w:style>
  <w:style w:type="paragraph" w:customStyle="1" w:styleId="TextoJustificadoNegritaTabla">
    <w:name w:val="Texto Justificado Negrita Tabla"/>
    <w:basedOn w:val="TextoJustificadoTabla"/>
    <w:rsid w:val="00AF467B"/>
    <w:rPr>
      <w:b/>
    </w:rPr>
  </w:style>
  <w:style w:type="paragraph" w:customStyle="1" w:styleId="TextoDerechaTabla">
    <w:name w:val="Texto Derecha Tabla"/>
    <w:basedOn w:val="TextoJustificadoTabla"/>
    <w:rsid w:val="00AF467B"/>
    <w:pPr>
      <w:jc w:val="right"/>
    </w:pPr>
  </w:style>
  <w:style w:type="paragraph" w:customStyle="1" w:styleId="ContraportadaTipo">
    <w:name w:val="Contraportada Tipo"/>
    <w:rsid w:val="00AF467B"/>
    <w:pPr>
      <w:spacing w:after="240"/>
      <w:jc w:val="center"/>
    </w:pPr>
    <w:rPr>
      <w:rFonts w:ascii="Arial" w:hAnsi="Arial"/>
      <w:b/>
      <w:caps/>
      <w:spacing w:val="70"/>
      <w:sz w:val="26"/>
      <w:szCs w:val="26"/>
      <w:lang w:eastAsia="en-US"/>
    </w:rPr>
  </w:style>
  <w:style w:type="paragraph" w:customStyle="1" w:styleId="ContraportadaServicio">
    <w:name w:val="Contraportada Servicio"/>
    <w:rsid w:val="00AF467B"/>
    <w:pPr>
      <w:spacing w:after="240"/>
      <w:jc w:val="center"/>
    </w:pPr>
    <w:rPr>
      <w:rFonts w:ascii="Arial" w:hAnsi="Arial"/>
      <w:b/>
      <w:caps/>
      <w:spacing w:val="70"/>
      <w:sz w:val="28"/>
      <w:szCs w:val="28"/>
      <w:lang w:eastAsia="en-US"/>
    </w:rPr>
  </w:style>
  <w:style w:type="paragraph" w:customStyle="1" w:styleId="ContraportadaSerie">
    <w:name w:val="Contraportada Serie"/>
    <w:rsid w:val="00AF467B"/>
    <w:pPr>
      <w:spacing w:after="240"/>
      <w:jc w:val="center"/>
    </w:pPr>
    <w:rPr>
      <w:rFonts w:ascii="Arial" w:hAnsi="Arial"/>
      <w:b/>
      <w:caps/>
      <w:spacing w:val="-6"/>
      <w:sz w:val="26"/>
      <w:szCs w:val="26"/>
      <w:lang w:eastAsia="en-US"/>
    </w:rPr>
  </w:style>
  <w:style w:type="paragraph" w:customStyle="1" w:styleId="TextoJustificadoComprimidoTabla">
    <w:name w:val="Texto Justificado Comprimido Tabla"/>
    <w:basedOn w:val="TextoJustificadoTabla"/>
    <w:rsid w:val="00AF467B"/>
    <w:pPr>
      <w:ind w:left="14" w:right="14"/>
    </w:pPr>
    <w:rPr>
      <w:spacing w:val="-12"/>
    </w:rPr>
  </w:style>
  <w:style w:type="paragraph" w:customStyle="1" w:styleId="TextoCentradoComprimidoTabla">
    <w:name w:val="Texto Centrado Comprimido Tabla"/>
    <w:basedOn w:val="TextoJustificadoComprimidoTabla"/>
    <w:rsid w:val="00AF467B"/>
    <w:pPr>
      <w:jc w:val="center"/>
    </w:pPr>
  </w:style>
  <w:style w:type="paragraph" w:customStyle="1" w:styleId="TextoDerechaComprimidoTabla">
    <w:name w:val="Texto Derecha Comprimido Tabla"/>
    <w:basedOn w:val="TextoJustificadoComprimidoTabla"/>
    <w:rsid w:val="00AF467B"/>
    <w:pPr>
      <w:jc w:val="right"/>
    </w:pPr>
  </w:style>
  <w:style w:type="paragraph" w:customStyle="1" w:styleId="TextoIntroductorioDerecha">
    <w:name w:val="Texto Introductorio Derecha"/>
    <w:basedOn w:val="TextoIntroductorio"/>
    <w:rsid w:val="00AF467B"/>
    <w:pPr>
      <w:keepNext w:val="0"/>
      <w:suppressAutoHyphens w:val="0"/>
      <w:jc w:val="right"/>
    </w:pPr>
  </w:style>
  <w:style w:type="paragraph" w:customStyle="1" w:styleId="PortadaBorrador">
    <w:name w:val="Portada Borrador"/>
    <w:rsid w:val="00AF467B"/>
    <w:pPr>
      <w:jc w:val="right"/>
    </w:pPr>
    <w:rPr>
      <w:rFonts w:ascii="Arial" w:hAnsi="Arial"/>
      <w:b/>
      <w:color w:val="FFFFFF"/>
      <w:sz w:val="32"/>
      <w:szCs w:val="32"/>
      <w:lang w:eastAsia="en-US"/>
    </w:rPr>
  </w:style>
  <w:style w:type="paragraph" w:customStyle="1" w:styleId="TextoIzquierdaTabla">
    <w:name w:val="Texto Izquierda Tabla"/>
    <w:basedOn w:val="TextoJustificadoTabla"/>
    <w:rsid w:val="00AF467B"/>
    <w:pPr>
      <w:jc w:val="left"/>
    </w:pPr>
  </w:style>
  <w:style w:type="paragraph" w:customStyle="1" w:styleId="ContraportadaBorrador">
    <w:name w:val="Contraportada Borrador"/>
    <w:rsid w:val="00AF467B"/>
    <w:rPr>
      <w:rFonts w:ascii="Arial" w:hAnsi="Arial"/>
      <w:b/>
      <w:color w:val="808080"/>
      <w:sz w:val="28"/>
      <w:szCs w:val="28"/>
      <w:lang w:eastAsia="en-US"/>
    </w:rPr>
  </w:style>
  <w:style w:type="paragraph" w:customStyle="1" w:styleId="TextoIzquierdaComprimidoTabla">
    <w:name w:val="Texto Izquierda Comprimido Tabla"/>
    <w:basedOn w:val="TextoJustificadoComprimidoTabla"/>
    <w:rsid w:val="00AF467B"/>
    <w:pPr>
      <w:jc w:val="left"/>
    </w:pPr>
  </w:style>
  <w:style w:type="paragraph" w:customStyle="1" w:styleId="TextoCentradoNegritaComprimidoTabla">
    <w:name w:val="Texto Centrado Negrita Comprimido Tabla"/>
    <w:basedOn w:val="TextoJustificadoComprimidoTabla"/>
    <w:rsid w:val="00AF467B"/>
    <w:pPr>
      <w:jc w:val="center"/>
    </w:pPr>
    <w:rPr>
      <w:b/>
    </w:rPr>
  </w:style>
  <w:style w:type="character" w:styleId="Nmerodepgina">
    <w:name w:val="page number"/>
    <w:basedOn w:val="Fuentedeprrafopredeter"/>
    <w:semiHidden/>
    <w:locked/>
    <w:rsid w:val="00AF467B"/>
  </w:style>
  <w:style w:type="paragraph" w:customStyle="1" w:styleId="TextoJustificadoNegritaComprimidoTabla">
    <w:name w:val="Texto Justificado Negrita Comprimido Tabla"/>
    <w:basedOn w:val="TextoJustificadoComprimidoTabla"/>
    <w:rsid w:val="00AF467B"/>
    <w:rPr>
      <w:b/>
    </w:rPr>
  </w:style>
  <w:style w:type="paragraph" w:customStyle="1" w:styleId="PrrafoTtuloEspecial">
    <w:name w:val="Párrafo Título Especial"/>
    <w:basedOn w:val="PrrafoTtulos"/>
    <w:rsid w:val="00AF467B"/>
    <w:rPr>
      <w:sz w:val="6"/>
    </w:rPr>
  </w:style>
  <w:style w:type="paragraph" w:customStyle="1" w:styleId="PrrafoTtulosNegritaCentrada">
    <w:name w:val="Párrafo Títulos Negrita Centrada"/>
    <w:basedOn w:val="Normal"/>
    <w:next w:val="Normal"/>
    <w:rsid w:val="00AF467B"/>
    <w:pPr>
      <w:spacing w:after="160" w:line="240" w:lineRule="auto"/>
      <w:ind w:left="1701"/>
      <w:jc w:val="center"/>
    </w:pPr>
    <w:rPr>
      <w:b/>
      <w:szCs w:val="20"/>
    </w:rPr>
  </w:style>
  <w:style w:type="paragraph" w:styleId="Mapadeldocumento">
    <w:name w:val="Document Map"/>
    <w:basedOn w:val="Normal"/>
    <w:link w:val="MapadeldocumentoCar"/>
    <w:semiHidden/>
    <w:locked/>
    <w:rsid w:val="00AF467B"/>
    <w:pPr>
      <w:shd w:val="clear" w:color="auto" w:fill="000080"/>
      <w:spacing w:before="0" w:after="0" w:line="240" w:lineRule="auto"/>
      <w:jc w:val="left"/>
    </w:pPr>
    <w:rPr>
      <w:rFonts w:ascii="Tahoma" w:hAnsi="Tahoma" w:cs="Tahoma"/>
      <w:szCs w:val="20"/>
    </w:rPr>
  </w:style>
  <w:style w:type="character" w:customStyle="1" w:styleId="MapadeldocumentoCar">
    <w:name w:val="Mapa del documento Car"/>
    <w:link w:val="Mapadeldocumento"/>
    <w:semiHidden/>
    <w:rsid w:val="00AF467B"/>
    <w:rPr>
      <w:rFonts w:ascii="Tahoma" w:hAnsi="Tahoma" w:cs="Tahoma"/>
      <w:shd w:val="clear" w:color="auto" w:fill="000080"/>
      <w:lang w:eastAsia="en-US"/>
    </w:rPr>
  </w:style>
  <w:style w:type="character" w:customStyle="1" w:styleId="TextoJustificadoTablaChar">
    <w:name w:val="Texto Justificado Tabla Char"/>
    <w:link w:val="TextoJustificadoTabla"/>
    <w:rsid w:val="00AF467B"/>
    <w:rPr>
      <w:rFonts w:ascii="Arial" w:hAnsi="Arial"/>
      <w:snapToGrid w:val="0"/>
      <w:sz w:val="16"/>
      <w:szCs w:val="16"/>
      <w:lang w:val="es-ES_tradnl" w:eastAsia="es-ES"/>
    </w:rPr>
  </w:style>
  <w:style w:type="paragraph" w:styleId="Listaconnmeros2">
    <w:name w:val="List Number 2"/>
    <w:basedOn w:val="Normal"/>
    <w:uiPriority w:val="99"/>
    <w:unhideWhenUsed/>
    <w:locked/>
    <w:rsid w:val="00AF467B"/>
    <w:pPr>
      <w:numPr>
        <w:numId w:val="4"/>
      </w:numPr>
      <w:contextualSpacing/>
    </w:pPr>
  </w:style>
  <w:style w:type="paragraph" w:styleId="Descripcin">
    <w:name w:val="caption"/>
    <w:basedOn w:val="Normal"/>
    <w:next w:val="Normal"/>
    <w:uiPriority w:val="35"/>
    <w:semiHidden/>
    <w:unhideWhenUsed/>
    <w:qFormat/>
    <w:locked/>
    <w:rsid w:val="00AF467B"/>
    <w:rPr>
      <w:b/>
      <w:bCs/>
      <w:szCs w:val="20"/>
    </w:rPr>
  </w:style>
  <w:style w:type="paragraph" w:styleId="NormalWeb">
    <w:name w:val="Normal (Web)"/>
    <w:basedOn w:val="Normal"/>
    <w:uiPriority w:val="99"/>
    <w:unhideWhenUsed/>
    <w:locked/>
    <w:rsid w:val="00AC6A76"/>
    <w:pPr>
      <w:spacing w:before="100" w:beforeAutospacing="1" w:after="100" w:afterAutospacing="1" w:line="240" w:lineRule="auto"/>
      <w:jc w:val="left"/>
    </w:pPr>
    <w:rPr>
      <w:rFonts w:ascii="Times New Roman" w:hAnsi="Times New Roman"/>
      <w:sz w:val="24"/>
      <w:lang w:eastAsia="es-CR"/>
    </w:rPr>
  </w:style>
  <w:style w:type="character" w:styleId="nfasis">
    <w:name w:val="Emphasis"/>
    <w:uiPriority w:val="20"/>
    <w:qFormat/>
    <w:locked/>
    <w:rsid w:val="00AC6A76"/>
    <w:rPr>
      <w:i/>
      <w:iCs/>
    </w:rPr>
  </w:style>
  <w:style w:type="paragraph" w:styleId="Ttulo">
    <w:name w:val="Title"/>
    <w:basedOn w:val="Normal"/>
    <w:next w:val="Normal"/>
    <w:link w:val="TtuloCar"/>
    <w:qFormat/>
    <w:locked/>
    <w:rsid w:val="002A278F"/>
    <w:pPr>
      <w:spacing w:before="240" w:after="60"/>
      <w:jc w:val="center"/>
      <w:outlineLvl w:val="0"/>
    </w:pPr>
    <w:rPr>
      <w:rFonts w:ascii="Calibri Light" w:hAnsi="Calibri Light"/>
      <w:b/>
      <w:bCs/>
      <w:kern w:val="28"/>
      <w:sz w:val="32"/>
      <w:szCs w:val="32"/>
    </w:rPr>
  </w:style>
  <w:style w:type="character" w:customStyle="1" w:styleId="TtuloCar">
    <w:name w:val="Título Car"/>
    <w:basedOn w:val="Fuentedeprrafopredeter"/>
    <w:link w:val="Ttulo"/>
    <w:rsid w:val="002A278F"/>
    <w:rPr>
      <w:rFonts w:ascii="Calibri Light" w:hAnsi="Calibri Light"/>
      <w:b/>
      <w:bCs/>
      <w:kern w:val="28"/>
      <w:sz w:val="32"/>
      <w:szCs w:val="32"/>
      <w:lang w:eastAsia="en-US"/>
    </w:rPr>
  </w:style>
  <w:style w:type="character" w:customStyle="1" w:styleId="ui-provider">
    <w:name w:val="ui-provider"/>
    <w:basedOn w:val="Fuentedeprrafopredeter"/>
    <w:rsid w:val="00E861A0"/>
  </w:style>
  <w:style w:type="paragraph" w:styleId="Sinespaciado">
    <w:name w:val="No Spacing"/>
    <w:link w:val="SinespaciadoCar"/>
    <w:uiPriority w:val="1"/>
    <w:qFormat/>
    <w:locked/>
    <w:rsid w:val="00AC6C1B"/>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AC6C1B"/>
    <w:rPr>
      <w:rFonts w:asciiTheme="minorHAnsi" w:eastAsiaTheme="minorEastAsia" w:hAnsiTheme="minorHAnsi" w:cstheme="minorBidi"/>
      <w:sz w:val="22"/>
      <w:szCs w:val="22"/>
    </w:rPr>
  </w:style>
  <w:style w:type="character" w:customStyle="1" w:styleId="PrrafodelistaCar">
    <w:name w:val="Párrafo de lista Car"/>
    <w:aliases w:val="figuras y gráficos Car,Viñetas Car,Bulletr List Paragraph Car,3 Car,titulo 5 Car,Informe Car,Con viñetas Car,Normal con viñetas Car,Use Case List Paragraph Car,Bullet 1 Car,Bolita Car,Guión Car,Viñeta 2 Car,Párrafo de lista3 Car"/>
    <w:link w:val="Prrafodelista"/>
    <w:uiPriority w:val="34"/>
    <w:qFormat/>
    <w:locked/>
    <w:rsid w:val="007A7839"/>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04183">
      <w:bodyDiv w:val="1"/>
      <w:marLeft w:val="0"/>
      <w:marRight w:val="0"/>
      <w:marTop w:val="0"/>
      <w:marBottom w:val="0"/>
      <w:divBdr>
        <w:top w:val="none" w:sz="0" w:space="0" w:color="auto"/>
        <w:left w:val="none" w:sz="0" w:space="0" w:color="auto"/>
        <w:bottom w:val="none" w:sz="0" w:space="0" w:color="auto"/>
        <w:right w:val="none" w:sz="0" w:space="0" w:color="auto"/>
      </w:divBdr>
    </w:div>
    <w:div w:id="1000736785">
      <w:bodyDiv w:val="1"/>
      <w:marLeft w:val="0"/>
      <w:marRight w:val="0"/>
      <w:marTop w:val="0"/>
      <w:marBottom w:val="0"/>
      <w:divBdr>
        <w:top w:val="none" w:sz="0" w:space="0" w:color="auto"/>
        <w:left w:val="none" w:sz="0" w:space="0" w:color="auto"/>
        <w:bottom w:val="none" w:sz="0" w:space="0" w:color="auto"/>
        <w:right w:val="none" w:sz="0" w:space="0" w:color="auto"/>
      </w:divBdr>
    </w:div>
    <w:div w:id="1181821887">
      <w:bodyDiv w:val="1"/>
      <w:marLeft w:val="0"/>
      <w:marRight w:val="0"/>
      <w:marTop w:val="0"/>
      <w:marBottom w:val="0"/>
      <w:divBdr>
        <w:top w:val="none" w:sz="0" w:space="0" w:color="auto"/>
        <w:left w:val="none" w:sz="0" w:space="0" w:color="auto"/>
        <w:bottom w:val="none" w:sz="0" w:space="0" w:color="auto"/>
        <w:right w:val="none" w:sz="0" w:space="0" w:color="auto"/>
      </w:divBdr>
    </w:div>
    <w:div w:id="151233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nam12.safelinks.protection.outlook.com/?url=https%3A%2F%2Fwww.centraldirecto.fi.cr%2F&amp;data=05%7C02%7CJIMENEZQJ%40bccr.fi.cr%7C50a0895d5a77406eb96908dce179d450%7C618d0a4525a646189f808f70a435ee52%7C0%7C0%7C638633160568005372%7CUnknown%7CTWFpbGZsb3d8eyJWIjoiMC4wLjAwMDAiLCJQIjoiV2luMzIiLCJBTiI6Ik1haWwiLCJXVCI6Mn0%3D%7C0%7C%7C%7C&amp;sdata=HpzGmehxzSAorFtM%2FRCDXUXi0ZXGrNKNEDm%2Bv0hnTHk%3D&amp;reserved=0" TargetMode="External"/><Relationship Id="rId26" Type="http://schemas.openxmlformats.org/officeDocument/2006/relationships/image" Target="media/image7.emf"/><Relationship Id="rId39" Type="http://schemas.openxmlformats.org/officeDocument/2006/relationships/footer" Target="footer4.xml"/><Relationship Id="rId21" Type="http://schemas.openxmlformats.org/officeDocument/2006/relationships/hyperlink" Target="https://atencionalcliente.bccr.fi.cr/Sitio/" TargetMode="External"/><Relationship Id="rId34" Type="http://schemas.openxmlformats.org/officeDocument/2006/relationships/image" Target="media/image11.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INPE-TP-Notificaciones@bccr.fi.cr"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3.docx"/><Relationship Id="rId40" Type="http://schemas.openxmlformats.org/officeDocument/2006/relationships/footer" Target="footer5.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Word_Document.docx"/><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footer" Target="footer2.xml"/><Relationship Id="rId19" Type="http://schemas.openxmlformats.org/officeDocument/2006/relationships/hyperlink" Target="https://atencionalcliente.bccr.fi.cr/Sitio/" TargetMode="External"/><Relationship Id="rId31" Type="http://schemas.openxmlformats.org/officeDocument/2006/relationships/package" Target="embeddings/Microsoft_Word_Document1.docx"/><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oleObject" Target="embeddings/oleObject2.bin"/><Relationship Id="rId30" Type="http://schemas.openxmlformats.org/officeDocument/2006/relationships/image" Target="media/image9.emf"/><Relationship Id="rId35" Type="http://schemas.openxmlformats.org/officeDocument/2006/relationships/package" Target="embeddings/Microsoft_Word_Document2.docx"/><Relationship Id="rId43"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SINPE-TP-Notificaciones@bccr.fi.cr" TargetMode="External"/><Relationship Id="rId25" Type="http://schemas.openxmlformats.org/officeDocument/2006/relationships/oleObject" Target="embeddings/oleObject1.bin"/><Relationship Id="rId33" Type="http://schemas.openxmlformats.org/officeDocument/2006/relationships/package" Target="embeddings/Microsoft_Excel_Worksheet.xlsx"/><Relationship Id="rId38" Type="http://schemas.openxmlformats.org/officeDocument/2006/relationships/header" Target="header3.xml"/><Relationship Id="rId20" Type="http://schemas.openxmlformats.org/officeDocument/2006/relationships/hyperlink" Target="mailto:atencionalciudadano@bccr.fi.cr" TargetMode="External"/><Relationship Id="rId4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os%20Usuarios\VARGASRL\Desktop\Norma%20complementaria%20-Padron%20de%20cuentas%20%20PLANTILL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D782232EDBD39B42885D0C08AF08B5D6" ma:contentTypeVersion="1" ma:contentTypeDescription="Crear nuevo documento." ma:contentTypeScope="" ma:versionID="8736a4ed21a1b7033beb5a6be3824012">
  <xsd:schema xmlns:xsd="http://www.w3.org/2001/XMLSchema" xmlns:xs="http://www.w3.org/2001/XMLSchema" xmlns:p="http://schemas.microsoft.com/office/2006/metadata/properties" xmlns:ns2="8a0a4788-06ca-437b-bfc6-ffe2f4a28eed" targetNamespace="http://schemas.microsoft.com/office/2006/metadata/properties" ma:root="true" ma:fieldsID="c1e32adbda26099a4e9e31c4bc449d94" ns2:_="">
    <xsd:import namespace="8a0a4788-06ca-437b-bfc6-ffe2f4a28e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a4788-06ca-437b-bfc6-ffe2f4a28ee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080C58-D59F-4444-8F45-18CCEC796EBE}">
  <ds:schemaRefs>
    <ds:schemaRef ds:uri="http://schemas.openxmlformats.org/officeDocument/2006/bibliography"/>
  </ds:schemaRefs>
</ds:datastoreItem>
</file>

<file path=customXml/itemProps2.xml><?xml version="1.0" encoding="utf-8"?>
<ds:datastoreItem xmlns:ds="http://schemas.openxmlformats.org/officeDocument/2006/customXml" ds:itemID="{1E5A8080-83AF-467E-9B4B-366430AA7AA8}"/>
</file>

<file path=customXml/itemProps3.xml><?xml version="1.0" encoding="utf-8"?>
<ds:datastoreItem xmlns:ds="http://schemas.openxmlformats.org/officeDocument/2006/customXml" ds:itemID="{EF25415F-67D3-44ED-89D8-1A73D1B69187}"/>
</file>

<file path=customXml/itemProps4.xml><?xml version="1.0" encoding="utf-8"?>
<ds:datastoreItem xmlns:ds="http://schemas.openxmlformats.org/officeDocument/2006/customXml" ds:itemID="{7BB04241-A15D-4248-B565-29203577F905}"/>
</file>

<file path=docProps/app.xml><?xml version="1.0" encoding="utf-8"?>
<Properties xmlns="http://schemas.openxmlformats.org/officeDocument/2006/extended-properties" xmlns:vt="http://schemas.openxmlformats.org/officeDocument/2006/docPropsVTypes">
  <Template>Norma complementaria -Padron de cuentas  PLANTILLA</Template>
  <TotalTime>9</TotalTime>
  <Pages>23</Pages>
  <Words>8431</Words>
  <Characters>46060</Characters>
  <Application>Microsoft Office Word</Application>
  <DocSecurity>0</DocSecurity>
  <Lines>787</Lines>
  <Paragraphs>353</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54179</CharactersWithSpaces>
  <SharedDoc>false</SharedDoc>
  <HLinks>
    <vt:vector size="258" baseType="variant">
      <vt:variant>
        <vt:i4>4194337</vt:i4>
      </vt:variant>
      <vt:variant>
        <vt:i4>258</vt:i4>
      </vt:variant>
      <vt:variant>
        <vt:i4>0</vt:i4>
      </vt:variant>
      <vt:variant>
        <vt:i4>5</vt:i4>
      </vt:variant>
      <vt:variant>
        <vt:lpwstr>mailto:DSP-SNP-COS@bccr.fi.cr</vt:lpwstr>
      </vt:variant>
      <vt:variant>
        <vt:lpwstr/>
      </vt:variant>
      <vt:variant>
        <vt:i4>1572917</vt:i4>
      </vt:variant>
      <vt:variant>
        <vt:i4>248</vt:i4>
      </vt:variant>
      <vt:variant>
        <vt:i4>0</vt:i4>
      </vt:variant>
      <vt:variant>
        <vt:i4>5</vt:i4>
      </vt:variant>
      <vt:variant>
        <vt:lpwstr/>
      </vt:variant>
      <vt:variant>
        <vt:lpwstr>_Toc103258252</vt:lpwstr>
      </vt:variant>
      <vt:variant>
        <vt:i4>1572917</vt:i4>
      </vt:variant>
      <vt:variant>
        <vt:i4>242</vt:i4>
      </vt:variant>
      <vt:variant>
        <vt:i4>0</vt:i4>
      </vt:variant>
      <vt:variant>
        <vt:i4>5</vt:i4>
      </vt:variant>
      <vt:variant>
        <vt:lpwstr/>
      </vt:variant>
      <vt:variant>
        <vt:lpwstr>_Toc103258251</vt:lpwstr>
      </vt:variant>
      <vt:variant>
        <vt:i4>1572917</vt:i4>
      </vt:variant>
      <vt:variant>
        <vt:i4>236</vt:i4>
      </vt:variant>
      <vt:variant>
        <vt:i4>0</vt:i4>
      </vt:variant>
      <vt:variant>
        <vt:i4>5</vt:i4>
      </vt:variant>
      <vt:variant>
        <vt:lpwstr/>
      </vt:variant>
      <vt:variant>
        <vt:lpwstr>_Toc103258250</vt:lpwstr>
      </vt:variant>
      <vt:variant>
        <vt:i4>1638453</vt:i4>
      </vt:variant>
      <vt:variant>
        <vt:i4>230</vt:i4>
      </vt:variant>
      <vt:variant>
        <vt:i4>0</vt:i4>
      </vt:variant>
      <vt:variant>
        <vt:i4>5</vt:i4>
      </vt:variant>
      <vt:variant>
        <vt:lpwstr/>
      </vt:variant>
      <vt:variant>
        <vt:lpwstr>_Toc103258249</vt:lpwstr>
      </vt:variant>
      <vt:variant>
        <vt:i4>1638453</vt:i4>
      </vt:variant>
      <vt:variant>
        <vt:i4>224</vt:i4>
      </vt:variant>
      <vt:variant>
        <vt:i4>0</vt:i4>
      </vt:variant>
      <vt:variant>
        <vt:i4>5</vt:i4>
      </vt:variant>
      <vt:variant>
        <vt:lpwstr/>
      </vt:variant>
      <vt:variant>
        <vt:lpwstr>_Toc103258248</vt:lpwstr>
      </vt:variant>
      <vt:variant>
        <vt:i4>1638453</vt:i4>
      </vt:variant>
      <vt:variant>
        <vt:i4>218</vt:i4>
      </vt:variant>
      <vt:variant>
        <vt:i4>0</vt:i4>
      </vt:variant>
      <vt:variant>
        <vt:i4>5</vt:i4>
      </vt:variant>
      <vt:variant>
        <vt:lpwstr/>
      </vt:variant>
      <vt:variant>
        <vt:lpwstr>_Toc103258247</vt:lpwstr>
      </vt:variant>
      <vt:variant>
        <vt:i4>1638453</vt:i4>
      </vt:variant>
      <vt:variant>
        <vt:i4>212</vt:i4>
      </vt:variant>
      <vt:variant>
        <vt:i4>0</vt:i4>
      </vt:variant>
      <vt:variant>
        <vt:i4>5</vt:i4>
      </vt:variant>
      <vt:variant>
        <vt:lpwstr/>
      </vt:variant>
      <vt:variant>
        <vt:lpwstr>_Toc103258246</vt:lpwstr>
      </vt:variant>
      <vt:variant>
        <vt:i4>1638453</vt:i4>
      </vt:variant>
      <vt:variant>
        <vt:i4>206</vt:i4>
      </vt:variant>
      <vt:variant>
        <vt:i4>0</vt:i4>
      </vt:variant>
      <vt:variant>
        <vt:i4>5</vt:i4>
      </vt:variant>
      <vt:variant>
        <vt:lpwstr/>
      </vt:variant>
      <vt:variant>
        <vt:lpwstr>_Toc103258245</vt:lpwstr>
      </vt:variant>
      <vt:variant>
        <vt:i4>1638453</vt:i4>
      </vt:variant>
      <vt:variant>
        <vt:i4>200</vt:i4>
      </vt:variant>
      <vt:variant>
        <vt:i4>0</vt:i4>
      </vt:variant>
      <vt:variant>
        <vt:i4>5</vt:i4>
      </vt:variant>
      <vt:variant>
        <vt:lpwstr/>
      </vt:variant>
      <vt:variant>
        <vt:lpwstr>_Toc103258244</vt:lpwstr>
      </vt:variant>
      <vt:variant>
        <vt:i4>1638453</vt:i4>
      </vt:variant>
      <vt:variant>
        <vt:i4>194</vt:i4>
      </vt:variant>
      <vt:variant>
        <vt:i4>0</vt:i4>
      </vt:variant>
      <vt:variant>
        <vt:i4>5</vt:i4>
      </vt:variant>
      <vt:variant>
        <vt:lpwstr/>
      </vt:variant>
      <vt:variant>
        <vt:lpwstr>_Toc103258243</vt:lpwstr>
      </vt:variant>
      <vt:variant>
        <vt:i4>1638453</vt:i4>
      </vt:variant>
      <vt:variant>
        <vt:i4>188</vt:i4>
      </vt:variant>
      <vt:variant>
        <vt:i4>0</vt:i4>
      </vt:variant>
      <vt:variant>
        <vt:i4>5</vt:i4>
      </vt:variant>
      <vt:variant>
        <vt:lpwstr/>
      </vt:variant>
      <vt:variant>
        <vt:lpwstr>_Toc103258242</vt:lpwstr>
      </vt:variant>
      <vt:variant>
        <vt:i4>1638453</vt:i4>
      </vt:variant>
      <vt:variant>
        <vt:i4>182</vt:i4>
      </vt:variant>
      <vt:variant>
        <vt:i4>0</vt:i4>
      </vt:variant>
      <vt:variant>
        <vt:i4>5</vt:i4>
      </vt:variant>
      <vt:variant>
        <vt:lpwstr/>
      </vt:variant>
      <vt:variant>
        <vt:lpwstr>_Toc103258241</vt:lpwstr>
      </vt:variant>
      <vt:variant>
        <vt:i4>1966133</vt:i4>
      </vt:variant>
      <vt:variant>
        <vt:i4>176</vt:i4>
      </vt:variant>
      <vt:variant>
        <vt:i4>0</vt:i4>
      </vt:variant>
      <vt:variant>
        <vt:i4>5</vt:i4>
      </vt:variant>
      <vt:variant>
        <vt:lpwstr/>
      </vt:variant>
      <vt:variant>
        <vt:lpwstr>_Toc103258239</vt:lpwstr>
      </vt:variant>
      <vt:variant>
        <vt:i4>1966133</vt:i4>
      </vt:variant>
      <vt:variant>
        <vt:i4>170</vt:i4>
      </vt:variant>
      <vt:variant>
        <vt:i4>0</vt:i4>
      </vt:variant>
      <vt:variant>
        <vt:i4>5</vt:i4>
      </vt:variant>
      <vt:variant>
        <vt:lpwstr/>
      </vt:variant>
      <vt:variant>
        <vt:lpwstr>_Toc103258238</vt:lpwstr>
      </vt:variant>
      <vt:variant>
        <vt:i4>1966133</vt:i4>
      </vt:variant>
      <vt:variant>
        <vt:i4>164</vt:i4>
      </vt:variant>
      <vt:variant>
        <vt:i4>0</vt:i4>
      </vt:variant>
      <vt:variant>
        <vt:i4>5</vt:i4>
      </vt:variant>
      <vt:variant>
        <vt:lpwstr/>
      </vt:variant>
      <vt:variant>
        <vt:lpwstr>_Toc103258237</vt:lpwstr>
      </vt:variant>
      <vt:variant>
        <vt:i4>1966133</vt:i4>
      </vt:variant>
      <vt:variant>
        <vt:i4>158</vt:i4>
      </vt:variant>
      <vt:variant>
        <vt:i4>0</vt:i4>
      </vt:variant>
      <vt:variant>
        <vt:i4>5</vt:i4>
      </vt:variant>
      <vt:variant>
        <vt:lpwstr/>
      </vt:variant>
      <vt:variant>
        <vt:lpwstr>_Toc103258236</vt:lpwstr>
      </vt:variant>
      <vt:variant>
        <vt:i4>2031669</vt:i4>
      </vt:variant>
      <vt:variant>
        <vt:i4>152</vt:i4>
      </vt:variant>
      <vt:variant>
        <vt:i4>0</vt:i4>
      </vt:variant>
      <vt:variant>
        <vt:i4>5</vt:i4>
      </vt:variant>
      <vt:variant>
        <vt:lpwstr/>
      </vt:variant>
      <vt:variant>
        <vt:lpwstr>_Toc103258226</vt:lpwstr>
      </vt:variant>
      <vt:variant>
        <vt:i4>2031669</vt:i4>
      </vt:variant>
      <vt:variant>
        <vt:i4>146</vt:i4>
      </vt:variant>
      <vt:variant>
        <vt:i4>0</vt:i4>
      </vt:variant>
      <vt:variant>
        <vt:i4>5</vt:i4>
      </vt:variant>
      <vt:variant>
        <vt:lpwstr/>
      </vt:variant>
      <vt:variant>
        <vt:lpwstr>_Toc103258225</vt:lpwstr>
      </vt:variant>
      <vt:variant>
        <vt:i4>2031669</vt:i4>
      </vt:variant>
      <vt:variant>
        <vt:i4>140</vt:i4>
      </vt:variant>
      <vt:variant>
        <vt:i4>0</vt:i4>
      </vt:variant>
      <vt:variant>
        <vt:i4>5</vt:i4>
      </vt:variant>
      <vt:variant>
        <vt:lpwstr/>
      </vt:variant>
      <vt:variant>
        <vt:lpwstr>_Toc103258222</vt:lpwstr>
      </vt:variant>
      <vt:variant>
        <vt:i4>2031669</vt:i4>
      </vt:variant>
      <vt:variant>
        <vt:i4>134</vt:i4>
      </vt:variant>
      <vt:variant>
        <vt:i4>0</vt:i4>
      </vt:variant>
      <vt:variant>
        <vt:i4>5</vt:i4>
      </vt:variant>
      <vt:variant>
        <vt:lpwstr/>
      </vt:variant>
      <vt:variant>
        <vt:lpwstr>_Toc103258221</vt:lpwstr>
      </vt:variant>
      <vt:variant>
        <vt:i4>1835061</vt:i4>
      </vt:variant>
      <vt:variant>
        <vt:i4>128</vt:i4>
      </vt:variant>
      <vt:variant>
        <vt:i4>0</vt:i4>
      </vt:variant>
      <vt:variant>
        <vt:i4>5</vt:i4>
      </vt:variant>
      <vt:variant>
        <vt:lpwstr/>
      </vt:variant>
      <vt:variant>
        <vt:lpwstr>_Toc103258216</vt:lpwstr>
      </vt:variant>
      <vt:variant>
        <vt:i4>1835061</vt:i4>
      </vt:variant>
      <vt:variant>
        <vt:i4>122</vt:i4>
      </vt:variant>
      <vt:variant>
        <vt:i4>0</vt:i4>
      </vt:variant>
      <vt:variant>
        <vt:i4>5</vt:i4>
      </vt:variant>
      <vt:variant>
        <vt:lpwstr/>
      </vt:variant>
      <vt:variant>
        <vt:lpwstr>_Toc103258214</vt:lpwstr>
      </vt:variant>
      <vt:variant>
        <vt:i4>1835061</vt:i4>
      </vt:variant>
      <vt:variant>
        <vt:i4>116</vt:i4>
      </vt:variant>
      <vt:variant>
        <vt:i4>0</vt:i4>
      </vt:variant>
      <vt:variant>
        <vt:i4>5</vt:i4>
      </vt:variant>
      <vt:variant>
        <vt:lpwstr/>
      </vt:variant>
      <vt:variant>
        <vt:lpwstr>_Toc103258213</vt:lpwstr>
      </vt:variant>
      <vt:variant>
        <vt:i4>1835061</vt:i4>
      </vt:variant>
      <vt:variant>
        <vt:i4>110</vt:i4>
      </vt:variant>
      <vt:variant>
        <vt:i4>0</vt:i4>
      </vt:variant>
      <vt:variant>
        <vt:i4>5</vt:i4>
      </vt:variant>
      <vt:variant>
        <vt:lpwstr/>
      </vt:variant>
      <vt:variant>
        <vt:lpwstr>_Toc103258212</vt:lpwstr>
      </vt:variant>
      <vt:variant>
        <vt:i4>1835061</vt:i4>
      </vt:variant>
      <vt:variant>
        <vt:i4>104</vt:i4>
      </vt:variant>
      <vt:variant>
        <vt:i4>0</vt:i4>
      </vt:variant>
      <vt:variant>
        <vt:i4>5</vt:i4>
      </vt:variant>
      <vt:variant>
        <vt:lpwstr/>
      </vt:variant>
      <vt:variant>
        <vt:lpwstr>_Toc103258210</vt:lpwstr>
      </vt:variant>
      <vt:variant>
        <vt:i4>1900597</vt:i4>
      </vt:variant>
      <vt:variant>
        <vt:i4>98</vt:i4>
      </vt:variant>
      <vt:variant>
        <vt:i4>0</vt:i4>
      </vt:variant>
      <vt:variant>
        <vt:i4>5</vt:i4>
      </vt:variant>
      <vt:variant>
        <vt:lpwstr/>
      </vt:variant>
      <vt:variant>
        <vt:lpwstr>_Toc103258207</vt:lpwstr>
      </vt:variant>
      <vt:variant>
        <vt:i4>1900597</vt:i4>
      </vt:variant>
      <vt:variant>
        <vt:i4>92</vt:i4>
      </vt:variant>
      <vt:variant>
        <vt:i4>0</vt:i4>
      </vt:variant>
      <vt:variant>
        <vt:i4>5</vt:i4>
      </vt:variant>
      <vt:variant>
        <vt:lpwstr/>
      </vt:variant>
      <vt:variant>
        <vt:lpwstr>_Toc103258206</vt:lpwstr>
      </vt:variant>
      <vt:variant>
        <vt:i4>1900597</vt:i4>
      </vt:variant>
      <vt:variant>
        <vt:i4>86</vt:i4>
      </vt:variant>
      <vt:variant>
        <vt:i4>0</vt:i4>
      </vt:variant>
      <vt:variant>
        <vt:i4>5</vt:i4>
      </vt:variant>
      <vt:variant>
        <vt:lpwstr/>
      </vt:variant>
      <vt:variant>
        <vt:lpwstr>_Toc103258205</vt:lpwstr>
      </vt:variant>
      <vt:variant>
        <vt:i4>1900597</vt:i4>
      </vt:variant>
      <vt:variant>
        <vt:i4>80</vt:i4>
      </vt:variant>
      <vt:variant>
        <vt:i4>0</vt:i4>
      </vt:variant>
      <vt:variant>
        <vt:i4>5</vt:i4>
      </vt:variant>
      <vt:variant>
        <vt:lpwstr/>
      </vt:variant>
      <vt:variant>
        <vt:lpwstr>_Toc103258204</vt:lpwstr>
      </vt:variant>
      <vt:variant>
        <vt:i4>1900597</vt:i4>
      </vt:variant>
      <vt:variant>
        <vt:i4>74</vt:i4>
      </vt:variant>
      <vt:variant>
        <vt:i4>0</vt:i4>
      </vt:variant>
      <vt:variant>
        <vt:i4>5</vt:i4>
      </vt:variant>
      <vt:variant>
        <vt:lpwstr/>
      </vt:variant>
      <vt:variant>
        <vt:lpwstr>_Toc103258203</vt:lpwstr>
      </vt:variant>
      <vt:variant>
        <vt:i4>1900597</vt:i4>
      </vt:variant>
      <vt:variant>
        <vt:i4>68</vt:i4>
      </vt:variant>
      <vt:variant>
        <vt:i4>0</vt:i4>
      </vt:variant>
      <vt:variant>
        <vt:i4>5</vt:i4>
      </vt:variant>
      <vt:variant>
        <vt:lpwstr/>
      </vt:variant>
      <vt:variant>
        <vt:lpwstr>_Toc103258202</vt:lpwstr>
      </vt:variant>
      <vt:variant>
        <vt:i4>1900597</vt:i4>
      </vt:variant>
      <vt:variant>
        <vt:i4>62</vt:i4>
      </vt:variant>
      <vt:variant>
        <vt:i4>0</vt:i4>
      </vt:variant>
      <vt:variant>
        <vt:i4>5</vt:i4>
      </vt:variant>
      <vt:variant>
        <vt:lpwstr/>
      </vt:variant>
      <vt:variant>
        <vt:lpwstr>_Toc103258201</vt:lpwstr>
      </vt:variant>
      <vt:variant>
        <vt:i4>1310774</vt:i4>
      </vt:variant>
      <vt:variant>
        <vt:i4>56</vt:i4>
      </vt:variant>
      <vt:variant>
        <vt:i4>0</vt:i4>
      </vt:variant>
      <vt:variant>
        <vt:i4>5</vt:i4>
      </vt:variant>
      <vt:variant>
        <vt:lpwstr/>
      </vt:variant>
      <vt:variant>
        <vt:lpwstr>_Toc103258199</vt:lpwstr>
      </vt:variant>
      <vt:variant>
        <vt:i4>1310774</vt:i4>
      </vt:variant>
      <vt:variant>
        <vt:i4>50</vt:i4>
      </vt:variant>
      <vt:variant>
        <vt:i4>0</vt:i4>
      </vt:variant>
      <vt:variant>
        <vt:i4>5</vt:i4>
      </vt:variant>
      <vt:variant>
        <vt:lpwstr/>
      </vt:variant>
      <vt:variant>
        <vt:lpwstr>_Toc103258198</vt:lpwstr>
      </vt:variant>
      <vt:variant>
        <vt:i4>1310774</vt:i4>
      </vt:variant>
      <vt:variant>
        <vt:i4>44</vt:i4>
      </vt:variant>
      <vt:variant>
        <vt:i4>0</vt:i4>
      </vt:variant>
      <vt:variant>
        <vt:i4>5</vt:i4>
      </vt:variant>
      <vt:variant>
        <vt:lpwstr/>
      </vt:variant>
      <vt:variant>
        <vt:lpwstr>_Toc103258197</vt:lpwstr>
      </vt:variant>
      <vt:variant>
        <vt:i4>1310774</vt:i4>
      </vt:variant>
      <vt:variant>
        <vt:i4>38</vt:i4>
      </vt:variant>
      <vt:variant>
        <vt:i4>0</vt:i4>
      </vt:variant>
      <vt:variant>
        <vt:i4>5</vt:i4>
      </vt:variant>
      <vt:variant>
        <vt:lpwstr/>
      </vt:variant>
      <vt:variant>
        <vt:lpwstr>_Toc103258196</vt:lpwstr>
      </vt:variant>
      <vt:variant>
        <vt:i4>1310774</vt:i4>
      </vt:variant>
      <vt:variant>
        <vt:i4>32</vt:i4>
      </vt:variant>
      <vt:variant>
        <vt:i4>0</vt:i4>
      </vt:variant>
      <vt:variant>
        <vt:i4>5</vt:i4>
      </vt:variant>
      <vt:variant>
        <vt:lpwstr/>
      </vt:variant>
      <vt:variant>
        <vt:lpwstr>_Toc103258195</vt:lpwstr>
      </vt:variant>
      <vt:variant>
        <vt:i4>1310774</vt:i4>
      </vt:variant>
      <vt:variant>
        <vt:i4>26</vt:i4>
      </vt:variant>
      <vt:variant>
        <vt:i4>0</vt:i4>
      </vt:variant>
      <vt:variant>
        <vt:i4>5</vt:i4>
      </vt:variant>
      <vt:variant>
        <vt:lpwstr/>
      </vt:variant>
      <vt:variant>
        <vt:lpwstr>_Toc103258194</vt:lpwstr>
      </vt:variant>
      <vt:variant>
        <vt:i4>1310774</vt:i4>
      </vt:variant>
      <vt:variant>
        <vt:i4>20</vt:i4>
      </vt:variant>
      <vt:variant>
        <vt:i4>0</vt:i4>
      </vt:variant>
      <vt:variant>
        <vt:i4>5</vt:i4>
      </vt:variant>
      <vt:variant>
        <vt:lpwstr/>
      </vt:variant>
      <vt:variant>
        <vt:lpwstr>_Toc103258193</vt:lpwstr>
      </vt:variant>
      <vt:variant>
        <vt:i4>1310774</vt:i4>
      </vt:variant>
      <vt:variant>
        <vt:i4>14</vt:i4>
      </vt:variant>
      <vt:variant>
        <vt:i4>0</vt:i4>
      </vt:variant>
      <vt:variant>
        <vt:i4>5</vt:i4>
      </vt:variant>
      <vt:variant>
        <vt:lpwstr/>
      </vt:variant>
      <vt:variant>
        <vt:lpwstr>_Toc103258191</vt:lpwstr>
      </vt:variant>
      <vt:variant>
        <vt:i4>1310774</vt:i4>
      </vt:variant>
      <vt:variant>
        <vt:i4>8</vt:i4>
      </vt:variant>
      <vt:variant>
        <vt:i4>0</vt:i4>
      </vt:variant>
      <vt:variant>
        <vt:i4>5</vt:i4>
      </vt:variant>
      <vt:variant>
        <vt:lpwstr/>
      </vt:variant>
      <vt:variant>
        <vt:lpwstr>_Toc103258190</vt:lpwstr>
      </vt:variant>
      <vt:variant>
        <vt:i4>1376310</vt:i4>
      </vt:variant>
      <vt:variant>
        <vt:i4>2</vt:i4>
      </vt:variant>
      <vt:variant>
        <vt:i4>0</vt:i4>
      </vt:variant>
      <vt:variant>
        <vt:i4>5</vt:i4>
      </vt:variant>
      <vt:variant>
        <vt:lpwstr/>
      </vt:variant>
      <vt:variant>
        <vt:lpwstr>_Toc103258189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 Complementaria - SINPE TP</dc:title>
  <dc:subject/>
  <dc:creator>Julio Muñoz Zúñiga</dc:creator>
  <cp:keywords/>
  <cp:lastModifiedBy>JIMENEZ QUESADA MELVIN</cp:lastModifiedBy>
  <cp:revision>15</cp:revision>
  <cp:lastPrinted>2015-07-21T16:09:00Z</cp:lastPrinted>
  <dcterms:created xsi:type="dcterms:W3CDTF">2025-12-15T19:49:00Z</dcterms:created>
  <dcterms:modified xsi:type="dcterms:W3CDTF">2025-12-16T22:02:00Z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ítulo">
    <vt:lpwstr>Norma complementaria - Padrón de Cuentas</vt:lpwstr>
  </property>
  <property fmtid="{D5CDD505-2E9C-101B-9397-08002B2CF9AE}" pid="3" name="Categorías">
    <vt:lpwstr>[Categorías]</vt:lpwstr>
  </property>
  <property fmtid="{D5CDD505-2E9C-101B-9397-08002B2CF9AE}" pid="4" name="Código">
    <vt:lpwstr>NC-PAC</vt:lpwstr>
  </property>
  <property fmtid="{D5CDD505-2E9C-101B-9397-08002B2CF9AE}" pid="5" name="Autor">
    <vt:lpwstr>Sistemas de Pago - BCCR</vt:lpwstr>
  </property>
  <property fmtid="{D5CDD505-2E9C-101B-9397-08002B2CF9AE}" pid="6" name="Descripción">
    <vt:lpwstr>[Propósito del libro]</vt:lpwstr>
  </property>
  <property fmtid="{D5CDD505-2E9C-101B-9397-08002B2CF9AE}" pid="7" name="Tipo Libro">
    <vt:lpwstr>Norma complementaria</vt:lpwstr>
  </property>
  <property fmtid="{D5CDD505-2E9C-101B-9397-08002B2CF9AE}" pid="8" name="Nombre Servicio">
    <vt:lpwstr>Padrón de cuentas</vt:lpwstr>
  </property>
  <property fmtid="{D5CDD505-2E9C-101B-9397-08002B2CF9AE}" pid="9" name="Vigencia">
    <vt:lpwstr>[00/00/2000]</vt:lpwstr>
  </property>
  <property fmtid="{D5CDD505-2E9C-101B-9397-08002B2CF9AE}" pid="10" name="Confidencialidad">
    <vt:lpwstr>Público</vt:lpwstr>
  </property>
  <property fmtid="{D5CDD505-2E9C-101B-9397-08002B2CF9AE}" pid="11" name="Edición">
    <vt:lpwstr>1</vt:lpwstr>
  </property>
  <property fmtid="{D5CDD505-2E9C-101B-9397-08002B2CF9AE}" pid="12" name="MSIP_Label_b8b4be34-365a-4a68-b9fb-75c1b6874315_Enabled">
    <vt:lpwstr>true</vt:lpwstr>
  </property>
  <property fmtid="{D5CDD505-2E9C-101B-9397-08002B2CF9AE}" pid="13" name="MSIP_Label_b8b4be34-365a-4a68-b9fb-75c1b6874315_SetDate">
    <vt:lpwstr>2023-03-17T15:43:54Z</vt:lpwstr>
  </property>
  <property fmtid="{D5CDD505-2E9C-101B-9397-08002B2CF9AE}" pid="14" name="MSIP_Label_b8b4be34-365a-4a68-b9fb-75c1b6874315_Method">
    <vt:lpwstr>Standard</vt:lpwstr>
  </property>
  <property fmtid="{D5CDD505-2E9C-101B-9397-08002B2CF9AE}" pid="15" name="MSIP_Label_b8b4be34-365a-4a68-b9fb-75c1b6874315_Name">
    <vt:lpwstr>b8b4be34-365a-4a68-b9fb-75c1b6874315</vt:lpwstr>
  </property>
  <property fmtid="{D5CDD505-2E9C-101B-9397-08002B2CF9AE}" pid="16" name="MSIP_Label_b8b4be34-365a-4a68-b9fb-75c1b6874315_SiteId">
    <vt:lpwstr>618d0a45-25a6-4618-9f80-8f70a435ee52</vt:lpwstr>
  </property>
  <property fmtid="{D5CDD505-2E9C-101B-9397-08002B2CF9AE}" pid="17" name="MSIP_Label_b8b4be34-365a-4a68-b9fb-75c1b6874315_ActionId">
    <vt:lpwstr>6c613d78-c028-4962-8975-0000406b32a9</vt:lpwstr>
  </property>
  <property fmtid="{D5CDD505-2E9C-101B-9397-08002B2CF9AE}" pid="18" name="MSIP_Label_b8b4be34-365a-4a68-b9fb-75c1b6874315_ContentBits">
    <vt:lpwstr>2</vt:lpwstr>
  </property>
  <property fmtid="{D5CDD505-2E9C-101B-9397-08002B2CF9AE}" pid="19" name="ContentTypeId">
    <vt:lpwstr>0x010100D782232EDBD39B42885D0C08AF08B5D6</vt:lpwstr>
  </property>
</Properties>
</file>