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6FA0" w:rsidR="003554C5" w:rsidP="001C6FA0" w:rsidRDefault="001C6FA0" w14:paraId="5868057D" w14:textId="44DA2D63">
      <w:pPr>
        <w:rPr>
          <w:rFonts w:ascii="Arial" w:hAnsi="Arial" w:cs="Arial"/>
          <w:sz w:val="24"/>
        </w:rPr>
      </w:pPr>
      <w:r w:rsidRPr="001C6FA0">
        <w:rPr>
          <w:rFonts w:ascii="Arial" w:hAnsi="Arial" w:cs="Arial"/>
          <w:sz w:val="24"/>
        </w:rPr>
        <w:t>6 de diciembre del 2024</w:t>
      </w:r>
    </w:p>
    <w:sdt>
      <w:sdtPr>
        <w:alias w:val="Consecutivo"/>
        <w:tag w:val="Consecutivo"/>
        <w:id w:val="867724263"/>
        <w:placeholder>
          <w:docPart w:val="2F82CB2F8DFF43F1A8A3AD4EC415E8CE"/>
        </w:placeholder>
        <w:text/>
      </w:sdtPr>
      <w:sdtEndPr/>
      <w:sdtContent>
        <w:p w:rsidR="003554C5" w:rsidP="0085692C" w:rsidRDefault="00BF4EBD" w14:paraId="29A7747D" w14:textId="77777777">
          <w:r>
            <w:t>AI-0227-2024</w:t>
          </w:r>
        </w:p>
      </w:sdtContent>
    </w:sdt>
    <w:p w:rsidRPr="00F835F3" w:rsidR="00BF4EBD" w:rsidP="0085692C" w:rsidRDefault="00BF4EBD" w14:paraId="182C9E5A" w14:textId="77777777"/>
    <w:p w:rsidRPr="006329ED" w:rsidR="001C6FA0" w:rsidP="001C6FA0" w:rsidRDefault="001C6FA0" w14:paraId="47DCBFF0" w14:textId="77777777">
      <w:pPr>
        <w:rPr>
          <w:rFonts w:ascii="Arial" w:hAnsi="Arial" w:cs="Arial"/>
          <w:sz w:val="24"/>
        </w:rPr>
      </w:pPr>
      <w:r w:rsidRPr="006329ED">
        <w:rPr>
          <w:rFonts w:ascii="Arial" w:hAnsi="Arial" w:cs="Arial"/>
          <w:sz w:val="24"/>
        </w:rPr>
        <w:t>Señor</w:t>
      </w:r>
      <w:r>
        <w:rPr>
          <w:rFonts w:ascii="Arial" w:hAnsi="Arial" w:cs="Arial"/>
          <w:sz w:val="24"/>
        </w:rPr>
        <w:t>a</w:t>
      </w:r>
    </w:p>
    <w:p w:rsidRPr="006329ED" w:rsidR="001C6FA0" w:rsidP="001C6FA0" w:rsidRDefault="001C6FA0" w14:paraId="7ABC23D7" w14:textId="77777777">
      <w:pPr>
        <w:rPr>
          <w:rFonts w:ascii="Arial" w:hAnsi="Arial" w:cs="Arial"/>
          <w:sz w:val="24"/>
        </w:rPr>
      </w:pPr>
      <w:r>
        <w:rPr>
          <w:rFonts w:ascii="Arial" w:hAnsi="Arial" w:cs="Arial"/>
          <w:sz w:val="24"/>
        </w:rPr>
        <w:t>Hazel Valverde R.</w:t>
      </w:r>
      <w:r w:rsidRPr="006329ED">
        <w:rPr>
          <w:rFonts w:ascii="Arial" w:hAnsi="Arial" w:cs="Arial"/>
          <w:sz w:val="24"/>
        </w:rPr>
        <w:t>, Gerente</w:t>
      </w:r>
    </w:p>
    <w:p w:rsidRPr="00F9447F" w:rsidR="001C6FA0" w:rsidP="001C6FA0" w:rsidRDefault="001C6FA0" w14:paraId="1EB7E99E" w14:textId="77777777">
      <w:pPr>
        <w:pStyle w:val="Encabezado"/>
        <w:tabs>
          <w:tab w:val="clear" w:pos="4680"/>
          <w:tab w:val="clear" w:pos="9360"/>
          <w:tab w:val="center" w:pos="4419"/>
          <w:tab w:val="right" w:pos="8838"/>
        </w:tabs>
        <w:rPr>
          <w:rFonts w:ascii="Arial" w:hAnsi="Arial" w:eastAsia="Calibri" w:cs="Arial"/>
          <w:b/>
          <w:color w:val="1C4063" w:themeColor="accent1" w:themeShade="80"/>
          <w:sz w:val="24"/>
          <w:lang w:val="es-CR"/>
        </w:rPr>
      </w:pPr>
      <w:r w:rsidRPr="00F9447F">
        <w:rPr>
          <w:rFonts w:ascii="Arial" w:hAnsi="Arial" w:eastAsia="Calibri" w:cs="Arial"/>
          <w:b/>
          <w:color w:val="1C4063" w:themeColor="accent1" w:themeShade="80"/>
          <w:sz w:val="24"/>
          <w:lang w:val="es-CR"/>
        </w:rPr>
        <w:t>BANCO CENTRAL DE COSTA RICA</w:t>
      </w:r>
    </w:p>
    <w:p w:rsidR="001C6FA0" w:rsidP="001C6FA0" w:rsidRDefault="001C6FA0" w14:paraId="108A0547" w14:textId="77777777">
      <w:pPr>
        <w:rPr>
          <w:rFonts w:ascii="Arial" w:hAnsi="Arial" w:cs="Arial"/>
        </w:rPr>
      </w:pPr>
    </w:p>
    <w:p w:rsidRPr="003F5DF0" w:rsidR="001C6FA0" w:rsidP="001C6FA0" w:rsidRDefault="001C6FA0" w14:paraId="19F93516" w14:textId="77777777">
      <w:pPr>
        <w:rPr>
          <w:rFonts w:ascii="Arial" w:hAnsi="Arial" w:cs="Arial"/>
          <w:b/>
          <w:bCs/>
        </w:rPr>
      </w:pPr>
      <w:r w:rsidRPr="00FB4EB3">
        <w:rPr>
          <w:rFonts w:ascii="Arial" w:hAnsi="Arial" w:cs="Arial"/>
          <w:b/>
        </w:rPr>
        <w:t>Ref. Comunicación d</w:t>
      </w:r>
      <w:r>
        <w:rPr>
          <w:rFonts w:ascii="Arial" w:hAnsi="Arial" w:cs="Arial"/>
          <w:b/>
        </w:rPr>
        <w:t xml:space="preserve">el Informe </w:t>
      </w:r>
      <w:r w:rsidRPr="003F5DF0">
        <w:rPr>
          <w:rFonts w:ascii="Arial" w:hAnsi="Arial" w:cs="Arial"/>
          <w:b/>
          <w:bCs/>
        </w:rPr>
        <w:t xml:space="preserve">de la </w:t>
      </w:r>
      <w:r>
        <w:rPr>
          <w:rFonts w:ascii="Arial" w:hAnsi="Arial" w:cs="Arial"/>
          <w:b/>
          <w:bCs/>
        </w:rPr>
        <w:t>auditoría especial sobre la formulación de planes institucionales</w:t>
      </w:r>
    </w:p>
    <w:p w:rsidR="001C6FA0" w:rsidP="001C6FA0" w:rsidRDefault="001C6FA0" w14:paraId="08763AA1" w14:textId="77777777">
      <w:pPr>
        <w:rPr>
          <w:rFonts w:ascii="Arial" w:hAnsi="Arial" w:cs="Arial"/>
        </w:rPr>
      </w:pPr>
    </w:p>
    <w:p w:rsidR="001C6FA0" w:rsidP="001C6FA0" w:rsidRDefault="001C6FA0" w14:paraId="3AB3D75B" w14:textId="77777777">
      <w:pPr>
        <w:rPr>
          <w:rFonts w:ascii="Arial" w:hAnsi="Arial" w:cs="Arial"/>
        </w:rPr>
      </w:pPr>
    </w:p>
    <w:p w:rsidRPr="006329ED" w:rsidR="001C6FA0" w:rsidP="001C6FA0" w:rsidRDefault="001C6FA0" w14:paraId="20597FA0" w14:textId="77777777">
      <w:pPr>
        <w:rPr>
          <w:rFonts w:ascii="Arial" w:hAnsi="Arial" w:cs="Arial"/>
          <w:sz w:val="24"/>
        </w:rPr>
      </w:pPr>
      <w:r w:rsidRPr="006329ED">
        <w:rPr>
          <w:rFonts w:ascii="Arial" w:hAnsi="Arial" w:cs="Arial"/>
          <w:sz w:val="24"/>
        </w:rPr>
        <w:t>Estimad</w:t>
      </w:r>
      <w:r>
        <w:rPr>
          <w:rFonts w:ascii="Arial" w:hAnsi="Arial" w:cs="Arial"/>
          <w:sz w:val="24"/>
        </w:rPr>
        <w:t>a</w:t>
      </w:r>
      <w:r w:rsidRPr="006329ED">
        <w:rPr>
          <w:rFonts w:ascii="Arial" w:hAnsi="Arial" w:cs="Arial"/>
          <w:sz w:val="24"/>
        </w:rPr>
        <w:t xml:space="preserve"> señor</w:t>
      </w:r>
      <w:r>
        <w:rPr>
          <w:rFonts w:ascii="Arial" w:hAnsi="Arial" w:cs="Arial"/>
          <w:sz w:val="24"/>
        </w:rPr>
        <w:t>a</w:t>
      </w:r>
      <w:r w:rsidRPr="006329ED">
        <w:rPr>
          <w:rFonts w:ascii="Arial" w:hAnsi="Arial" w:cs="Arial"/>
          <w:sz w:val="24"/>
        </w:rPr>
        <w:t>:</w:t>
      </w:r>
    </w:p>
    <w:p w:rsidRPr="006329ED" w:rsidR="001C6FA0" w:rsidP="001C6FA0" w:rsidRDefault="001C6FA0" w14:paraId="2481CE21" w14:textId="77777777">
      <w:pPr>
        <w:rPr>
          <w:rFonts w:ascii="Arial" w:hAnsi="Arial" w:cs="Arial"/>
          <w:sz w:val="24"/>
        </w:rPr>
      </w:pPr>
    </w:p>
    <w:p w:rsidRPr="00995C21" w:rsidR="001C6FA0" w:rsidP="001C6FA0" w:rsidRDefault="001C6FA0" w14:paraId="22CD99E3" w14:textId="77777777">
      <w:pPr>
        <w:rPr>
          <w:rFonts w:ascii="Arial" w:hAnsi="Arial" w:cs="Arial"/>
          <w:strike/>
          <w:sz w:val="24"/>
        </w:rPr>
      </w:pPr>
      <w:r>
        <w:rPr>
          <w:rFonts w:ascii="Arial" w:hAnsi="Arial" w:cs="Arial"/>
          <w:sz w:val="24"/>
        </w:rPr>
        <w:t xml:space="preserve">Este </w:t>
      </w:r>
      <w:r w:rsidRPr="006329ED">
        <w:rPr>
          <w:rFonts w:ascii="Arial" w:hAnsi="Arial" w:cs="Arial"/>
          <w:sz w:val="24"/>
        </w:rPr>
        <w:t>informe contiene los resultados correspondientes al estudio</w:t>
      </w:r>
      <w:r>
        <w:rPr>
          <w:rFonts w:ascii="Arial" w:hAnsi="Arial" w:cs="Arial"/>
          <w:sz w:val="24"/>
        </w:rPr>
        <w:t xml:space="preserve"> </w:t>
      </w:r>
      <w:r w:rsidRPr="00EA10B2">
        <w:rPr>
          <w:rFonts w:ascii="Arial" w:hAnsi="Arial" w:cs="Arial"/>
          <w:sz w:val="24"/>
        </w:rPr>
        <w:t xml:space="preserve">de carácter </w:t>
      </w:r>
      <w:r w:rsidRPr="003B6A4D">
        <w:rPr>
          <w:rFonts w:ascii="Arial" w:hAnsi="Arial" w:cs="Arial"/>
          <w:sz w:val="24"/>
        </w:rPr>
        <w:t>especial</w:t>
      </w:r>
      <w:r w:rsidRPr="003B6A4D">
        <w:rPr>
          <w:rStyle w:val="Refdenotaalpie"/>
          <w:rFonts w:ascii="Arial" w:hAnsi="Arial" w:cs="Arial"/>
          <w:sz w:val="24"/>
        </w:rPr>
        <w:footnoteReference w:id="1"/>
      </w:r>
      <w:r w:rsidRPr="003B6A4D">
        <w:rPr>
          <w:rFonts w:ascii="Arial" w:hAnsi="Arial" w:cs="Arial"/>
          <w:sz w:val="24"/>
        </w:rPr>
        <w:t xml:space="preserve">, mediante el cual esta Auditoría evaluó el proceso de formulación de planes institucionales y </w:t>
      </w:r>
      <w:r>
        <w:rPr>
          <w:rFonts w:ascii="Arial" w:hAnsi="Arial" w:cs="Arial"/>
          <w:sz w:val="24"/>
        </w:rPr>
        <w:t xml:space="preserve">la correspondiente estimación de recursos financieros para su ejecución. El </w:t>
      </w:r>
      <w:r w:rsidRPr="003B6A4D">
        <w:rPr>
          <w:rFonts w:ascii="Arial" w:hAnsi="Arial" w:cs="Arial"/>
          <w:sz w:val="24"/>
        </w:rPr>
        <w:t xml:space="preserve">objetivo </w:t>
      </w:r>
      <w:r>
        <w:rPr>
          <w:rFonts w:ascii="Arial" w:hAnsi="Arial" w:cs="Arial"/>
          <w:sz w:val="24"/>
        </w:rPr>
        <w:t xml:space="preserve">del trabajo </w:t>
      </w:r>
      <w:r w:rsidRPr="003B6A4D">
        <w:rPr>
          <w:rFonts w:ascii="Arial" w:hAnsi="Arial" w:cs="Arial"/>
          <w:sz w:val="24"/>
        </w:rPr>
        <w:t xml:space="preserve">fue verificar el cumplimiento de las disposiciones aplicables al objeto de estudio, </w:t>
      </w:r>
      <w:r>
        <w:rPr>
          <w:rFonts w:ascii="Arial" w:hAnsi="Arial" w:cs="Arial"/>
          <w:sz w:val="24"/>
        </w:rPr>
        <w:t>el cual</w:t>
      </w:r>
      <w:r w:rsidRPr="003B6A4D">
        <w:rPr>
          <w:rFonts w:ascii="Arial" w:hAnsi="Arial" w:cs="Arial"/>
          <w:sz w:val="24"/>
        </w:rPr>
        <w:t xml:space="preserve"> está bajo la responsabilidad de</w:t>
      </w:r>
      <w:r>
        <w:rPr>
          <w:rFonts w:ascii="Arial" w:hAnsi="Arial" w:cs="Arial"/>
          <w:sz w:val="24"/>
        </w:rPr>
        <w:t xml:space="preserve"> </w:t>
      </w:r>
      <w:r w:rsidRPr="003B6A4D">
        <w:rPr>
          <w:rFonts w:ascii="Arial" w:hAnsi="Arial" w:cs="Arial"/>
          <w:sz w:val="24"/>
        </w:rPr>
        <w:t>l</w:t>
      </w:r>
      <w:r>
        <w:rPr>
          <w:rFonts w:ascii="Arial" w:hAnsi="Arial" w:cs="Arial"/>
          <w:sz w:val="24"/>
        </w:rPr>
        <w:t>os</w:t>
      </w:r>
      <w:r w:rsidRPr="003B6A4D">
        <w:rPr>
          <w:rFonts w:ascii="Arial" w:hAnsi="Arial" w:cs="Arial"/>
          <w:sz w:val="24"/>
        </w:rPr>
        <w:t xml:space="preserve"> </w:t>
      </w:r>
      <w:r>
        <w:rPr>
          <w:rFonts w:ascii="Arial" w:hAnsi="Arial" w:cs="Arial"/>
          <w:sz w:val="24"/>
        </w:rPr>
        <w:t>d</w:t>
      </w:r>
      <w:r w:rsidRPr="003B6A4D">
        <w:rPr>
          <w:rFonts w:ascii="Arial" w:hAnsi="Arial" w:cs="Arial"/>
          <w:sz w:val="24"/>
        </w:rPr>
        <w:t>epartamento</w:t>
      </w:r>
      <w:r>
        <w:rPr>
          <w:rFonts w:ascii="Arial" w:hAnsi="Arial" w:cs="Arial"/>
          <w:sz w:val="24"/>
        </w:rPr>
        <w:t>s</w:t>
      </w:r>
      <w:r w:rsidRPr="003B6A4D">
        <w:rPr>
          <w:rFonts w:ascii="Arial" w:hAnsi="Arial" w:cs="Arial"/>
          <w:sz w:val="24"/>
        </w:rPr>
        <w:t xml:space="preserve"> Planeamiento y Control de Gestión</w:t>
      </w:r>
      <w:r>
        <w:rPr>
          <w:rFonts w:ascii="Arial" w:hAnsi="Arial" w:cs="Arial"/>
          <w:sz w:val="24"/>
        </w:rPr>
        <w:t xml:space="preserve"> y de Presupuesto</w:t>
      </w:r>
      <w:r w:rsidRPr="003B6A4D">
        <w:rPr>
          <w:rFonts w:ascii="Arial" w:hAnsi="Arial" w:cs="Arial"/>
          <w:sz w:val="24"/>
        </w:rPr>
        <w:t xml:space="preserve">, </w:t>
      </w:r>
      <w:r>
        <w:rPr>
          <w:rFonts w:ascii="Arial" w:hAnsi="Arial" w:cs="Arial"/>
          <w:sz w:val="24"/>
        </w:rPr>
        <w:t xml:space="preserve">ambos </w:t>
      </w:r>
      <w:r w:rsidRPr="003B6A4D">
        <w:rPr>
          <w:rFonts w:ascii="Arial" w:hAnsi="Arial" w:cs="Arial"/>
          <w:sz w:val="24"/>
        </w:rPr>
        <w:t>de la División Transformación y Estrategia.</w:t>
      </w:r>
    </w:p>
    <w:p w:rsidR="001C6FA0" w:rsidP="001C6FA0" w:rsidRDefault="001C6FA0" w14:paraId="44956165" w14:textId="77777777">
      <w:pPr>
        <w:tabs>
          <w:tab w:val="left" w:pos="5505"/>
        </w:tabs>
        <w:rPr>
          <w:rFonts w:ascii="Arial" w:hAnsi="Arial" w:cs="Arial"/>
          <w:sz w:val="24"/>
        </w:rPr>
      </w:pPr>
    </w:p>
    <w:p w:rsidRPr="006329ED" w:rsidR="001C6FA0" w:rsidP="001C6FA0" w:rsidRDefault="001C6FA0" w14:paraId="31C647EB" w14:textId="77777777">
      <w:pPr>
        <w:rPr>
          <w:rFonts w:ascii="Arial" w:hAnsi="Arial" w:cs="Arial"/>
          <w:sz w:val="24"/>
        </w:rPr>
      </w:pPr>
      <w:r w:rsidRPr="006329ED">
        <w:rPr>
          <w:rFonts w:ascii="Arial" w:hAnsi="Arial" w:cs="Arial"/>
          <w:sz w:val="24"/>
        </w:rPr>
        <w:t xml:space="preserve">El alcance del estudio comprendió </w:t>
      </w:r>
      <w:r>
        <w:rPr>
          <w:rFonts w:ascii="Arial" w:hAnsi="Arial" w:cs="Arial"/>
          <w:sz w:val="24"/>
        </w:rPr>
        <w:t>la f</w:t>
      </w:r>
      <w:r w:rsidRPr="00A251A4">
        <w:rPr>
          <w:rFonts w:ascii="Arial" w:hAnsi="Arial" w:cs="Arial"/>
          <w:sz w:val="24"/>
        </w:rPr>
        <w:t>ormulación del plan operativo 2025</w:t>
      </w:r>
      <w:r w:rsidRPr="006329ED">
        <w:rPr>
          <w:rFonts w:ascii="Arial" w:hAnsi="Arial" w:cs="Arial"/>
          <w:sz w:val="24"/>
        </w:rPr>
        <w:t xml:space="preserve">. </w:t>
      </w:r>
      <w:r w:rsidRPr="006329ED">
        <w:rPr>
          <w:rFonts w:ascii="Arial" w:hAnsi="Arial" w:cs="Arial"/>
          <w:sz w:val="24"/>
          <w:lang w:eastAsia="uk-UA"/>
        </w:rPr>
        <w:t>Para la ejecución de este estudio se aplicaron los criterios de auditoría que se consideraron pertinentes, según el objetivo planteado, los cuales fueron comunicados mediante oficio</w:t>
      </w:r>
      <w:r>
        <w:rPr>
          <w:rFonts w:ascii="Arial" w:hAnsi="Arial" w:cs="Arial"/>
          <w:sz w:val="24"/>
          <w:lang w:eastAsia="uk-UA"/>
        </w:rPr>
        <w:t>s AI-0031-2024 y</w:t>
      </w:r>
      <w:r w:rsidRPr="006329ED">
        <w:rPr>
          <w:rFonts w:ascii="Arial" w:hAnsi="Arial" w:cs="Arial"/>
          <w:sz w:val="24"/>
          <w:lang w:eastAsia="uk-UA"/>
        </w:rPr>
        <w:t xml:space="preserve"> AI-</w:t>
      </w:r>
      <w:r>
        <w:rPr>
          <w:rFonts w:ascii="Arial" w:hAnsi="Arial" w:cs="Arial"/>
          <w:sz w:val="24"/>
          <w:lang w:eastAsia="uk-UA"/>
        </w:rPr>
        <w:t>0216</w:t>
      </w:r>
      <w:r w:rsidRPr="006329ED">
        <w:rPr>
          <w:rFonts w:ascii="Arial" w:hAnsi="Arial" w:cs="Arial"/>
          <w:sz w:val="24"/>
          <w:lang w:eastAsia="uk-UA"/>
        </w:rPr>
        <w:t>-20</w:t>
      </w:r>
      <w:r>
        <w:rPr>
          <w:rFonts w:ascii="Arial" w:hAnsi="Arial" w:cs="Arial"/>
          <w:sz w:val="24"/>
          <w:lang w:eastAsia="uk-UA"/>
        </w:rPr>
        <w:t>24</w:t>
      </w:r>
      <w:r w:rsidRPr="006329ED">
        <w:rPr>
          <w:rFonts w:ascii="Arial" w:hAnsi="Arial" w:cs="Arial"/>
          <w:sz w:val="24"/>
          <w:lang w:eastAsia="uk-UA"/>
        </w:rPr>
        <w:t xml:space="preserve"> del </w:t>
      </w:r>
      <w:r>
        <w:rPr>
          <w:rFonts w:ascii="Arial" w:hAnsi="Arial" w:cs="Arial"/>
          <w:sz w:val="24"/>
          <w:lang w:eastAsia="uk-UA"/>
        </w:rPr>
        <w:t>13 de febrero y del 20 de noviembre de 2024, respectivamente</w:t>
      </w:r>
      <w:r w:rsidRPr="006329ED">
        <w:rPr>
          <w:rFonts w:ascii="Arial" w:hAnsi="Arial" w:cs="Arial"/>
          <w:sz w:val="24"/>
          <w:lang w:eastAsia="uk-UA"/>
        </w:rPr>
        <w:t>.</w:t>
      </w:r>
      <w:r>
        <w:rPr>
          <w:rFonts w:ascii="Arial" w:hAnsi="Arial" w:cs="Arial"/>
          <w:sz w:val="24"/>
          <w:lang w:eastAsia="uk-UA"/>
        </w:rPr>
        <w:t xml:space="preserve"> </w:t>
      </w:r>
    </w:p>
    <w:p w:rsidR="001C6FA0" w:rsidP="001C6FA0" w:rsidRDefault="001C6FA0" w14:paraId="1EC1CF40" w14:textId="77777777">
      <w:pPr>
        <w:contextualSpacing/>
        <w:rPr>
          <w:rFonts w:ascii="Arial" w:hAnsi="Arial" w:cs="Arial"/>
          <w:sz w:val="24"/>
        </w:rPr>
      </w:pPr>
    </w:p>
    <w:p w:rsidRPr="00E80175" w:rsidR="001C6FA0" w:rsidP="001C6FA0" w:rsidRDefault="001C6FA0" w14:paraId="0C388BAA"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6329ED" w:rsidR="001C6FA0" w:rsidP="001C6FA0" w:rsidRDefault="001C6FA0" w14:paraId="7052C22F" w14:textId="77777777">
      <w:pPr>
        <w:contextualSpacing/>
        <w:rPr>
          <w:rFonts w:ascii="Arial" w:hAnsi="Arial" w:cs="Arial"/>
          <w:sz w:val="24"/>
        </w:rPr>
      </w:pPr>
    </w:p>
    <w:p w:rsidRPr="009329A8" w:rsidR="001C6FA0" w:rsidP="001C6FA0" w:rsidRDefault="001C6FA0" w14:paraId="31F08594" w14:textId="77777777">
      <w:pPr>
        <w:contextualSpacing/>
        <w:rPr>
          <w:rFonts w:ascii="Arial" w:hAnsi="Arial" w:cs="Arial"/>
          <w:sz w:val="24"/>
        </w:rPr>
      </w:pPr>
      <w:r w:rsidRPr="009329A8">
        <w:rPr>
          <w:rFonts w:ascii="Arial" w:hAnsi="Arial" w:cs="Arial"/>
          <w:sz w:val="24"/>
        </w:rPr>
        <w:t xml:space="preserve">Los resultados obtenidos permitieron concluir que el proceso </w:t>
      </w:r>
      <w:r w:rsidRPr="00DA0FD8">
        <w:rPr>
          <w:rFonts w:ascii="Arial" w:hAnsi="Arial" w:cs="Arial"/>
          <w:b/>
          <w:bCs/>
          <w:sz w:val="24"/>
        </w:rPr>
        <w:t>cumple</w:t>
      </w:r>
      <w:r>
        <w:rPr>
          <w:rStyle w:val="Refdenotaalpie"/>
          <w:rFonts w:ascii="Arial" w:hAnsi="Arial" w:cs="Arial"/>
          <w:sz w:val="24"/>
        </w:rPr>
        <w:footnoteReference w:id="2"/>
      </w:r>
      <w:r w:rsidRPr="009329A8">
        <w:rPr>
          <w:rFonts w:ascii="Arial" w:hAnsi="Arial" w:cs="Arial"/>
          <w:sz w:val="24"/>
        </w:rPr>
        <w:t xml:space="preserve"> con las disposiciones aplicables.</w:t>
      </w:r>
    </w:p>
    <w:p w:rsidRPr="00734B22" w:rsidR="001C6FA0" w:rsidP="001C6FA0" w:rsidRDefault="001C6FA0" w14:paraId="73414605" w14:textId="77777777">
      <w:pPr>
        <w:contextualSpacing/>
        <w:rPr>
          <w:rFonts w:ascii="Arial" w:hAnsi="Arial" w:cs="Arial"/>
          <w:sz w:val="24"/>
          <w:szCs w:val="28"/>
        </w:rPr>
      </w:pPr>
    </w:p>
    <w:p w:rsidRPr="006329ED" w:rsidR="001C6FA0" w:rsidP="001C6FA0" w:rsidRDefault="001C6FA0" w14:paraId="2A28240E" w14:textId="77777777">
      <w:pPr>
        <w:widowControl w:val="0"/>
        <w:rPr>
          <w:rFonts w:ascii="Arial" w:hAnsi="Arial" w:cs="Arial"/>
          <w:sz w:val="24"/>
        </w:rPr>
      </w:pPr>
    </w:p>
    <w:p w:rsidRPr="006329ED" w:rsidR="001C6FA0" w:rsidP="001C6FA0" w:rsidRDefault="001C6FA0" w14:paraId="60FBF8D6"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lastRenderedPageBreak/>
        <w:t>GENERALIDADES</w:t>
      </w:r>
    </w:p>
    <w:p w:rsidRPr="006329ED" w:rsidR="001C6FA0" w:rsidP="001C6FA0" w:rsidRDefault="001C6FA0" w14:paraId="3D861C15" w14:textId="77777777">
      <w:pPr>
        <w:ind w:left="513"/>
        <w:contextualSpacing/>
        <w:rPr>
          <w:rFonts w:ascii="Arial" w:hAnsi="Arial" w:cs="Arial"/>
          <w:szCs w:val="22"/>
          <w:highlight w:val="yellow"/>
        </w:rPr>
      </w:pPr>
    </w:p>
    <w:p w:rsidR="001C6FA0" w:rsidP="001C6FA0" w:rsidRDefault="001C6FA0" w14:paraId="5CF03282" w14:textId="77777777">
      <w:pPr>
        <w:pStyle w:val="Prrafodelista"/>
        <w:ind w:left="0"/>
        <w:rPr>
          <w:rFonts w:ascii="Arial" w:hAnsi="Arial" w:cs="Arial"/>
          <w:sz w:val="24"/>
        </w:rPr>
      </w:pPr>
      <w:r w:rsidRPr="008D3984">
        <w:rPr>
          <w:rFonts w:ascii="Arial" w:hAnsi="Arial" w:cs="Arial"/>
          <w:sz w:val="24"/>
        </w:rPr>
        <w:t>El Plan Anual Operativo (PAO) del Banco Central de Costa Rica, constituye el instrumento de planificación de corto plazo para presentar las metas, anteproyectos (iniciativas) y proyectos del período, en este caso, para el año 202</w:t>
      </w:r>
      <w:r>
        <w:rPr>
          <w:rFonts w:ascii="Arial" w:hAnsi="Arial" w:cs="Arial"/>
          <w:sz w:val="24"/>
        </w:rPr>
        <w:t>5</w:t>
      </w:r>
      <w:r w:rsidRPr="008D3984">
        <w:rPr>
          <w:rFonts w:ascii="Arial" w:hAnsi="Arial" w:cs="Arial"/>
          <w:sz w:val="24"/>
        </w:rPr>
        <w:t>. El presupuesto es la expresión financiera del plan, es decir, es la estimación de recursos requeridos para su cumplimiento y las fuentes de dichos recursos.</w:t>
      </w:r>
    </w:p>
    <w:p w:rsidR="001C6FA0" w:rsidP="001C6FA0" w:rsidRDefault="001C6FA0" w14:paraId="05CEA01D" w14:textId="77777777">
      <w:pPr>
        <w:pStyle w:val="Prrafodelista"/>
        <w:ind w:left="0"/>
        <w:rPr>
          <w:rFonts w:ascii="Arial" w:hAnsi="Arial" w:cs="Arial"/>
          <w:sz w:val="24"/>
        </w:rPr>
      </w:pPr>
    </w:p>
    <w:p w:rsidRPr="008873CB" w:rsidR="001C6FA0" w:rsidP="001C6FA0" w:rsidRDefault="001C6FA0" w14:paraId="62E127D0" w14:textId="77777777">
      <w:pPr>
        <w:pStyle w:val="Prrafodelista"/>
        <w:ind w:left="0"/>
        <w:rPr>
          <w:rFonts w:ascii="Arial" w:hAnsi="Arial" w:cs="Arial"/>
          <w:sz w:val="24"/>
        </w:rPr>
      </w:pPr>
      <w:r w:rsidRPr="008873CB">
        <w:rPr>
          <w:rFonts w:ascii="Arial" w:hAnsi="Arial" w:cs="Arial"/>
          <w:sz w:val="24"/>
        </w:rPr>
        <w:t xml:space="preserve">El informe lo conforma el Plan Anual Operativo y el Presupuesto, así como, los datos y comentarios aportados por las diferentes dependencias relacionados con las metas crucialmente importantes (MCI), indicadores de esas metas y de los proyectos nuevos y los que continúan. </w:t>
      </w:r>
    </w:p>
    <w:p w:rsidRPr="008873CB" w:rsidR="001C6FA0" w:rsidP="001C6FA0" w:rsidRDefault="001C6FA0" w14:paraId="72C14800" w14:textId="77777777">
      <w:pPr>
        <w:pStyle w:val="Prrafodelista"/>
        <w:ind w:left="0"/>
        <w:rPr>
          <w:rFonts w:ascii="Arial" w:hAnsi="Arial" w:cs="Arial"/>
          <w:sz w:val="24"/>
        </w:rPr>
      </w:pPr>
    </w:p>
    <w:p w:rsidR="001C6FA0" w:rsidP="001C6FA0" w:rsidRDefault="001C6FA0" w14:paraId="7BF42859" w14:textId="77777777">
      <w:pPr>
        <w:pStyle w:val="Prrafodelista"/>
        <w:ind w:left="0"/>
        <w:rPr>
          <w:rFonts w:ascii="Arial" w:hAnsi="Arial" w:cs="Arial"/>
          <w:sz w:val="24"/>
        </w:rPr>
      </w:pPr>
      <w:r w:rsidRPr="008873CB">
        <w:rPr>
          <w:rFonts w:ascii="Arial" w:hAnsi="Arial" w:cs="Arial"/>
          <w:sz w:val="24"/>
        </w:rPr>
        <w:t>El Plan anual operativo y presupuesto 202</w:t>
      </w:r>
      <w:r>
        <w:rPr>
          <w:rFonts w:ascii="Arial" w:hAnsi="Arial" w:cs="Arial"/>
          <w:sz w:val="24"/>
        </w:rPr>
        <w:t>5</w:t>
      </w:r>
      <w:r w:rsidRPr="008873CB">
        <w:rPr>
          <w:rFonts w:ascii="Arial" w:hAnsi="Arial" w:cs="Arial"/>
          <w:sz w:val="24"/>
        </w:rPr>
        <w:t xml:space="preserve"> es remitido por la Gerencia a la Junta Directiva y una vez aprobado por ese órgano</w:t>
      </w:r>
      <w:r>
        <w:rPr>
          <w:rFonts w:ascii="Arial" w:hAnsi="Arial" w:cs="Arial"/>
          <w:sz w:val="24"/>
        </w:rPr>
        <w:t>,</w:t>
      </w:r>
      <w:r w:rsidRPr="008873CB">
        <w:rPr>
          <w:rFonts w:ascii="Arial" w:hAnsi="Arial" w:cs="Arial"/>
          <w:sz w:val="24"/>
        </w:rPr>
        <w:t xml:space="preserve"> se envía a la Contraloría General de la República para su aprobación y, posteriormente, se publica en la página oficial del Banco Central de Costa Rica con el objetivo de informar a la ciudadanía en general</w:t>
      </w:r>
      <w:r>
        <w:rPr>
          <w:rFonts w:ascii="Arial" w:hAnsi="Arial" w:cs="Arial"/>
          <w:sz w:val="24"/>
        </w:rPr>
        <w:t>.</w:t>
      </w:r>
    </w:p>
    <w:p w:rsidRPr="008873CB" w:rsidR="001C6FA0" w:rsidP="001C6FA0" w:rsidRDefault="001C6FA0" w14:paraId="60BCE461" w14:textId="77777777">
      <w:pPr>
        <w:pStyle w:val="Prrafodelista"/>
        <w:ind w:left="0"/>
        <w:rPr>
          <w:rFonts w:ascii="Arial" w:hAnsi="Arial" w:cs="Arial"/>
          <w:sz w:val="24"/>
        </w:rPr>
      </w:pPr>
    </w:p>
    <w:p w:rsidRPr="006329ED" w:rsidR="001C6FA0" w:rsidP="001C6FA0" w:rsidRDefault="001C6FA0" w14:paraId="4992356E"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RESUMEN DE RESULTADOS</w:t>
      </w:r>
    </w:p>
    <w:p w:rsidRPr="006329ED" w:rsidR="001C6FA0" w:rsidP="001C6FA0" w:rsidRDefault="001C6FA0" w14:paraId="09188EC9" w14:textId="77777777">
      <w:pPr>
        <w:pStyle w:val="Prrafodelista"/>
        <w:ind w:left="513"/>
        <w:rPr>
          <w:rFonts w:ascii="Arial" w:hAnsi="Arial" w:cs="Arial"/>
          <w:szCs w:val="22"/>
          <w:lang w:val="es-CR"/>
        </w:rPr>
      </w:pPr>
    </w:p>
    <w:p w:rsidR="001C6FA0" w:rsidP="001C6FA0" w:rsidRDefault="001C6FA0" w14:paraId="0E2A75FC" w14:textId="77777777">
      <w:pPr>
        <w:rPr>
          <w:rFonts w:ascii="Arial" w:hAnsi="Arial" w:cs="Arial"/>
          <w:sz w:val="24"/>
          <w:szCs w:val="28"/>
        </w:rPr>
      </w:pPr>
      <w:r w:rsidRPr="00120B21">
        <w:rPr>
          <w:rFonts w:ascii="Arial" w:hAnsi="Arial" w:cs="Arial"/>
          <w:sz w:val="24"/>
          <w:szCs w:val="28"/>
        </w:rPr>
        <w:t>Los resultados de esta evaluación permitieron identificar los siguientes aspectos:</w:t>
      </w:r>
      <w:r>
        <w:rPr>
          <w:rFonts w:ascii="Arial" w:hAnsi="Arial" w:cs="Arial"/>
          <w:sz w:val="24"/>
          <w:szCs w:val="28"/>
        </w:rPr>
        <w:t xml:space="preserve"> </w:t>
      </w:r>
    </w:p>
    <w:p w:rsidR="001C6FA0" w:rsidP="001C6FA0" w:rsidRDefault="001C6FA0" w14:paraId="0DFD0A89" w14:textId="77777777">
      <w:pPr>
        <w:rPr>
          <w:rFonts w:ascii="Arial" w:hAnsi="Arial" w:cs="Arial"/>
          <w:sz w:val="24"/>
          <w:szCs w:val="28"/>
        </w:rPr>
      </w:pPr>
    </w:p>
    <w:p w:rsidRPr="00CC11B2" w:rsidR="001C6FA0" w:rsidP="001C6FA0" w:rsidRDefault="001C6FA0" w14:paraId="3F89CFE9" w14:textId="77777777">
      <w:pPr>
        <w:pStyle w:val="Prrafodelista"/>
        <w:numPr>
          <w:ilvl w:val="0"/>
          <w:numId w:val="14"/>
        </w:numPr>
        <w:rPr>
          <w:rFonts w:ascii="Arial" w:hAnsi="Arial" w:cs="Arial"/>
          <w:b/>
          <w:bCs/>
          <w:sz w:val="24"/>
        </w:rPr>
      </w:pPr>
      <w:r w:rsidRPr="00CC11B2">
        <w:rPr>
          <w:rFonts w:ascii="Arial" w:hAnsi="Arial" w:cs="Arial"/>
          <w:b/>
          <w:bCs/>
          <w:sz w:val="24"/>
        </w:rPr>
        <w:t>Respecto de la confiabilidad</w:t>
      </w:r>
    </w:p>
    <w:p w:rsidR="001C6FA0" w:rsidP="001C6FA0" w:rsidRDefault="001C6FA0" w14:paraId="24F9E295" w14:textId="77777777">
      <w:pPr>
        <w:rPr>
          <w:rFonts w:ascii="Arial" w:hAnsi="Arial" w:cs="Arial"/>
          <w:sz w:val="24"/>
        </w:rPr>
      </w:pPr>
    </w:p>
    <w:p w:rsidRPr="005F441A" w:rsidR="001C6FA0" w:rsidP="001C6FA0" w:rsidRDefault="001C6FA0" w14:paraId="217625CE" w14:textId="77777777">
      <w:pPr>
        <w:ind w:left="360"/>
        <w:rPr>
          <w:rFonts w:ascii="Arial" w:hAnsi="Arial" w:cs="Arial"/>
          <w:sz w:val="24"/>
        </w:rPr>
      </w:pPr>
      <w:r w:rsidRPr="005F441A">
        <w:rPr>
          <w:rFonts w:ascii="Arial" w:hAnsi="Arial" w:cs="Arial"/>
          <w:sz w:val="24"/>
        </w:rPr>
        <w:t>El informe remitido a la C</w:t>
      </w:r>
      <w:r>
        <w:rPr>
          <w:rFonts w:ascii="Arial" w:hAnsi="Arial" w:cs="Arial"/>
          <w:sz w:val="24"/>
        </w:rPr>
        <w:t xml:space="preserve">ontraloría </w:t>
      </w:r>
      <w:r w:rsidRPr="005F441A">
        <w:rPr>
          <w:rFonts w:ascii="Arial" w:hAnsi="Arial" w:cs="Arial"/>
          <w:sz w:val="24"/>
        </w:rPr>
        <w:t>G</w:t>
      </w:r>
      <w:r>
        <w:rPr>
          <w:rFonts w:ascii="Arial" w:hAnsi="Arial" w:cs="Arial"/>
          <w:sz w:val="24"/>
        </w:rPr>
        <w:t xml:space="preserve">eneral de la </w:t>
      </w:r>
      <w:r w:rsidRPr="005F441A">
        <w:rPr>
          <w:rFonts w:ascii="Arial" w:hAnsi="Arial" w:cs="Arial"/>
          <w:sz w:val="24"/>
        </w:rPr>
        <w:t>R</w:t>
      </w:r>
      <w:r>
        <w:rPr>
          <w:rFonts w:ascii="Arial" w:hAnsi="Arial" w:cs="Arial"/>
          <w:sz w:val="24"/>
        </w:rPr>
        <w:t>epública</w:t>
      </w:r>
      <w:r w:rsidRPr="005F441A">
        <w:rPr>
          <w:rFonts w:ascii="Arial" w:hAnsi="Arial" w:cs="Arial"/>
          <w:sz w:val="24"/>
        </w:rPr>
        <w:t xml:space="preserve"> es congruente con el informe conocido por la Junta Directiva. La información incluida en el informe está relacionada con metas crucialmente importantes (MCI), anteproyectos, proyectos nuevos</w:t>
      </w:r>
      <w:r>
        <w:rPr>
          <w:rFonts w:ascii="Arial" w:hAnsi="Arial" w:cs="Arial"/>
          <w:sz w:val="24"/>
        </w:rPr>
        <w:t xml:space="preserve"> y </w:t>
      </w:r>
      <w:r w:rsidRPr="005F441A">
        <w:rPr>
          <w:rFonts w:ascii="Arial" w:hAnsi="Arial" w:cs="Arial"/>
          <w:sz w:val="24"/>
        </w:rPr>
        <w:t xml:space="preserve">proyectos que continúan; todo esto es consistente con las plantillas proporcionadas y aprobadas por los directores de división y de departamento que se conservan en la intranet institucional. </w:t>
      </w:r>
    </w:p>
    <w:p w:rsidR="001C6FA0" w:rsidP="001C6FA0" w:rsidRDefault="001C6FA0" w14:paraId="4C9501BD" w14:textId="77777777">
      <w:pPr>
        <w:ind w:left="360"/>
        <w:rPr>
          <w:rFonts w:ascii="Arial" w:hAnsi="Arial" w:cs="Arial"/>
          <w:sz w:val="24"/>
        </w:rPr>
      </w:pPr>
    </w:p>
    <w:p w:rsidRPr="0007036C" w:rsidR="001C6FA0" w:rsidP="001C6FA0" w:rsidRDefault="001C6FA0" w14:paraId="0B708874" w14:textId="77777777">
      <w:pPr>
        <w:ind w:left="360"/>
        <w:rPr>
          <w:rFonts w:ascii="Arial" w:hAnsi="Arial" w:cs="Arial"/>
          <w:bCs/>
          <w:sz w:val="24"/>
        </w:rPr>
      </w:pPr>
      <w:r w:rsidRPr="0007036C">
        <w:rPr>
          <w:rFonts w:ascii="Arial" w:hAnsi="Arial" w:cs="Arial"/>
          <w:bCs/>
          <w:sz w:val="24"/>
        </w:rPr>
        <w:t>Se comprobó la aprobación por parte de la Junta Directiva de los parámetros definidos para la formulación del presupuesto 2025</w:t>
      </w:r>
      <w:r>
        <w:rPr>
          <w:rStyle w:val="Refdenotaalpie"/>
          <w:rFonts w:ascii="Arial" w:hAnsi="Arial" w:cs="Arial"/>
          <w:bCs/>
          <w:sz w:val="24"/>
        </w:rPr>
        <w:footnoteReference w:id="3"/>
      </w:r>
      <w:r w:rsidRPr="0007036C">
        <w:rPr>
          <w:rFonts w:ascii="Arial" w:hAnsi="Arial" w:cs="Arial"/>
          <w:bCs/>
          <w:sz w:val="24"/>
        </w:rPr>
        <w:t>. Durante el proceso de formulación, el cumplimiento de los citados parámetros fue revisado y ajustado, a partir de las justificaciones pertinentes en los casos requeridos, para presentar al final del proceso el proyecto de presupuesto que la Junta Directiva aprobó.</w:t>
      </w:r>
    </w:p>
    <w:p w:rsidRPr="002B1B08" w:rsidR="001C6FA0" w:rsidP="001C6FA0" w:rsidRDefault="001C6FA0" w14:paraId="772F86FB" w14:textId="77777777">
      <w:pPr>
        <w:ind w:left="360"/>
        <w:rPr>
          <w:rFonts w:ascii="Arial" w:hAnsi="Arial" w:cs="Arial"/>
          <w:sz w:val="24"/>
        </w:rPr>
      </w:pPr>
    </w:p>
    <w:p w:rsidRPr="0007036C" w:rsidR="001C6FA0" w:rsidP="001C6FA0" w:rsidRDefault="001C6FA0" w14:paraId="755A37E7" w14:textId="77777777">
      <w:pPr>
        <w:ind w:left="360"/>
        <w:rPr>
          <w:rFonts w:ascii="Arial" w:hAnsi="Arial" w:cs="Arial"/>
          <w:bCs/>
          <w:sz w:val="24"/>
        </w:rPr>
      </w:pPr>
      <w:r w:rsidRPr="0007036C">
        <w:rPr>
          <w:rFonts w:ascii="Arial" w:hAnsi="Arial" w:cs="Arial"/>
          <w:bCs/>
          <w:sz w:val="24"/>
        </w:rPr>
        <w:t>Se verificó que las áreas generadoras de ingresos y gastos financieros y operativos justificaron las estimaciones pertinentes, las cuales fueron registradas en la herramienta de Formulación en el SAC.</w:t>
      </w:r>
      <w:r>
        <w:rPr>
          <w:rFonts w:ascii="Arial" w:hAnsi="Arial" w:cs="Arial"/>
          <w:bCs/>
          <w:sz w:val="24"/>
        </w:rPr>
        <w:t xml:space="preserve"> </w:t>
      </w:r>
    </w:p>
    <w:p w:rsidRPr="00A85E4D" w:rsidR="001C6FA0" w:rsidP="001C6FA0" w:rsidRDefault="001C6FA0" w14:paraId="211F8857" w14:textId="77777777">
      <w:pPr>
        <w:pStyle w:val="Prrafodelista"/>
        <w:ind w:left="643"/>
        <w:contextualSpacing w:val="0"/>
        <w:rPr>
          <w:rFonts w:ascii="Arial" w:hAnsi="Arial" w:cs="Arial"/>
          <w:bCs/>
          <w:sz w:val="24"/>
        </w:rPr>
      </w:pPr>
    </w:p>
    <w:p w:rsidRPr="009E05B0" w:rsidR="001C6FA0" w:rsidP="001C6FA0" w:rsidRDefault="001C6FA0" w14:paraId="51BE28FA" w14:textId="77777777">
      <w:pPr>
        <w:ind w:left="360"/>
        <w:rPr>
          <w:rFonts w:ascii="Arial" w:hAnsi="Arial" w:cs="Arial"/>
          <w:bCs/>
          <w:sz w:val="24"/>
        </w:rPr>
      </w:pPr>
      <w:r w:rsidRPr="0007036C">
        <w:rPr>
          <w:rFonts w:ascii="Arial" w:hAnsi="Arial" w:cs="Arial"/>
          <w:bCs/>
          <w:sz w:val="24"/>
        </w:rPr>
        <w:t>Se comprobó la integridad de los datos del presupuesto formulado</w:t>
      </w:r>
      <w:r w:rsidRPr="00A85E6D">
        <w:rPr>
          <w:rStyle w:val="Refdenotaalpie"/>
          <w:rFonts w:ascii="Arial" w:hAnsi="Arial" w:cs="Arial"/>
          <w:bCs/>
          <w:sz w:val="24"/>
        </w:rPr>
        <w:footnoteReference w:id="4"/>
      </w:r>
      <w:r w:rsidRPr="0007036C">
        <w:rPr>
          <w:rFonts w:ascii="Arial" w:hAnsi="Arial" w:cs="Arial"/>
          <w:bCs/>
          <w:sz w:val="24"/>
        </w:rPr>
        <w:t xml:space="preserve"> para el 2025, según la información registrada en la herramienta de Formulación en el SAC</w:t>
      </w:r>
      <w:r w:rsidRPr="0007036C">
        <w:rPr>
          <w:rFonts w:ascii="Arial" w:hAnsi="Arial" w:cs="Arial"/>
          <w:sz w:val="24"/>
        </w:rPr>
        <w:t>; s</w:t>
      </w:r>
      <w:r w:rsidRPr="0007036C">
        <w:rPr>
          <w:rFonts w:ascii="Arial" w:hAnsi="Arial" w:cs="Arial"/>
          <w:bCs/>
          <w:sz w:val="24"/>
        </w:rPr>
        <w:t>e constató la exactitud de los datos de la formulación presupuestaria 2025 por programa, grupo de partidas presupuestarias y total general, así como la exactitud del monto planificado mensualmente (enero a diciembre), con respecto al total del presupuesto por partidas</w:t>
      </w:r>
      <w:r>
        <w:rPr>
          <w:rStyle w:val="Refdenotaalpie"/>
          <w:rFonts w:ascii="Arial" w:hAnsi="Arial" w:cs="Arial"/>
          <w:bCs/>
          <w:sz w:val="24"/>
        </w:rPr>
        <w:footnoteReference w:id="5"/>
      </w:r>
      <w:r w:rsidRPr="0007036C">
        <w:rPr>
          <w:rFonts w:ascii="Arial" w:hAnsi="Arial" w:cs="Arial"/>
          <w:bCs/>
          <w:sz w:val="24"/>
        </w:rPr>
        <w:t>.</w:t>
      </w:r>
    </w:p>
    <w:p w:rsidR="001C6FA0" w:rsidP="001C6FA0" w:rsidRDefault="001C6FA0" w14:paraId="0736E194" w14:textId="77777777">
      <w:pPr>
        <w:rPr>
          <w:rFonts w:ascii="Arial" w:hAnsi="Arial" w:cs="Arial"/>
          <w:sz w:val="24"/>
        </w:rPr>
      </w:pPr>
    </w:p>
    <w:p w:rsidRPr="002E15D6" w:rsidR="001C6FA0" w:rsidP="001C6FA0" w:rsidRDefault="001C6FA0" w14:paraId="5F78ADAD" w14:textId="77777777">
      <w:pPr>
        <w:pStyle w:val="Prrafodelista"/>
        <w:numPr>
          <w:ilvl w:val="0"/>
          <w:numId w:val="14"/>
        </w:numPr>
        <w:rPr>
          <w:rFonts w:ascii="Arial" w:hAnsi="Arial" w:cs="Arial"/>
          <w:b/>
          <w:bCs/>
          <w:sz w:val="24"/>
        </w:rPr>
      </w:pPr>
      <w:r w:rsidRPr="002E15D6">
        <w:rPr>
          <w:rFonts w:ascii="Arial" w:hAnsi="Arial" w:cs="Arial"/>
          <w:b/>
          <w:bCs/>
          <w:sz w:val="24"/>
        </w:rPr>
        <w:t xml:space="preserve">Respecto de la </w:t>
      </w:r>
      <w:r>
        <w:rPr>
          <w:rFonts w:ascii="Arial" w:hAnsi="Arial" w:cs="Arial"/>
          <w:b/>
          <w:bCs/>
          <w:sz w:val="24"/>
        </w:rPr>
        <w:t>utilidad</w:t>
      </w:r>
    </w:p>
    <w:p w:rsidR="001C6FA0" w:rsidP="001C6FA0" w:rsidRDefault="001C6FA0" w14:paraId="33ABA78E" w14:textId="77777777">
      <w:pPr>
        <w:rPr>
          <w:rFonts w:ascii="Arial" w:hAnsi="Arial" w:cs="Arial"/>
          <w:sz w:val="24"/>
        </w:rPr>
      </w:pPr>
    </w:p>
    <w:p w:rsidR="001C6FA0" w:rsidP="001C6FA0" w:rsidRDefault="001C6FA0" w14:paraId="5B47C707" w14:textId="77777777">
      <w:pPr>
        <w:ind w:left="360"/>
        <w:rPr>
          <w:rFonts w:ascii="Arial" w:hAnsi="Arial" w:cs="Arial"/>
          <w:sz w:val="24"/>
        </w:rPr>
      </w:pPr>
      <w:r w:rsidRPr="000332DF">
        <w:rPr>
          <w:rFonts w:ascii="Arial" w:hAnsi="Arial" w:cs="Arial"/>
          <w:sz w:val="24"/>
        </w:rPr>
        <w:t>El documento “Plan anual operativo y presupuesto 202</w:t>
      </w:r>
      <w:r>
        <w:rPr>
          <w:rFonts w:ascii="Arial" w:hAnsi="Arial" w:cs="Arial"/>
          <w:sz w:val="24"/>
        </w:rPr>
        <w:t>5</w:t>
      </w:r>
      <w:r w:rsidRPr="000332DF">
        <w:rPr>
          <w:rFonts w:ascii="Arial" w:hAnsi="Arial" w:cs="Arial"/>
          <w:sz w:val="24"/>
        </w:rPr>
        <w:t>” se elaboró sobre la base</w:t>
      </w:r>
      <w:r>
        <w:rPr>
          <w:rFonts w:ascii="Arial" w:hAnsi="Arial" w:cs="Arial"/>
          <w:sz w:val="24"/>
        </w:rPr>
        <w:t xml:space="preserve"> directa</w:t>
      </w:r>
      <w:r w:rsidRPr="000332DF">
        <w:rPr>
          <w:rFonts w:ascii="Arial" w:hAnsi="Arial" w:cs="Arial"/>
          <w:sz w:val="24"/>
        </w:rPr>
        <w:t xml:space="preserve"> del plan estratégico 202</w:t>
      </w:r>
      <w:r>
        <w:rPr>
          <w:rFonts w:ascii="Arial" w:hAnsi="Arial" w:cs="Arial"/>
          <w:sz w:val="24"/>
        </w:rPr>
        <w:t>5</w:t>
      </w:r>
      <w:r w:rsidRPr="000332DF">
        <w:rPr>
          <w:rFonts w:ascii="Arial" w:hAnsi="Arial" w:cs="Arial"/>
          <w:sz w:val="24"/>
        </w:rPr>
        <w:t>-203</w:t>
      </w:r>
      <w:r>
        <w:rPr>
          <w:rFonts w:ascii="Arial" w:hAnsi="Arial" w:cs="Arial"/>
          <w:sz w:val="24"/>
        </w:rPr>
        <w:t>0</w:t>
      </w:r>
      <w:r>
        <w:rPr>
          <w:rStyle w:val="Refdenotaalpie"/>
          <w:rFonts w:ascii="Arial" w:hAnsi="Arial" w:cs="Arial"/>
          <w:sz w:val="24"/>
        </w:rPr>
        <w:footnoteReference w:id="6"/>
      </w:r>
      <w:r w:rsidRPr="000332DF">
        <w:rPr>
          <w:rFonts w:ascii="Arial" w:hAnsi="Arial" w:cs="Arial"/>
          <w:sz w:val="24"/>
        </w:rPr>
        <w:t>,</w:t>
      </w:r>
      <w:r>
        <w:rPr>
          <w:rFonts w:ascii="Arial" w:hAnsi="Arial" w:cs="Arial"/>
          <w:sz w:val="24"/>
        </w:rPr>
        <w:t xml:space="preserve"> debido a que el 2025 inicia con nueva estrategia y, por ende, el plan táctico correspondiente a ese periodo está en proceso de construcción.</w:t>
      </w:r>
      <w:r w:rsidRPr="000332DF">
        <w:rPr>
          <w:rFonts w:ascii="Arial" w:hAnsi="Arial" w:cs="Arial"/>
          <w:sz w:val="24"/>
        </w:rPr>
        <w:t xml:space="preserve"> </w:t>
      </w:r>
    </w:p>
    <w:p w:rsidR="001C6FA0" w:rsidP="001C6FA0" w:rsidRDefault="001C6FA0" w14:paraId="6BAB4C94" w14:textId="77777777">
      <w:pPr>
        <w:ind w:left="360"/>
        <w:rPr>
          <w:rFonts w:ascii="Arial" w:hAnsi="Arial" w:cs="Arial"/>
          <w:sz w:val="24"/>
        </w:rPr>
      </w:pPr>
    </w:p>
    <w:p w:rsidRPr="000332DF" w:rsidR="001C6FA0" w:rsidP="001C6FA0" w:rsidRDefault="001C6FA0" w14:paraId="25A5BF54" w14:textId="77777777">
      <w:pPr>
        <w:ind w:left="360"/>
        <w:rPr>
          <w:rFonts w:ascii="Arial" w:hAnsi="Arial" w:cs="Arial"/>
          <w:sz w:val="24"/>
        </w:rPr>
      </w:pPr>
      <w:r>
        <w:rPr>
          <w:rFonts w:ascii="Arial" w:hAnsi="Arial" w:cs="Arial"/>
          <w:sz w:val="24"/>
        </w:rPr>
        <w:t xml:space="preserve">El </w:t>
      </w:r>
      <w:r w:rsidRPr="005101C8">
        <w:rPr>
          <w:rFonts w:ascii="Arial" w:hAnsi="Arial" w:cs="Arial"/>
          <w:sz w:val="24"/>
        </w:rPr>
        <w:t>plan estratégico 2025-2030</w:t>
      </w:r>
      <w:r w:rsidRPr="000332DF">
        <w:rPr>
          <w:rFonts w:ascii="Arial" w:hAnsi="Arial" w:cs="Arial"/>
          <w:sz w:val="24"/>
        </w:rPr>
        <w:t xml:space="preserve"> constituye la hoja de ruta por cada eje estratégico que fue analizado por las divisiones, del cual se derivan las metas</w:t>
      </w:r>
      <w:r>
        <w:rPr>
          <w:rFonts w:ascii="Arial" w:hAnsi="Arial" w:cs="Arial"/>
          <w:sz w:val="24"/>
        </w:rPr>
        <w:t xml:space="preserve"> crucialmente importantes </w:t>
      </w:r>
      <w:r w:rsidRPr="000332DF">
        <w:rPr>
          <w:rFonts w:ascii="Arial" w:hAnsi="Arial" w:cs="Arial"/>
          <w:sz w:val="24"/>
        </w:rPr>
        <w:t>referenciad</w:t>
      </w:r>
      <w:r>
        <w:rPr>
          <w:rFonts w:ascii="Arial" w:hAnsi="Arial" w:cs="Arial"/>
          <w:sz w:val="24"/>
        </w:rPr>
        <w:t>as</w:t>
      </w:r>
      <w:r w:rsidRPr="000332DF">
        <w:rPr>
          <w:rFonts w:ascii="Arial" w:hAnsi="Arial" w:cs="Arial"/>
          <w:sz w:val="24"/>
        </w:rPr>
        <w:t xml:space="preserve"> en el plan. </w:t>
      </w:r>
    </w:p>
    <w:p w:rsidRPr="000332DF" w:rsidR="001C6FA0" w:rsidP="001C6FA0" w:rsidRDefault="001C6FA0" w14:paraId="62A9D334" w14:textId="77777777">
      <w:pPr>
        <w:ind w:left="360"/>
        <w:rPr>
          <w:rFonts w:ascii="Arial" w:hAnsi="Arial" w:cs="Arial"/>
          <w:sz w:val="24"/>
        </w:rPr>
      </w:pPr>
    </w:p>
    <w:p w:rsidR="001C6FA0" w:rsidP="001C6FA0" w:rsidRDefault="001C6FA0" w14:paraId="28185BFE" w14:textId="77777777">
      <w:pPr>
        <w:ind w:left="360"/>
        <w:rPr>
          <w:rFonts w:ascii="Arial" w:hAnsi="Arial" w:cs="Arial"/>
          <w:sz w:val="24"/>
        </w:rPr>
      </w:pPr>
      <w:r w:rsidRPr="000332DF">
        <w:rPr>
          <w:rFonts w:ascii="Arial" w:hAnsi="Arial" w:cs="Arial"/>
          <w:sz w:val="24"/>
        </w:rPr>
        <w:t>El PAO integra la definición de las metas crucialmente importantes para todas las divisiones del BCCR, así como los criterios de eficiencia, eficacia (en la definición de indicadores de seguimiento al plan), economía y calidad, medidas correctivas y mejora continua y un seguimiento de las fechas bloque para entrega de productos.</w:t>
      </w:r>
      <w:r>
        <w:rPr>
          <w:rFonts w:ascii="Arial" w:hAnsi="Arial" w:cs="Arial"/>
          <w:sz w:val="24"/>
        </w:rPr>
        <w:t xml:space="preserve"> </w:t>
      </w:r>
    </w:p>
    <w:p w:rsidR="001C6FA0" w:rsidP="001C6FA0" w:rsidRDefault="001C6FA0" w14:paraId="498DDA8B" w14:textId="77777777">
      <w:pPr>
        <w:ind w:left="360"/>
        <w:rPr>
          <w:rFonts w:ascii="Arial" w:hAnsi="Arial" w:cs="Arial"/>
          <w:sz w:val="24"/>
        </w:rPr>
      </w:pPr>
    </w:p>
    <w:p w:rsidR="001C6FA0" w:rsidP="001C6FA0" w:rsidRDefault="001C6FA0" w14:paraId="6205D3F8" w14:textId="77777777">
      <w:pPr>
        <w:ind w:left="360"/>
        <w:rPr>
          <w:rFonts w:ascii="Arial" w:hAnsi="Arial" w:cs="Arial"/>
          <w:bCs/>
          <w:sz w:val="24"/>
        </w:rPr>
      </w:pPr>
      <w:r w:rsidRPr="0007036C">
        <w:rPr>
          <w:rFonts w:ascii="Arial" w:hAnsi="Arial" w:cs="Arial"/>
          <w:bCs/>
          <w:sz w:val="24"/>
        </w:rPr>
        <w:t>El BCCR implementó una nueva estructura programática a partir del presupuesto 2023, la cual se mantiene vigente en la formulación del 2025. El análisis del presupuesto formulado para el 2025</w:t>
      </w:r>
      <w:r>
        <w:rPr>
          <w:rFonts w:ascii="Arial" w:hAnsi="Arial" w:cs="Arial"/>
          <w:bCs/>
          <w:sz w:val="24"/>
        </w:rPr>
        <w:t>,</w:t>
      </w:r>
      <w:r w:rsidRPr="0007036C">
        <w:rPr>
          <w:rFonts w:ascii="Arial" w:hAnsi="Arial" w:cs="Arial"/>
          <w:bCs/>
          <w:sz w:val="24"/>
        </w:rPr>
        <w:t xml:space="preserve"> con respecto al presupuesto del 2024, a nivel de los programas, grupos y partidas presupuestarias, permitió confirmar un decrecimiento global del 6,6% (el rubro de intereses y comisiones es el más significativo en los egresos), justificado por factores relacionados con la deuda de corto, mediano y largo plazo; por su parte, el rubro de materiales y suministros mostró un incremento de 97,2%. A nivel de ingresos se evidenció un incremento del 34% en recursos de emisión, producto de menores ingresos corrientes y de capital.</w:t>
      </w:r>
    </w:p>
    <w:p w:rsidRPr="0007036C" w:rsidR="001C6FA0" w:rsidP="001C6FA0" w:rsidRDefault="001C6FA0" w14:paraId="6E7C6A9F" w14:textId="77777777">
      <w:pPr>
        <w:ind w:left="360"/>
        <w:rPr>
          <w:rFonts w:ascii="Arial" w:hAnsi="Arial" w:cs="Arial"/>
          <w:bCs/>
          <w:sz w:val="24"/>
        </w:rPr>
      </w:pPr>
    </w:p>
    <w:p w:rsidRPr="0069368B" w:rsidR="001C6FA0" w:rsidP="001C6FA0" w:rsidRDefault="001C6FA0" w14:paraId="14A1CA41" w14:textId="77777777">
      <w:pPr>
        <w:pStyle w:val="Prrafodelista"/>
        <w:ind w:left="643"/>
        <w:contextualSpacing w:val="0"/>
        <w:rPr>
          <w:rFonts w:ascii="Arial" w:hAnsi="Arial" w:cs="Arial"/>
          <w:bCs/>
          <w:sz w:val="24"/>
        </w:rPr>
      </w:pPr>
    </w:p>
    <w:p w:rsidRPr="0007036C" w:rsidR="001C6FA0" w:rsidP="001C6FA0" w:rsidRDefault="001C6FA0" w14:paraId="1DD8EE71" w14:textId="77777777">
      <w:pPr>
        <w:ind w:left="360"/>
        <w:rPr>
          <w:rFonts w:ascii="Arial" w:hAnsi="Arial" w:cs="Arial"/>
          <w:bCs/>
          <w:sz w:val="24"/>
        </w:rPr>
      </w:pPr>
      <w:r w:rsidRPr="0007036C">
        <w:rPr>
          <w:rFonts w:ascii="Arial" w:hAnsi="Arial" w:cs="Arial"/>
          <w:bCs/>
          <w:sz w:val="24"/>
        </w:rPr>
        <w:lastRenderedPageBreak/>
        <w:t>Se verificó la aprobación del presupuesto 2025 del Departamento Fondo de Garantías de Depósito (FGD) por parte de la Junta Directiva</w:t>
      </w:r>
      <w:r w:rsidRPr="000F6EE2">
        <w:rPr>
          <w:rStyle w:val="Refdenotaalpie"/>
          <w:rFonts w:ascii="Arial" w:hAnsi="Arial" w:cs="Arial"/>
          <w:bCs/>
          <w:sz w:val="24"/>
        </w:rPr>
        <w:footnoteReference w:id="7"/>
      </w:r>
      <w:r w:rsidRPr="0007036C">
        <w:rPr>
          <w:rFonts w:ascii="Arial" w:hAnsi="Arial" w:cs="Arial"/>
          <w:bCs/>
          <w:sz w:val="24"/>
        </w:rPr>
        <w:t>, en cumplimiento de los requerimientos planteados al respecto por la Contraloría General de la República</w:t>
      </w:r>
      <w:r w:rsidRPr="000F6EE2">
        <w:rPr>
          <w:rStyle w:val="Refdenotaalpie"/>
          <w:rFonts w:ascii="Arial" w:hAnsi="Arial" w:cs="Arial"/>
          <w:bCs/>
          <w:sz w:val="24"/>
        </w:rPr>
        <w:footnoteReference w:id="8"/>
      </w:r>
      <w:r w:rsidRPr="0007036C">
        <w:rPr>
          <w:rFonts w:ascii="Arial" w:hAnsi="Arial" w:cs="Arial"/>
          <w:bCs/>
          <w:sz w:val="24"/>
        </w:rPr>
        <w:t>; el FGD está comprendido en el Programa 2 “Seguridad del Sistema Financiero</w:t>
      </w:r>
      <w:r w:rsidRPr="0007036C">
        <w:rPr>
          <w:rFonts w:ascii="Arial" w:hAnsi="Arial" w:cs="Arial"/>
          <w:bCs/>
          <w:sz w:val="28"/>
          <w:szCs w:val="28"/>
        </w:rPr>
        <w:t xml:space="preserve">”. </w:t>
      </w:r>
      <w:bookmarkStart w:name="_Hlk148083237" w:id="0"/>
      <w:r w:rsidRPr="0007036C">
        <w:rPr>
          <w:rFonts w:ascii="Arial" w:hAnsi="Arial" w:cs="Arial"/>
          <w:bCs/>
          <w:sz w:val="24"/>
        </w:rPr>
        <w:t>Se observó que el rubro de remuneraciones no mostró incremento con respecto al formulado y aprobado para el 2024</w:t>
      </w:r>
      <w:r>
        <w:rPr>
          <w:rFonts w:ascii="Arial" w:hAnsi="Arial" w:cs="Arial"/>
          <w:bCs/>
          <w:sz w:val="24"/>
        </w:rPr>
        <w:t>;</w:t>
      </w:r>
      <w:r w:rsidRPr="0007036C">
        <w:rPr>
          <w:rFonts w:ascii="Arial" w:hAnsi="Arial" w:cs="Arial"/>
          <w:bCs/>
          <w:sz w:val="24"/>
        </w:rPr>
        <w:t xml:space="preserve"> además, en forma global se observó un crecimiento neto de 3,6%, efecto que se concentra en las partidas de servicios y transferencias corrientes.</w:t>
      </w:r>
      <w:bookmarkEnd w:id="0"/>
    </w:p>
    <w:p w:rsidRPr="001262A5" w:rsidR="001C6FA0" w:rsidP="001C6FA0" w:rsidRDefault="001C6FA0" w14:paraId="26401BD3" w14:textId="77777777">
      <w:pPr>
        <w:pStyle w:val="Prrafodelista"/>
        <w:ind w:left="360"/>
        <w:rPr>
          <w:rFonts w:ascii="Arial" w:hAnsi="Arial" w:cs="Arial"/>
          <w:bCs/>
          <w:sz w:val="24"/>
        </w:rPr>
      </w:pPr>
    </w:p>
    <w:p w:rsidRPr="0007036C" w:rsidR="001C6FA0" w:rsidP="001C6FA0" w:rsidRDefault="001C6FA0" w14:paraId="04783F07" w14:textId="77777777">
      <w:pPr>
        <w:ind w:left="360"/>
        <w:rPr>
          <w:rFonts w:ascii="Arial" w:hAnsi="Arial" w:cs="Arial"/>
          <w:bCs/>
          <w:sz w:val="24"/>
        </w:rPr>
      </w:pPr>
      <w:r w:rsidRPr="0007036C">
        <w:rPr>
          <w:rFonts w:ascii="Arial" w:hAnsi="Arial" w:cs="Arial"/>
          <w:bCs/>
          <w:sz w:val="24"/>
        </w:rPr>
        <w:t>Se verificó la aprobación, por parte de la Junta Directiva</w:t>
      </w:r>
      <w:r w:rsidRPr="007D789D">
        <w:rPr>
          <w:rStyle w:val="Refdenotaalpie"/>
          <w:rFonts w:ascii="Arial" w:hAnsi="Arial" w:cs="Arial"/>
          <w:bCs/>
          <w:sz w:val="24"/>
        </w:rPr>
        <w:footnoteReference w:id="9"/>
      </w:r>
      <w:r w:rsidRPr="0007036C">
        <w:rPr>
          <w:rFonts w:ascii="Arial" w:hAnsi="Arial" w:cs="Arial"/>
          <w:bCs/>
          <w:sz w:val="24"/>
        </w:rPr>
        <w:t>, del presupuesto 2025</w:t>
      </w:r>
      <w:r>
        <w:rPr>
          <w:rStyle w:val="Refdenotaalpie"/>
          <w:rFonts w:ascii="Arial" w:hAnsi="Arial" w:cs="Arial"/>
          <w:bCs/>
          <w:sz w:val="24"/>
        </w:rPr>
        <w:footnoteReference w:id="10"/>
      </w:r>
      <w:r w:rsidRPr="0007036C">
        <w:rPr>
          <w:rFonts w:ascii="Arial" w:hAnsi="Arial" w:cs="Arial"/>
          <w:bCs/>
          <w:sz w:val="24"/>
        </w:rPr>
        <w:t xml:space="preserve"> de la Fundación de Museos del Banco Central</w:t>
      </w:r>
      <w:r w:rsidRPr="007D789D">
        <w:rPr>
          <w:rStyle w:val="Refdenotaalpie"/>
          <w:rFonts w:ascii="Arial" w:hAnsi="Arial" w:cs="Arial"/>
          <w:bCs/>
          <w:sz w:val="24"/>
        </w:rPr>
        <w:footnoteReference w:id="11"/>
      </w:r>
      <w:r w:rsidRPr="0007036C">
        <w:rPr>
          <w:rFonts w:ascii="Arial" w:hAnsi="Arial" w:cs="Arial"/>
          <w:bCs/>
          <w:sz w:val="24"/>
        </w:rPr>
        <w:t>, el cual se registra en la partida de Transferencias corrientes a fundaciones</w:t>
      </w:r>
      <w:r>
        <w:rPr>
          <w:rStyle w:val="Refdenotaalpie"/>
          <w:rFonts w:ascii="Arial" w:hAnsi="Arial" w:cs="Arial"/>
          <w:bCs/>
          <w:sz w:val="24"/>
        </w:rPr>
        <w:footnoteReference w:id="12"/>
      </w:r>
      <w:r w:rsidRPr="0007036C">
        <w:rPr>
          <w:rFonts w:ascii="Arial" w:hAnsi="Arial" w:cs="Arial"/>
          <w:bCs/>
          <w:sz w:val="24"/>
        </w:rPr>
        <w:t>.</w:t>
      </w:r>
    </w:p>
    <w:p w:rsidR="001C6FA0" w:rsidP="001C6FA0" w:rsidRDefault="001C6FA0" w14:paraId="1416AD10" w14:textId="77777777">
      <w:pPr>
        <w:rPr>
          <w:rFonts w:ascii="Arial" w:hAnsi="Arial" w:cs="Arial"/>
          <w:sz w:val="24"/>
        </w:rPr>
      </w:pPr>
    </w:p>
    <w:p w:rsidRPr="00FC7B6A" w:rsidR="001C6FA0" w:rsidP="001C6FA0" w:rsidRDefault="001C6FA0" w14:paraId="448BAA26" w14:textId="77777777">
      <w:pPr>
        <w:pStyle w:val="Prrafodelista"/>
        <w:numPr>
          <w:ilvl w:val="0"/>
          <w:numId w:val="14"/>
        </w:numPr>
        <w:rPr>
          <w:rFonts w:ascii="Arial" w:hAnsi="Arial" w:cs="Arial"/>
          <w:b/>
          <w:bCs/>
          <w:sz w:val="24"/>
        </w:rPr>
      </w:pPr>
      <w:r w:rsidRPr="00FC7B6A">
        <w:rPr>
          <w:rFonts w:ascii="Arial" w:hAnsi="Arial" w:cs="Arial"/>
          <w:b/>
          <w:bCs/>
          <w:sz w:val="24"/>
        </w:rPr>
        <w:t xml:space="preserve">Respecto de la </w:t>
      </w:r>
      <w:r>
        <w:rPr>
          <w:rFonts w:ascii="Arial" w:hAnsi="Arial" w:cs="Arial"/>
          <w:b/>
          <w:bCs/>
          <w:sz w:val="24"/>
        </w:rPr>
        <w:t>oportunidad</w:t>
      </w:r>
    </w:p>
    <w:p w:rsidR="001C6FA0" w:rsidP="001C6FA0" w:rsidRDefault="001C6FA0" w14:paraId="3D0B4DDE" w14:textId="77777777">
      <w:pPr>
        <w:rPr>
          <w:rFonts w:ascii="Arial" w:hAnsi="Arial" w:cs="Arial"/>
          <w:sz w:val="24"/>
        </w:rPr>
      </w:pPr>
    </w:p>
    <w:p w:rsidR="001C6FA0" w:rsidP="001C6FA0" w:rsidRDefault="001C6FA0" w14:paraId="75B72439" w14:textId="77777777">
      <w:pPr>
        <w:ind w:left="360"/>
        <w:rPr>
          <w:rFonts w:ascii="Arial" w:hAnsi="Arial" w:cs="Arial"/>
          <w:sz w:val="24"/>
        </w:rPr>
      </w:pPr>
      <w:r w:rsidRPr="00313EA6">
        <w:rPr>
          <w:rFonts w:ascii="Arial" w:hAnsi="Arial" w:cs="Arial"/>
          <w:sz w:val="24"/>
        </w:rPr>
        <w:t>La División Transformación y Estrategia recibió de las dependencias la información requerida, de acuerdo con las fechas de entrega establecidas en el cronograma de actividades, lo que permitió integrar el informe para remitir</w:t>
      </w:r>
      <w:r>
        <w:rPr>
          <w:rFonts w:ascii="Arial" w:hAnsi="Arial" w:cs="Arial"/>
          <w:sz w:val="24"/>
        </w:rPr>
        <w:t>lo</w:t>
      </w:r>
      <w:r w:rsidRPr="00313EA6">
        <w:rPr>
          <w:rFonts w:ascii="Arial" w:hAnsi="Arial" w:cs="Arial"/>
          <w:sz w:val="24"/>
        </w:rPr>
        <w:t xml:space="preserve"> a la Gerencia en la fecha prevista. El Plan </w:t>
      </w:r>
      <w:r>
        <w:rPr>
          <w:rFonts w:ascii="Arial" w:hAnsi="Arial" w:cs="Arial"/>
          <w:sz w:val="24"/>
        </w:rPr>
        <w:t xml:space="preserve">y su correspondiente presupuesto </w:t>
      </w:r>
      <w:r w:rsidRPr="00313EA6">
        <w:rPr>
          <w:rFonts w:ascii="Arial" w:hAnsi="Arial" w:cs="Arial"/>
          <w:sz w:val="24"/>
        </w:rPr>
        <w:t>fue</w:t>
      </w:r>
      <w:r>
        <w:rPr>
          <w:rFonts w:ascii="Arial" w:hAnsi="Arial" w:cs="Arial"/>
          <w:sz w:val="24"/>
        </w:rPr>
        <w:t>ron</w:t>
      </w:r>
      <w:r w:rsidRPr="00313EA6">
        <w:rPr>
          <w:rFonts w:ascii="Arial" w:hAnsi="Arial" w:cs="Arial"/>
          <w:sz w:val="24"/>
        </w:rPr>
        <w:t xml:space="preserve"> aprobado</w:t>
      </w:r>
      <w:r>
        <w:rPr>
          <w:rFonts w:ascii="Arial" w:hAnsi="Arial" w:cs="Arial"/>
          <w:sz w:val="24"/>
        </w:rPr>
        <w:t>s</w:t>
      </w:r>
      <w:r w:rsidRPr="00313EA6">
        <w:rPr>
          <w:rFonts w:ascii="Arial" w:hAnsi="Arial" w:cs="Arial"/>
          <w:sz w:val="24"/>
        </w:rPr>
        <w:t xml:space="preserve"> por la Junta Directiva del Banco</w:t>
      </w:r>
      <w:r>
        <w:rPr>
          <w:rStyle w:val="Refdenotaalpie"/>
          <w:rFonts w:ascii="Arial" w:hAnsi="Arial" w:cs="Arial"/>
          <w:sz w:val="24"/>
        </w:rPr>
        <w:footnoteReference w:id="13"/>
      </w:r>
      <w:r w:rsidRPr="00313EA6">
        <w:rPr>
          <w:rFonts w:ascii="Arial" w:hAnsi="Arial" w:cs="Arial"/>
          <w:sz w:val="24"/>
        </w:rPr>
        <w:t xml:space="preserve"> y remitido</w:t>
      </w:r>
      <w:r>
        <w:rPr>
          <w:rFonts w:ascii="Arial" w:hAnsi="Arial" w:cs="Arial"/>
          <w:sz w:val="24"/>
        </w:rPr>
        <w:t>s</w:t>
      </w:r>
      <w:r w:rsidRPr="00313EA6">
        <w:rPr>
          <w:rFonts w:ascii="Arial" w:hAnsi="Arial" w:cs="Arial"/>
          <w:sz w:val="24"/>
        </w:rPr>
        <w:t xml:space="preserve"> oportunamente a la Contraloría General de la República</w:t>
      </w:r>
      <w:r>
        <w:rPr>
          <w:rStyle w:val="Refdenotaalpie"/>
          <w:rFonts w:ascii="Arial" w:hAnsi="Arial" w:cs="Arial"/>
          <w:sz w:val="24"/>
        </w:rPr>
        <w:footnoteReference w:id="14"/>
      </w:r>
      <w:r w:rsidRPr="00313EA6">
        <w:rPr>
          <w:rFonts w:ascii="Arial" w:hAnsi="Arial" w:cs="Arial"/>
          <w:sz w:val="24"/>
        </w:rPr>
        <w:t>. La aprobación por parte de la CGR se encuentra pendiente a la fecha de este informe</w:t>
      </w:r>
      <w:r>
        <w:rPr>
          <w:rFonts w:ascii="Arial" w:hAnsi="Arial" w:cs="Arial"/>
          <w:sz w:val="24"/>
        </w:rPr>
        <w:t>.</w:t>
      </w:r>
    </w:p>
    <w:p w:rsidR="001C6FA0" w:rsidP="001C6FA0" w:rsidRDefault="001C6FA0" w14:paraId="0DF5921A" w14:textId="77777777">
      <w:pPr>
        <w:pStyle w:val="NormalWeb"/>
        <w:spacing w:before="0" w:beforeAutospacing="0" w:after="0" w:afterAutospacing="0"/>
        <w:jc w:val="both"/>
        <w:rPr>
          <w:rFonts w:ascii="Arial" w:hAnsi="Arial" w:cs="Arial"/>
        </w:rPr>
      </w:pPr>
    </w:p>
    <w:p w:rsidRPr="00EB39A1" w:rsidR="001C6FA0" w:rsidP="001C6FA0" w:rsidRDefault="001C6FA0" w14:paraId="20F2986F" w14:textId="77777777">
      <w:pPr>
        <w:pStyle w:val="NormalWeb"/>
        <w:spacing w:before="0" w:beforeAutospacing="0" w:after="0" w:afterAutospacing="0"/>
        <w:jc w:val="both"/>
        <w:rPr>
          <w:rFonts w:ascii="Arial" w:hAnsi="Arial" w:cs="Arial"/>
        </w:rPr>
      </w:pPr>
      <w:r w:rsidRPr="003B6A4D">
        <w:rPr>
          <w:rFonts w:ascii="Arial" w:hAnsi="Arial" w:cs="Arial"/>
        </w:rPr>
        <w:t>La Auditoría Interna realizó la conferencia final de este informe con las División Transformación y Estrategia y con la Gerencia, como parte de la comunicación preliminar de los resultados.</w:t>
      </w:r>
    </w:p>
    <w:p w:rsidR="001C6FA0" w:rsidP="001C6FA0" w:rsidRDefault="001C6FA0" w14:paraId="1E1D8297" w14:textId="77777777">
      <w:pPr>
        <w:rPr>
          <w:rFonts w:ascii="Arial" w:hAnsi="Arial" w:cs="Arial"/>
          <w:sz w:val="24"/>
          <w:lang w:val="es-MX"/>
        </w:rPr>
      </w:pPr>
      <w:bookmarkStart w:name="R_043962_40718750" w:id="1"/>
      <w:bookmarkEnd w:id="1"/>
    </w:p>
    <w:p w:rsidRPr="006329ED" w:rsidR="001C6FA0" w:rsidP="001C6FA0" w:rsidRDefault="001C6FA0" w14:paraId="6D279BD1" w14:textId="281B8FF4">
      <w:pPr>
        <w:rPr>
          <w:rFonts w:ascii="Arial" w:hAnsi="Arial" w:cs="Arial"/>
          <w:sz w:val="24"/>
          <w:lang w:val="pt-BR"/>
        </w:rPr>
      </w:pPr>
      <w:r w:rsidRPr="006329ED">
        <w:rPr>
          <w:rFonts w:ascii="Arial" w:hAnsi="Arial" w:cs="Arial"/>
          <w:sz w:val="24"/>
          <w:lang w:val="pt-BR"/>
        </w:rPr>
        <w:t>Atentamente,</w:t>
      </w:r>
    </w:p>
    <w:p w:rsidR="001C6FA0" w:rsidP="001C6FA0" w:rsidRDefault="001C6FA0" w14:paraId="2BF4218A" w14:textId="6C1A2ED8">
      <w:pPr>
        <w:ind w:left="360"/>
        <w:rPr>
          <w:rFonts w:ascii="Arial" w:hAnsi="Arial" w:cs="Arial"/>
          <w:sz w:val="24"/>
          <w:lang w:val="pt-BR"/>
        </w:rPr>
      </w:pPr>
      <w:r w:rsidRPr="006329ED">
        <w:rPr>
          <w:rFonts w:ascii="Arial" w:hAnsi="Arial" w:cs="Arial"/>
          <w:noProof/>
          <w:sz w:val="24"/>
          <w:lang w:val="es-CR" w:eastAsia="es-CR"/>
        </w:rPr>
        <w:drawing>
          <wp:anchor distT="0" distB="0" distL="114300" distR="114300" simplePos="0" relativeHeight="251659264" behindDoc="1" locked="0" layoutInCell="1" allowOverlap="1" wp14:editId="263F0439" wp14:anchorId="14A442F9">
            <wp:simplePos x="0" y="0"/>
            <wp:positionH relativeFrom="column">
              <wp:posOffset>-175260</wp:posOffset>
            </wp:positionH>
            <wp:positionV relativeFrom="paragraph">
              <wp:posOffset>51435</wp:posOffset>
            </wp:positionV>
            <wp:extent cx="2506980" cy="388620"/>
            <wp:effectExtent l="0" t="0" r="0" b="0"/>
            <wp:wrapNone/>
            <wp:docPr id="1892882841" name="Imagen 189288284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82841" name="Imagen 1892882841" descr="Text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p>
    <w:p w:rsidRPr="006329ED" w:rsidR="001C6FA0" w:rsidP="001C6FA0" w:rsidRDefault="001C6FA0" w14:paraId="7CE28F7F" w14:textId="20E77FAF">
      <w:pPr>
        <w:ind w:left="360"/>
        <w:rPr>
          <w:rFonts w:ascii="Arial" w:hAnsi="Arial" w:cs="Arial"/>
          <w:sz w:val="24"/>
          <w:lang w:val="pt-BR"/>
        </w:rPr>
      </w:pPr>
    </w:p>
    <w:p w:rsidRPr="006329ED" w:rsidR="001C6FA0" w:rsidP="001C6FA0" w:rsidRDefault="001C6FA0" w14:paraId="1AA7F74C" w14:textId="4FB77BD4">
      <w:pPr>
        <w:tabs>
          <w:tab w:val="left" w:pos="1430"/>
        </w:tabs>
        <w:rPr>
          <w:rFonts w:ascii="Arial" w:hAnsi="Arial" w:cs="Arial"/>
          <w:sz w:val="24"/>
          <w:lang w:val="pt-BR"/>
        </w:rPr>
      </w:pPr>
      <w:r>
        <w:rPr>
          <w:rFonts w:ascii="Arial" w:hAnsi="Arial" w:cs="Arial"/>
          <w:sz w:val="24"/>
          <w:lang w:val="pt-BR"/>
        </w:rPr>
        <w:tab/>
      </w:r>
    </w:p>
    <w:p w:rsidRPr="006329ED" w:rsidR="001C6FA0" w:rsidP="001C6FA0" w:rsidRDefault="001C6FA0" w14:paraId="38C6D156" w14:textId="77777777">
      <w:pPr>
        <w:rPr>
          <w:rFonts w:ascii="Arial" w:hAnsi="Arial" w:cs="Arial"/>
          <w:sz w:val="24"/>
          <w:lang w:val="pt-BR"/>
        </w:rPr>
      </w:pPr>
      <w:r>
        <w:rPr>
          <w:rFonts w:ascii="Arial" w:hAnsi="Arial" w:cs="Arial"/>
          <w:sz w:val="24"/>
          <w:lang w:val="pt-BR"/>
        </w:rPr>
        <w:t>Maribel Lizano Barahona</w:t>
      </w:r>
    </w:p>
    <w:p w:rsidRPr="006329ED" w:rsidR="001C6FA0" w:rsidP="001C6FA0" w:rsidRDefault="001C6FA0" w14:paraId="3E59A8F5" w14:textId="77777777">
      <w:pPr>
        <w:rPr>
          <w:rFonts w:ascii="Arial" w:hAnsi="Arial" w:cs="Arial"/>
          <w:b/>
          <w:sz w:val="24"/>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rsidRPr="006329ED" w:rsidR="001C6FA0" w:rsidP="001C6FA0" w:rsidRDefault="001C6FA0" w14:paraId="10B39B3E" w14:textId="77777777">
      <w:pPr>
        <w:pStyle w:val="Negrita"/>
        <w:rPr>
          <w:rFonts w:ascii="Arial" w:hAnsi="Arial" w:cs="Arial"/>
          <w:lang w:val="pt-BR"/>
        </w:rPr>
      </w:pPr>
    </w:p>
    <w:p w:rsidRPr="002307FE" w:rsidR="00A26E9E" w:rsidP="001C6FA0" w:rsidRDefault="001C6FA0" w14:paraId="6FF8D4B3" w14:textId="6B57E881">
      <w:pPr>
        <w:pStyle w:val="CC"/>
      </w:pPr>
      <w:bookmarkStart w:name="_Hlk175152186" w:id="2"/>
      <w:r w:rsidRPr="001C6FA0">
        <w:t>C</w:t>
      </w:r>
      <w:r>
        <w:t>c</w:t>
      </w:r>
      <w:r w:rsidRPr="001C6FA0">
        <w:t>.</w:t>
      </w:r>
      <w:r w:rsidRPr="001C6FA0">
        <w:tab/>
        <w:t xml:space="preserve">División </w:t>
      </w:r>
      <w:bookmarkEnd w:id="2"/>
      <w:r w:rsidRPr="001C6FA0">
        <w:t>Transformación y Estrategia</w:t>
      </w:r>
    </w:p>
    <w:sectPr w:rsidRPr="002307FE" w:rsidR="00A26E9E" w:rsidSect="001C6FA0">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449" w:right="1412"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801AE" w14:textId="77777777" w:rsidR="001C6FA0" w:rsidRDefault="001C6FA0" w:rsidP="00D43D57">
      <w:r>
        <w:separator/>
      </w:r>
    </w:p>
  </w:endnote>
  <w:endnote w:type="continuationSeparator" w:id="0">
    <w:p w14:paraId="08E3143C" w14:textId="77777777" w:rsidR="001C6FA0" w:rsidRDefault="001C6FA0"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1C6FA0" w14:paraId="3F4BFCB4" w14:textId="7931290D">
    <w:pPr>
      <w:pStyle w:val="Piedepgina"/>
    </w:pPr>
    <w:r>
      <w:rPr>
        <w:noProof/>
      </w:rPr>
      <mc:AlternateContent>
        <mc:Choice Requires="wps">
          <w:drawing>
            <wp:anchor distT="0" distB="0" distL="0" distR="0" simplePos="0" relativeHeight="251698176" behindDoc="0" locked="0" layoutInCell="1" allowOverlap="1" wp14:editId="6349DB4D" wp14:anchorId="6E00C989">
              <wp:simplePos x="635" y="635"/>
              <wp:positionH relativeFrom="page">
                <wp:align>center</wp:align>
              </wp:positionH>
              <wp:positionV relativeFrom="page">
                <wp:align>bottom</wp:align>
              </wp:positionV>
              <wp:extent cx="609600" cy="345440"/>
              <wp:effectExtent l="0" t="0" r="0" b="0"/>
              <wp:wrapNone/>
              <wp:docPr id="1757807427"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1C6FA0" w:rsidR="001C6FA0" w:rsidP="001C6FA0" w:rsidRDefault="001C6FA0" w14:paraId="2E46BE10" w14:textId="6AF6256E">
                          <w:pPr>
                            <w:rPr>
                              <w:rFonts w:ascii="Calibri" w:hAnsi="Calibri" w:eastAsia="Calibri" w:cs="Calibri"/>
                              <w:noProof/>
                              <w:color w:val="000000"/>
                              <w:sz w:val="20"/>
                              <w:szCs w:val="20"/>
                            </w:rPr>
                          </w:pPr>
                          <w:r w:rsidRPr="001C6FA0">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00C989">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1C6FA0" w:rsidR="001C6FA0" w:rsidP="001C6FA0" w:rsidRDefault="001C6FA0" w14:paraId="2E46BE10" w14:textId="6AF6256E">
                    <w:pPr>
                      <w:rPr>
                        <w:rFonts w:ascii="Calibri" w:hAnsi="Calibri" w:eastAsia="Calibri" w:cs="Calibri"/>
                        <w:noProof/>
                        <w:color w:val="000000"/>
                        <w:sz w:val="20"/>
                        <w:szCs w:val="20"/>
                      </w:rPr>
                    </w:pPr>
                    <w:r w:rsidRPr="001C6FA0">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1C6FA0" w14:paraId="30AE3674" w14:textId="760EFD12">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7DCC9ED7" wp14:anchorId="380F9A8B">
              <wp:simplePos x="635" y="635"/>
              <wp:positionH relativeFrom="page">
                <wp:align>center</wp:align>
              </wp:positionH>
              <wp:positionV relativeFrom="page">
                <wp:align>bottom</wp:align>
              </wp:positionV>
              <wp:extent cx="609600" cy="345440"/>
              <wp:effectExtent l="0" t="0" r="0" b="0"/>
              <wp:wrapNone/>
              <wp:docPr id="1159100410"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1C6FA0" w:rsidR="001C6FA0" w:rsidP="001C6FA0" w:rsidRDefault="001C6FA0" w14:paraId="1F431CF6" w14:textId="6CBAC11D">
                          <w:pPr>
                            <w:rPr>
                              <w:rFonts w:ascii="Calibri" w:hAnsi="Calibri" w:eastAsia="Calibri" w:cs="Calibri"/>
                              <w:noProof/>
                              <w:color w:val="000000"/>
                              <w:sz w:val="20"/>
                              <w:szCs w:val="20"/>
                            </w:rPr>
                          </w:pPr>
                          <w:r w:rsidRPr="001C6FA0">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0F9A8B">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1C6FA0" w:rsidR="001C6FA0" w:rsidP="001C6FA0" w:rsidRDefault="001C6FA0" w14:paraId="1F431CF6" w14:textId="6CBAC11D">
                    <w:pPr>
                      <w:rPr>
                        <w:rFonts w:ascii="Calibri" w:hAnsi="Calibri" w:eastAsia="Calibri" w:cs="Calibri"/>
                        <w:noProof/>
                        <w:color w:val="000000"/>
                        <w:sz w:val="20"/>
                        <w:szCs w:val="20"/>
                      </w:rPr>
                    </w:pPr>
                    <w:r w:rsidRPr="001C6FA0">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2F82CB2F8DFF43F1A8A3AD4EC415E8CE"/>
        </w:placeholder>
        <w:text/>
      </w:sdtPr>
      <w:sdtEndPr/>
      <w:sdtContent>
        <w:r>
          <w:t>AI-0227-2024</w:t>
        </w:r>
      </w:sdtContent>
    </w:sdt>
  </w:p>
  <w:p w:rsidR="002307FE" w:rsidP="00FA54DF" w:rsidRDefault="002307FE" w14:paraId="266BC9F2"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102F1F89"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5ECB3CC2" wp14:anchorId="0B8A96E3">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0150040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5B7725B"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19AB09E5" w14:textId="77777777">
                          <w:pPr>
                            <w:rPr>
                              <w:color w:val="003A68"/>
                              <w:sz w:val="14"/>
                              <w:szCs w:val="14"/>
                            </w:rPr>
                          </w:pPr>
                          <w:r w:rsidRPr="00FA54DF">
                            <w:rPr>
                              <w:color w:val="003A68"/>
                              <w:sz w:val="14"/>
                              <w:szCs w:val="14"/>
                            </w:rPr>
                            <w:t>Apdo. 10058-1000</w:t>
                          </w:r>
                        </w:p>
                        <w:p w:rsidR="00D2424F" w:rsidP="00FA54DF" w:rsidRDefault="00D2424F" w14:paraId="51A7465F" w14:textId="77777777">
                          <w:pPr>
                            <w:rPr>
                              <w:color w:val="003A68"/>
                              <w:sz w:val="14"/>
                              <w:szCs w:val="14"/>
                            </w:rPr>
                          </w:pPr>
                          <w:r w:rsidRPr="00FA54DF">
                            <w:rPr>
                              <w:color w:val="003A68"/>
                              <w:sz w:val="14"/>
                              <w:szCs w:val="14"/>
                            </w:rPr>
                            <w:t>Av. 1 y Central, Calles 2 y 4</w:t>
                          </w:r>
                        </w:p>
                        <w:p w:rsidRPr="00FA54DF" w:rsidR="00D2424F" w:rsidP="00FA54DF" w:rsidRDefault="00D2424F" w14:paraId="19437C7C"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0B8A96E3">
              <v:textbox>
                <w:txbxContent>
                  <w:p w:rsidRPr="00FA54DF" w:rsidR="00D2424F" w:rsidP="00FA54DF" w:rsidRDefault="00D2424F" w14:paraId="0150040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5B7725B"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19AB09E5" w14:textId="77777777">
                    <w:pPr>
                      <w:rPr>
                        <w:color w:val="003A68"/>
                        <w:sz w:val="14"/>
                        <w:szCs w:val="14"/>
                      </w:rPr>
                    </w:pPr>
                    <w:r w:rsidRPr="00FA54DF">
                      <w:rPr>
                        <w:color w:val="003A68"/>
                        <w:sz w:val="14"/>
                        <w:szCs w:val="14"/>
                      </w:rPr>
                      <w:t>Apdo. 10058-1000</w:t>
                    </w:r>
                  </w:p>
                  <w:p w:rsidR="00D2424F" w:rsidP="00FA54DF" w:rsidRDefault="00D2424F" w14:paraId="51A7465F" w14:textId="77777777">
                    <w:pPr>
                      <w:rPr>
                        <w:color w:val="003A68"/>
                        <w:sz w:val="14"/>
                        <w:szCs w:val="14"/>
                      </w:rPr>
                    </w:pPr>
                    <w:r w:rsidRPr="00FA54DF">
                      <w:rPr>
                        <w:color w:val="003A68"/>
                        <w:sz w:val="14"/>
                        <w:szCs w:val="14"/>
                      </w:rPr>
                      <w:t>Av. 1 y Central, Calles 2 y 4</w:t>
                    </w:r>
                  </w:p>
                  <w:p w:rsidRPr="00FA54DF" w:rsidR="00D2424F" w:rsidP="00FA54DF" w:rsidRDefault="00D2424F" w14:paraId="19437C7C"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710B7825" wp14:anchorId="35E6C474">
          <wp:simplePos x="0" y="0"/>
          <wp:positionH relativeFrom="column">
            <wp:posOffset>4550781</wp:posOffset>
          </wp:positionH>
          <wp:positionV relativeFrom="paragraph">
            <wp:posOffset>-190500</wp:posOffset>
          </wp:positionV>
          <wp:extent cx="8890" cy="431165"/>
          <wp:effectExtent l="0" t="0" r="0" b="0"/>
          <wp:wrapNone/>
          <wp:docPr id="477975718" name="Imagen 47797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1C6FA0" w14:paraId="016CE825" w14:textId="037F8100">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2F08C7A7" wp14:anchorId="4D849053">
              <wp:simplePos x="1079500" y="9283700"/>
              <wp:positionH relativeFrom="page">
                <wp:align>center</wp:align>
              </wp:positionH>
              <wp:positionV relativeFrom="page">
                <wp:align>bottom</wp:align>
              </wp:positionV>
              <wp:extent cx="609600" cy="345440"/>
              <wp:effectExtent l="0" t="0" r="0" b="0"/>
              <wp:wrapNone/>
              <wp:docPr id="59611700"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1C6FA0" w:rsidR="001C6FA0" w:rsidP="001C6FA0" w:rsidRDefault="001C6FA0" w14:paraId="3098BDA7" w14:textId="6EB0896E">
                          <w:pPr>
                            <w:rPr>
                              <w:rFonts w:ascii="Calibri" w:hAnsi="Calibri" w:eastAsia="Calibri" w:cs="Calibri"/>
                              <w:noProof/>
                              <w:color w:val="000000"/>
                              <w:sz w:val="20"/>
                              <w:szCs w:val="20"/>
                            </w:rPr>
                          </w:pPr>
                          <w:r w:rsidRPr="001C6FA0">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D849053">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1C6FA0" w:rsidR="001C6FA0" w:rsidP="001C6FA0" w:rsidRDefault="001C6FA0" w14:paraId="3098BDA7" w14:textId="6EB0896E">
                    <w:pPr>
                      <w:rPr>
                        <w:rFonts w:ascii="Calibri" w:hAnsi="Calibri" w:eastAsia="Calibri" w:cs="Calibri"/>
                        <w:noProof/>
                        <w:color w:val="000000"/>
                        <w:sz w:val="20"/>
                        <w:szCs w:val="20"/>
                      </w:rPr>
                    </w:pPr>
                    <w:r w:rsidRPr="001C6FA0">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7D5A439C" wp14:anchorId="19A58133">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4AD27B05"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7C63C12"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AFB3C6E" w14:textId="77777777">
                          <w:pPr>
                            <w:rPr>
                              <w:color w:val="003A68"/>
                              <w:sz w:val="14"/>
                              <w:szCs w:val="14"/>
                            </w:rPr>
                          </w:pPr>
                          <w:r w:rsidRPr="00FA54DF">
                            <w:rPr>
                              <w:color w:val="003A68"/>
                              <w:sz w:val="14"/>
                              <w:szCs w:val="14"/>
                            </w:rPr>
                            <w:t>Apdo. 10058-1000</w:t>
                          </w:r>
                        </w:p>
                        <w:p w:rsidR="00B65442" w:rsidP="00B65442" w:rsidRDefault="00B65442" w14:paraId="734A2325" w14:textId="77777777">
                          <w:pPr>
                            <w:rPr>
                              <w:color w:val="003A68"/>
                              <w:sz w:val="14"/>
                              <w:szCs w:val="14"/>
                            </w:rPr>
                          </w:pPr>
                          <w:r w:rsidRPr="00FA54DF">
                            <w:rPr>
                              <w:color w:val="003A68"/>
                              <w:sz w:val="14"/>
                              <w:szCs w:val="14"/>
                            </w:rPr>
                            <w:t>Av. 1 y Central, Calles 2 y 4</w:t>
                          </w:r>
                        </w:p>
                        <w:p w:rsidRPr="00FA54DF" w:rsidR="00D2424F" w:rsidRDefault="00D2424F" w14:paraId="7E3344D0"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19A58133">
              <v:textbox>
                <w:txbxContent>
                  <w:p w:rsidRPr="00FA54DF" w:rsidR="00D2424F" w:rsidRDefault="00D2424F" w14:paraId="4AD27B05"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7C63C12"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AFB3C6E" w14:textId="77777777">
                    <w:pPr>
                      <w:rPr>
                        <w:color w:val="003A68"/>
                        <w:sz w:val="14"/>
                        <w:szCs w:val="14"/>
                      </w:rPr>
                    </w:pPr>
                    <w:r w:rsidRPr="00FA54DF">
                      <w:rPr>
                        <w:color w:val="003A68"/>
                        <w:sz w:val="14"/>
                        <w:szCs w:val="14"/>
                      </w:rPr>
                      <w:t>Apdo. 10058-1000</w:t>
                    </w:r>
                  </w:p>
                  <w:p w:rsidR="00B65442" w:rsidP="00B65442" w:rsidRDefault="00B65442" w14:paraId="734A2325" w14:textId="77777777">
                    <w:pPr>
                      <w:rPr>
                        <w:color w:val="003A68"/>
                        <w:sz w:val="14"/>
                        <w:szCs w:val="14"/>
                      </w:rPr>
                    </w:pPr>
                    <w:r w:rsidRPr="00FA54DF">
                      <w:rPr>
                        <w:color w:val="003A68"/>
                        <w:sz w:val="14"/>
                        <w:szCs w:val="14"/>
                      </w:rPr>
                      <w:t>Av. 1 y Central, Calles 2 y 4</w:t>
                    </w:r>
                  </w:p>
                  <w:p w:rsidRPr="00FA54DF" w:rsidR="00D2424F" w:rsidRDefault="00D2424F" w14:paraId="7E3344D0"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6B2B9069" wp14:anchorId="0AE0BFD2">
          <wp:simplePos x="0" y="0"/>
          <wp:positionH relativeFrom="column">
            <wp:posOffset>4553585</wp:posOffset>
          </wp:positionH>
          <wp:positionV relativeFrom="paragraph">
            <wp:posOffset>8687</wp:posOffset>
          </wp:positionV>
          <wp:extent cx="8890" cy="431165"/>
          <wp:effectExtent l="0" t="0" r="0" b="0"/>
          <wp:wrapNone/>
          <wp:docPr id="285563273" name="Imagen 28556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4A12747C"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410B96DC"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10D87" w14:textId="77777777" w:rsidR="001C6FA0" w:rsidRDefault="001C6FA0" w:rsidP="00D43D57">
      <w:r>
        <w:separator/>
      </w:r>
    </w:p>
  </w:footnote>
  <w:footnote w:type="continuationSeparator" w:id="0">
    <w:p w14:paraId="7E1CB299" w14:textId="77777777" w:rsidR="001C6FA0" w:rsidRDefault="001C6FA0" w:rsidP="00D43D57">
      <w:r>
        <w:continuationSeparator/>
      </w:r>
    </w:p>
  </w:footnote>
  <w:footnote w:id="1">
    <w:p w14:paraId="208DEADA" w14:textId="77777777" w:rsidR="001C6FA0" w:rsidRPr="006F5EA9" w:rsidRDefault="001C6FA0" w:rsidP="001C6FA0">
      <w:pPr>
        <w:pStyle w:val="NormalWeb"/>
        <w:spacing w:before="0" w:beforeAutospacing="0" w:after="0" w:afterAutospacing="0"/>
        <w:jc w:val="both"/>
        <w:rPr>
          <w:lang w:val="es-CR"/>
        </w:rPr>
      </w:pPr>
      <w:r w:rsidRPr="003B6A4D">
        <w:rPr>
          <w:rStyle w:val="Refdenotaalpie"/>
          <w:rFonts w:ascii="Arial" w:hAnsi="Arial" w:cs="Arial"/>
          <w:sz w:val="16"/>
          <w:szCs w:val="16"/>
        </w:rPr>
        <w:footnoteRef/>
      </w:r>
      <w:r w:rsidRPr="003B6A4D">
        <w:rPr>
          <w:rFonts w:ascii="Arial" w:hAnsi="Arial" w:cs="Arial"/>
          <w:sz w:val="16"/>
          <w:szCs w:val="16"/>
        </w:rPr>
        <w:t xml:space="preserve"> </w:t>
      </w:r>
      <w:r w:rsidRPr="003B6A4D">
        <w:rPr>
          <w:rFonts w:ascii="Arial" w:hAnsi="Arial" w:cs="Arial"/>
          <w:sz w:val="16"/>
          <w:szCs w:val="16"/>
          <w:lang w:val="es-ES" w:eastAsia="en-US"/>
        </w:rPr>
        <w:t>La auditoría de carácter especial, conocida también como auditoría de cumplimiento, se enfoca en determinar si las actividades se ejecutan de conformidad con las leyes, reglamentos u otras normativas que las regulan, tales como resoluciones, políticas, lineamientos, directrices, códigos, contratos, convenios, u otros criterios considerados apropiados por el auditor. Estas auditorías de cumplimiento pueden abarcar una extensa gama de materias controladas, tales como aspectos de orden contable-financiero, presupuestario, administrativo, económico, estadístico, jurídico, control interno y otras temáticas relacionadas con la fiscalización pública.</w:t>
      </w:r>
    </w:p>
  </w:footnote>
  <w:footnote w:id="2">
    <w:p w14:paraId="7F77720D" w14:textId="77777777" w:rsidR="001C6FA0" w:rsidRPr="003B6A4D" w:rsidRDefault="001C6FA0" w:rsidP="001C6FA0">
      <w:pPr>
        <w:pStyle w:val="Textonotapie"/>
        <w:rPr>
          <w:rFonts w:ascii="Arial" w:hAnsi="Arial" w:cs="Arial"/>
          <w:sz w:val="16"/>
          <w:szCs w:val="16"/>
          <w:lang w:val="es-CR"/>
        </w:rPr>
      </w:pPr>
      <w:r>
        <w:rPr>
          <w:rStyle w:val="Refdenotaalpie"/>
        </w:rPr>
        <w:footnoteRef/>
      </w:r>
      <w:r>
        <w:t xml:space="preserve"> </w:t>
      </w:r>
      <w:r w:rsidRPr="00DA0FD8">
        <w:t xml:space="preserve">Indica que los resultados obtenidos de los procedimientos efectuados por la Auditoría satisfacen los </w:t>
      </w:r>
      <w:r w:rsidRPr="003B6A4D">
        <w:rPr>
          <w:rFonts w:ascii="Arial" w:hAnsi="Arial" w:cs="Arial"/>
          <w:sz w:val="16"/>
          <w:szCs w:val="16"/>
        </w:rPr>
        <w:t>criterios evaluados.</w:t>
      </w:r>
    </w:p>
  </w:footnote>
  <w:footnote w:id="3">
    <w:p w14:paraId="245F5A28" w14:textId="77777777" w:rsidR="001C6FA0" w:rsidRPr="004F5EE0" w:rsidRDefault="001C6FA0" w:rsidP="001C6FA0">
      <w:pPr>
        <w:pStyle w:val="Textonotapie"/>
        <w:rPr>
          <w:rFonts w:ascii="Arial" w:hAnsi="Arial" w:cs="Arial"/>
          <w:sz w:val="16"/>
          <w:szCs w:val="16"/>
        </w:rPr>
      </w:pPr>
      <w:r w:rsidRPr="004F5EE0">
        <w:rPr>
          <w:rStyle w:val="Refdenotaalpie"/>
          <w:rFonts w:ascii="Arial" w:hAnsi="Arial" w:cs="Arial"/>
          <w:sz w:val="16"/>
          <w:szCs w:val="16"/>
        </w:rPr>
        <w:footnoteRef/>
      </w:r>
      <w:r w:rsidRPr="004F5EE0">
        <w:rPr>
          <w:rFonts w:ascii="Arial" w:hAnsi="Arial" w:cs="Arial"/>
          <w:sz w:val="16"/>
          <w:szCs w:val="16"/>
        </w:rPr>
        <w:t xml:space="preserve"> Sesión 6</w:t>
      </w:r>
      <w:r>
        <w:rPr>
          <w:rFonts w:ascii="Arial" w:hAnsi="Arial" w:cs="Arial"/>
          <w:sz w:val="16"/>
          <w:szCs w:val="16"/>
        </w:rPr>
        <w:t>186</w:t>
      </w:r>
      <w:r w:rsidRPr="004F5EE0">
        <w:rPr>
          <w:rFonts w:ascii="Arial" w:hAnsi="Arial" w:cs="Arial"/>
          <w:sz w:val="16"/>
          <w:szCs w:val="16"/>
        </w:rPr>
        <w:t>-202</w:t>
      </w:r>
      <w:r>
        <w:rPr>
          <w:rFonts w:ascii="Arial" w:hAnsi="Arial" w:cs="Arial"/>
          <w:sz w:val="16"/>
          <w:szCs w:val="16"/>
        </w:rPr>
        <w:t>4</w:t>
      </w:r>
      <w:r w:rsidRPr="004F5EE0">
        <w:rPr>
          <w:rFonts w:ascii="Arial" w:hAnsi="Arial" w:cs="Arial"/>
          <w:sz w:val="16"/>
          <w:szCs w:val="16"/>
        </w:rPr>
        <w:t xml:space="preserve">, artículo </w:t>
      </w:r>
      <w:r>
        <w:rPr>
          <w:rFonts w:ascii="Arial" w:hAnsi="Arial" w:cs="Arial"/>
          <w:sz w:val="16"/>
          <w:szCs w:val="16"/>
        </w:rPr>
        <w:t>6</w:t>
      </w:r>
      <w:r w:rsidRPr="004F5EE0">
        <w:rPr>
          <w:rFonts w:ascii="Arial" w:hAnsi="Arial" w:cs="Arial"/>
          <w:sz w:val="16"/>
          <w:szCs w:val="16"/>
        </w:rPr>
        <w:t xml:space="preserve">, celebrada el </w:t>
      </w:r>
      <w:r>
        <w:rPr>
          <w:rFonts w:ascii="Arial" w:hAnsi="Arial" w:cs="Arial"/>
          <w:sz w:val="16"/>
          <w:szCs w:val="16"/>
        </w:rPr>
        <w:t xml:space="preserve">16 </w:t>
      </w:r>
      <w:r w:rsidRPr="004F5EE0">
        <w:rPr>
          <w:rFonts w:ascii="Arial" w:hAnsi="Arial" w:cs="Arial"/>
          <w:sz w:val="16"/>
          <w:szCs w:val="16"/>
        </w:rPr>
        <w:t xml:space="preserve">de </w:t>
      </w:r>
      <w:r>
        <w:rPr>
          <w:rFonts w:ascii="Arial" w:hAnsi="Arial" w:cs="Arial"/>
          <w:sz w:val="16"/>
          <w:szCs w:val="16"/>
        </w:rPr>
        <w:t>mayo</w:t>
      </w:r>
      <w:r w:rsidRPr="004F5EE0">
        <w:rPr>
          <w:rFonts w:ascii="Arial" w:hAnsi="Arial" w:cs="Arial"/>
          <w:sz w:val="16"/>
          <w:szCs w:val="16"/>
        </w:rPr>
        <w:t xml:space="preserve"> de 202</w:t>
      </w:r>
      <w:r>
        <w:rPr>
          <w:rFonts w:ascii="Arial" w:hAnsi="Arial" w:cs="Arial"/>
          <w:sz w:val="16"/>
          <w:szCs w:val="16"/>
        </w:rPr>
        <w:t>4</w:t>
      </w:r>
      <w:r w:rsidRPr="004F5EE0">
        <w:rPr>
          <w:rFonts w:ascii="Arial" w:hAnsi="Arial" w:cs="Arial"/>
          <w:sz w:val="16"/>
          <w:szCs w:val="16"/>
        </w:rPr>
        <w:t>.</w:t>
      </w:r>
    </w:p>
  </w:footnote>
  <w:footnote w:id="4">
    <w:p w14:paraId="791266B4" w14:textId="77777777" w:rsidR="001C6FA0" w:rsidRPr="004F5EE0" w:rsidRDefault="001C6FA0" w:rsidP="001C6FA0">
      <w:pPr>
        <w:pStyle w:val="Textonotapie"/>
        <w:rPr>
          <w:rFonts w:ascii="Arial" w:hAnsi="Arial" w:cs="Arial"/>
          <w:sz w:val="16"/>
          <w:szCs w:val="16"/>
        </w:rPr>
      </w:pPr>
      <w:r w:rsidRPr="004F5EE0">
        <w:rPr>
          <w:rStyle w:val="Refdenotaalpie"/>
          <w:rFonts w:ascii="Arial" w:hAnsi="Arial" w:cs="Arial"/>
          <w:sz w:val="16"/>
          <w:szCs w:val="16"/>
        </w:rPr>
        <w:footnoteRef/>
      </w:r>
      <w:r w:rsidRPr="004F5EE0">
        <w:rPr>
          <w:rFonts w:ascii="Arial" w:hAnsi="Arial" w:cs="Arial"/>
          <w:sz w:val="16"/>
          <w:szCs w:val="16"/>
        </w:rPr>
        <w:t xml:space="preserve"> Oficio DTE-</w:t>
      </w:r>
      <w:r>
        <w:rPr>
          <w:rFonts w:ascii="Arial" w:hAnsi="Arial" w:cs="Arial"/>
          <w:sz w:val="16"/>
          <w:szCs w:val="16"/>
        </w:rPr>
        <w:t>0215-2024</w:t>
      </w:r>
      <w:r w:rsidRPr="004F5EE0">
        <w:rPr>
          <w:rFonts w:ascii="Arial" w:hAnsi="Arial" w:cs="Arial"/>
          <w:sz w:val="16"/>
          <w:szCs w:val="16"/>
        </w:rPr>
        <w:t xml:space="preserve"> del </w:t>
      </w:r>
      <w:r>
        <w:rPr>
          <w:rFonts w:ascii="Arial" w:hAnsi="Arial" w:cs="Arial"/>
          <w:sz w:val="16"/>
          <w:szCs w:val="16"/>
        </w:rPr>
        <w:t>6</w:t>
      </w:r>
      <w:r w:rsidRPr="004F5EE0">
        <w:rPr>
          <w:rFonts w:ascii="Arial" w:hAnsi="Arial" w:cs="Arial"/>
          <w:sz w:val="16"/>
          <w:szCs w:val="16"/>
        </w:rPr>
        <w:t xml:space="preserve"> de </w:t>
      </w:r>
      <w:r>
        <w:rPr>
          <w:rFonts w:ascii="Arial" w:hAnsi="Arial" w:cs="Arial"/>
          <w:sz w:val="16"/>
          <w:szCs w:val="16"/>
        </w:rPr>
        <w:t>setiembre</w:t>
      </w:r>
      <w:r w:rsidRPr="004F5EE0">
        <w:rPr>
          <w:rFonts w:ascii="Arial" w:hAnsi="Arial" w:cs="Arial"/>
          <w:sz w:val="16"/>
          <w:szCs w:val="16"/>
        </w:rPr>
        <w:t xml:space="preserve"> de 202</w:t>
      </w:r>
      <w:r>
        <w:rPr>
          <w:rFonts w:ascii="Arial" w:hAnsi="Arial" w:cs="Arial"/>
          <w:sz w:val="16"/>
          <w:szCs w:val="16"/>
        </w:rPr>
        <w:t>4.</w:t>
      </w:r>
    </w:p>
  </w:footnote>
  <w:footnote w:id="5">
    <w:p w14:paraId="51FAEDBE" w14:textId="77777777" w:rsidR="001C6FA0" w:rsidRPr="000E76E5" w:rsidRDefault="001C6FA0" w:rsidP="001C6FA0">
      <w:pPr>
        <w:pStyle w:val="Textonotapie"/>
        <w:ind w:left="142" w:hanging="142"/>
        <w:rPr>
          <w:rFonts w:ascii="Arial" w:hAnsi="Arial" w:cs="Arial"/>
          <w:sz w:val="16"/>
          <w:szCs w:val="16"/>
        </w:rPr>
      </w:pPr>
      <w:r w:rsidRPr="000E76E5">
        <w:rPr>
          <w:rStyle w:val="Refdenotaalpie"/>
          <w:rFonts w:ascii="Arial" w:hAnsi="Arial" w:cs="Arial"/>
          <w:sz w:val="16"/>
          <w:szCs w:val="16"/>
        </w:rPr>
        <w:footnoteRef/>
      </w:r>
      <w:r w:rsidRPr="000E76E5">
        <w:rPr>
          <w:rFonts w:ascii="Arial" w:hAnsi="Arial" w:cs="Arial"/>
          <w:sz w:val="16"/>
          <w:szCs w:val="16"/>
        </w:rPr>
        <w:t xml:space="preserve"> Se identificó una diferencia en la partida de Bienes Duraderos, al comparar el importe total con respecto a la sumatoria de los montos programados mensualmente (enero a diciembre).</w:t>
      </w:r>
      <w:r>
        <w:rPr>
          <w:rFonts w:ascii="Arial" w:hAnsi="Arial" w:cs="Arial"/>
          <w:sz w:val="16"/>
          <w:szCs w:val="16"/>
        </w:rPr>
        <w:t xml:space="preserve"> Dicho error fue confirmado con el Departamento Presupuesto, el cual realizó las gestiones con el consultor del sistema SAP para su corrección, lo cual fue verificado por la Auditoría.</w:t>
      </w:r>
    </w:p>
  </w:footnote>
  <w:footnote w:id="6">
    <w:p w14:paraId="227F70A9" w14:textId="77777777" w:rsidR="001C6FA0" w:rsidRPr="003B6A4D" w:rsidRDefault="001C6FA0" w:rsidP="001C6FA0">
      <w:pPr>
        <w:pStyle w:val="Textonotapie"/>
        <w:rPr>
          <w:rFonts w:ascii="Arial" w:hAnsi="Arial" w:cs="Arial"/>
          <w:sz w:val="16"/>
          <w:szCs w:val="16"/>
        </w:rPr>
      </w:pPr>
      <w:r w:rsidRPr="003B6A4D">
        <w:rPr>
          <w:rStyle w:val="Refdenotaalpie"/>
          <w:rFonts w:ascii="Arial" w:hAnsi="Arial" w:cs="Arial"/>
          <w:sz w:val="16"/>
          <w:szCs w:val="16"/>
        </w:rPr>
        <w:footnoteRef/>
      </w:r>
      <w:r w:rsidRPr="003B6A4D">
        <w:rPr>
          <w:rFonts w:ascii="Arial" w:hAnsi="Arial" w:cs="Arial"/>
          <w:sz w:val="16"/>
          <w:szCs w:val="16"/>
        </w:rPr>
        <w:t xml:space="preserve"> Aprobado en sesión 6200 artículo 11 celebrada el 23 de julio de 2024</w:t>
      </w:r>
    </w:p>
  </w:footnote>
  <w:footnote w:id="7">
    <w:p w14:paraId="0E11C6AF" w14:textId="77777777" w:rsidR="001C6FA0" w:rsidRPr="001262A5" w:rsidRDefault="001C6FA0" w:rsidP="001C6FA0">
      <w:pPr>
        <w:pStyle w:val="Textonotapie"/>
        <w:rPr>
          <w:rFonts w:ascii="Arial" w:hAnsi="Arial" w:cs="Arial"/>
          <w:sz w:val="16"/>
          <w:szCs w:val="16"/>
          <w:lang w:val="es-CR"/>
        </w:rPr>
      </w:pPr>
      <w:r w:rsidRPr="001262A5">
        <w:rPr>
          <w:rStyle w:val="Refdenotaalpie"/>
          <w:rFonts w:ascii="Arial" w:hAnsi="Arial" w:cs="Arial"/>
          <w:sz w:val="16"/>
          <w:szCs w:val="16"/>
        </w:rPr>
        <w:footnoteRef/>
      </w:r>
      <w:r w:rsidRPr="001262A5">
        <w:rPr>
          <w:rFonts w:ascii="Arial" w:hAnsi="Arial" w:cs="Arial"/>
          <w:sz w:val="16"/>
          <w:szCs w:val="16"/>
        </w:rPr>
        <w:t xml:space="preserve"> Sesión 6205-2024, artículo 8, celebrada el 21 de agosto del 2024.</w:t>
      </w:r>
    </w:p>
  </w:footnote>
  <w:footnote w:id="8">
    <w:p w14:paraId="5AFFDF65" w14:textId="77777777" w:rsidR="001C6FA0" w:rsidRPr="001262A5" w:rsidRDefault="001C6FA0" w:rsidP="001C6FA0">
      <w:pPr>
        <w:pStyle w:val="Textonotapie"/>
        <w:rPr>
          <w:rFonts w:ascii="Arial" w:hAnsi="Arial" w:cs="Arial"/>
          <w:sz w:val="16"/>
          <w:szCs w:val="16"/>
          <w:lang w:val="es-CR"/>
        </w:rPr>
      </w:pPr>
      <w:r w:rsidRPr="001262A5">
        <w:rPr>
          <w:rStyle w:val="Refdenotaalpie"/>
          <w:rFonts w:ascii="Arial" w:hAnsi="Arial" w:cs="Arial"/>
          <w:sz w:val="16"/>
          <w:szCs w:val="16"/>
        </w:rPr>
        <w:footnoteRef/>
      </w:r>
      <w:r w:rsidRPr="001262A5">
        <w:rPr>
          <w:rFonts w:ascii="Arial" w:hAnsi="Arial" w:cs="Arial"/>
          <w:sz w:val="16"/>
          <w:szCs w:val="16"/>
        </w:rPr>
        <w:t xml:space="preserve"> Oficio DFOE-FIP-189 (13246) del 06 de setiembre 2021.</w:t>
      </w:r>
    </w:p>
  </w:footnote>
  <w:footnote w:id="9">
    <w:p w14:paraId="252A0BE5" w14:textId="77777777" w:rsidR="001C6FA0" w:rsidRPr="001262A5" w:rsidRDefault="001C6FA0" w:rsidP="001C6FA0">
      <w:pPr>
        <w:pStyle w:val="Textonotapie"/>
        <w:rPr>
          <w:rFonts w:ascii="Arial" w:hAnsi="Arial" w:cs="Arial"/>
          <w:sz w:val="16"/>
          <w:szCs w:val="16"/>
        </w:rPr>
      </w:pPr>
      <w:r w:rsidRPr="001262A5">
        <w:rPr>
          <w:rStyle w:val="Refdenotaalpie"/>
          <w:rFonts w:ascii="Arial" w:hAnsi="Arial" w:cs="Arial"/>
          <w:sz w:val="16"/>
          <w:szCs w:val="16"/>
        </w:rPr>
        <w:footnoteRef/>
      </w:r>
      <w:r w:rsidRPr="001262A5">
        <w:rPr>
          <w:rFonts w:ascii="Arial" w:hAnsi="Arial" w:cs="Arial"/>
          <w:sz w:val="16"/>
          <w:szCs w:val="16"/>
        </w:rPr>
        <w:t xml:space="preserve"> Sesión 6208-2024, artículo 5, celebrada el 5 de setiembre de 2024.</w:t>
      </w:r>
    </w:p>
  </w:footnote>
  <w:footnote w:id="10">
    <w:p w14:paraId="591720BD" w14:textId="77777777" w:rsidR="001C6FA0" w:rsidRPr="006B12E1" w:rsidRDefault="001C6FA0" w:rsidP="001C6FA0">
      <w:pPr>
        <w:pStyle w:val="Textonotapie"/>
        <w:rPr>
          <w:rFonts w:ascii="Arial" w:hAnsi="Arial" w:cs="Arial"/>
          <w:sz w:val="16"/>
          <w:szCs w:val="16"/>
        </w:rPr>
      </w:pPr>
      <w:r w:rsidRPr="006B12E1">
        <w:rPr>
          <w:rStyle w:val="Refdenotaalpie"/>
          <w:rFonts w:ascii="Arial" w:hAnsi="Arial" w:cs="Arial"/>
          <w:sz w:val="16"/>
          <w:szCs w:val="16"/>
        </w:rPr>
        <w:footnoteRef/>
      </w:r>
      <w:r w:rsidRPr="006B12E1">
        <w:rPr>
          <w:rFonts w:ascii="Arial" w:hAnsi="Arial" w:cs="Arial"/>
          <w:sz w:val="16"/>
          <w:szCs w:val="16"/>
        </w:rPr>
        <w:t xml:space="preserve"> </w:t>
      </w:r>
      <w:r w:rsidRPr="006B12E1">
        <w:rPr>
          <w:rFonts w:ascii="Arial" w:hAnsi="Arial" w:cs="Arial"/>
          <w:bCs/>
          <w:sz w:val="16"/>
          <w:szCs w:val="16"/>
        </w:rPr>
        <w:t>La verificación efectuada no comprendió la revisión del cálculo del monto de la transferencia</w:t>
      </w:r>
    </w:p>
  </w:footnote>
  <w:footnote w:id="11">
    <w:p w14:paraId="674FD69D" w14:textId="77777777" w:rsidR="001C6FA0" w:rsidRPr="001262A5" w:rsidRDefault="001C6FA0" w:rsidP="001C6FA0">
      <w:pPr>
        <w:pStyle w:val="Textonotapie"/>
        <w:rPr>
          <w:rFonts w:ascii="Arial" w:hAnsi="Arial" w:cs="Arial"/>
          <w:sz w:val="16"/>
          <w:szCs w:val="16"/>
        </w:rPr>
      </w:pPr>
      <w:r w:rsidRPr="001262A5">
        <w:rPr>
          <w:rStyle w:val="Refdenotaalpie"/>
          <w:rFonts w:ascii="Arial" w:hAnsi="Arial" w:cs="Arial"/>
          <w:sz w:val="16"/>
          <w:szCs w:val="16"/>
        </w:rPr>
        <w:footnoteRef/>
      </w:r>
      <w:r w:rsidRPr="001262A5">
        <w:rPr>
          <w:rFonts w:ascii="Arial" w:hAnsi="Arial" w:cs="Arial"/>
          <w:sz w:val="16"/>
          <w:szCs w:val="16"/>
        </w:rPr>
        <w:t xml:space="preserve"> </w:t>
      </w:r>
      <w:r>
        <w:rPr>
          <w:rFonts w:ascii="Arial" w:hAnsi="Arial" w:cs="Arial"/>
          <w:sz w:val="16"/>
          <w:szCs w:val="16"/>
        </w:rPr>
        <w:t xml:space="preserve">En los términos expuestos por la Fundación en </w:t>
      </w:r>
      <w:r w:rsidRPr="001262A5">
        <w:rPr>
          <w:rFonts w:ascii="Arial" w:hAnsi="Arial" w:cs="Arial"/>
          <w:sz w:val="16"/>
          <w:szCs w:val="16"/>
        </w:rPr>
        <w:t>el oficio GFA1153-24 del 02 de setiembre de 2024.</w:t>
      </w:r>
    </w:p>
  </w:footnote>
  <w:footnote w:id="12">
    <w:p w14:paraId="7CE92AB6" w14:textId="77777777" w:rsidR="001C6FA0" w:rsidRPr="001262A5" w:rsidRDefault="001C6FA0" w:rsidP="001C6FA0">
      <w:pPr>
        <w:pStyle w:val="Textonotapie"/>
        <w:rPr>
          <w:rFonts w:ascii="Arial" w:hAnsi="Arial" w:cs="Arial"/>
          <w:sz w:val="16"/>
          <w:szCs w:val="16"/>
        </w:rPr>
      </w:pPr>
      <w:r w:rsidRPr="001262A5">
        <w:rPr>
          <w:rStyle w:val="Refdenotaalpie"/>
          <w:rFonts w:ascii="Arial" w:hAnsi="Arial" w:cs="Arial"/>
          <w:sz w:val="16"/>
          <w:szCs w:val="16"/>
        </w:rPr>
        <w:footnoteRef/>
      </w:r>
      <w:r w:rsidRPr="001262A5">
        <w:rPr>
          <w:rFonts w:ascii="Arial" w:hAnsi="Arial" w:cs="Arial"/>
          <w:sz w:val="16"/>
          <w:szCs w:val="16"/>
        </w:rPr>
        <w:t xml:space="preserve"> La transferencia del BCCR incluida como ingresos por la FMBCCR asciende a 415.49 millones de colones.</w:t>
      </w:r>
    </w:p>
  </w:footnote>
  <w:footnote w:id="13">
    <w:p w14:paraId="1818749E" w14:textId="77777777" w:rsidR="001C6FA0" w:rsidRPr="003B6A4D" w:rsidRDefault="001C6FA0" w:rsidP="001C6FA0">
      <w:pPr>
        <w:pStyle w:val="Textonotapie"/>
        <w:rPr>
          <w:rFonts w:ascii="Arial" w:hAnsi="Arial" w:cs="Arial"/>
          <w:sz w:val="16"/>
          <w:szCs w:val="16"/>
          <w:lang w:val="es-CR"/>
        </w:rPr>
      </w:pPr>
      <w:r w:rsidRPr="003B6A4D">
        <w:rPr>
          <w:rStyle w:val="Refdenotaalpie"/>
          <w:rFonts w:ascii="Arial" w:hAnsi="Arial" w:cs="Arial"/>
          <w:sz w:val="16"/>
          <w:szCs w:val="16"/>
        </w:rPr>
        <w:footnoteRef/>
      </w:r>
      <w:r w:rsidRPr="003B6A4D">
        <w:rPr>
          <w:rFonts w:ascii="Arial" w:hAnsi="Arial" w:cs="Arial"/>
          <w:sz w:val="16"/>
          <w:szCs w:val="16"/>
        </w:rPr>
        <w:t xml:space="preserve"> Sesión 6209-2024, artículo 11, celebrada el 12 de setiembre de 2024</w:t>
      </w:r>
    </w:p>
  </w:footnote>
  <w:footnote w:id="14">
    <w:p w14:paraId="7D3E8578" w14:textId="77777777" w:rsidR="001C6FA0" w:rsidRPr="003B6A4D" w:rsidRDefault="001C6FA0" w:rsidP="001C6FA0">
      <w:pPr>
        <w:pStyle w:val="Textonotapie"/>
        <w:rPr>
          <w:rFonts w:ascii="Arial" w:hAnsi="Arial" w:cs="Arial"/>
          <w:sz w:val="16"/>
          <w:szCs w:val="16"/>
          <w:lang w:val="es-CR"/>
        </w:rPr>
      </w:pPr>
      <w:r w:rsidRPr="003B6A4D">
        <w:rPr>
          <w:rStyle w:val="Refdenotaalpie"/>
          <w:rFonts w:ascii="Arial" w:hAnsi="Arial" w:cs="Arial"/>
          <w:sz w:val="16"/>
          <w:szCs w:val="16"/>
        </w:rPr>
        <w:footnoteRef/>
      </w:r>
      <w:r w:rsidRPr="003B6A4D">
        <w:rPr>
          <w:rFonts w:ascii="Arial" w:hAnsi="Arial" w:cs="Arial"/>
          <w:sz w:val="16"/>
          <w:szCs w:val="16"/>
        </w:rPr>
        <w:t xml:space="preserve"> </w:t>
      </w:r>
      <w:r w:rsidRPr="003B6A4D">
        <w:rPr>
          <w:rFonts w:ascii="Arial" w:hAnsi="Arial" w:cs="Arial"/>
          <w:sz w:val="16"/>
          <w:szCs w:val="16"/>
          <w:lang w:val="es-CR"/>
        </w:rPr>
        <w:t>Oficio DTE-0239-2024, del 27 del de setiembre de 2024</w:t>
      </w:r>
    </w:p>
    <w:p w14:paraId="62935603" w14:textId="77777777" w:rsidR="001C6FA0" w:rsidRPr="005B380E" w:rsidRDefault="001C6FA0" w:rsidP="001C6FA0">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39135029"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01DB180E" w14:textId="77777777">
    <w:pPr>
      <w:pStyle w:val="Encabezado"/>
      <w:jc w:val="center"/>
    </w:pPr>
    <w:r>
      <w:rPr>
        <w:noProof/>
        <w:lang w:val="es-CR" w:eastAsia="es-CR"/>
      </w:rPr>
      <w:drawing>
        <wp:anchor distT="0" distB="0" distL="114300" distR="114300" simplePos="0" relativeHeight="251696128" behindDoc="1" locked="0" layoutInCell="1" allowOverlap="1" wp14:editId="50ABF479" wp14:anchorId="72235620">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941500806" name="Imagen 194150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64F7A53A" wp14:anchorId="6FCEA0B1">
          <wp:simplePos x="0" y="0"/>
          <wp:positionH relativeFrom="column">
            <wp:posOffset>4470400</wp:posOffset>
          </wp:positionH>
          <wp:positionV relativeFrom="paragraph">
            <wp:posOffset>298450</wp:posOffset>
          </wp:positionV>
          <wp:extent cx="941070" cy="424815"/>
          <wp:effectExtent l="0" t="0" r="0" b="0"/>
          <wp:wrapNone/>
          <wp:docPr id="1791491201" name="Imagen 179149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04AA8A1D" w14:textId="77777777">
    <w:pPr>
      <w:pStyle w:val="Encabezado"/>
      <w:jc w:val="center"/>
    </w:pPr>
    <w:r>
      <w:rPr>
        <w:noProof/>
        <w:lang w:val="es-CR" w:eastAsia="es-CR"/>
      </w:rPr>
      <w:drawing>
        <wp:anchor distT="0" distB="0" distL="114300" distR="114300" simplePos="0" relativeHeight="251694080" behindDoc="1" locked="0" layoutInCell="1" allowOverlap="1" wp14:editId="70BBDE1A" wp14:anchorId="600D13C2">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605147007" name="Imagen 60514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4A5AD4E0" wp14:anchorId="72448979">
          <wp:simplePos x="0" y="0"/>
          <wp:positionH relativeFrom="column">
            <wp:posOffset>4602480</wp:posOffset>
          </wp:positionH>
          <wp:positionV relativeFrom="paragraph">
            <wp:posOffset>187960</wp:posOffset>
          </wp:positionV>
          <wp:extent cx="857250" cy="424815"/>
          <wp:effectExtent l="0" t="0" r="6350" b="0"/>
          <wp:wrapNone/>
          <wp:docPr id="1542047955" name="Imagen 154204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26176"/>
    <w:multiLevelType w:val="hybridMultilevel"/>
    <w:tmpl w:val="D870C6A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2" w15:restartNumberingAfterBreak="0">
    <w:nsid w:val="186F0F4C"/>
    <w:multiLevelType w:val="hybridMultilevel"/>
    <w:tmpl w:val="04F44FF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932427234">
    <w:abstractNumId w:val="11"/>
  </w:num>
  <w:num w:numId="2" w16cid:durableId="1232078410">
    <w:abstractNumId w:val="13"/>
  </w:num>
  <w:num w:numId="3" w16cid:durableId="1313413277">
    <w:abstractNumId w:val="9"/>
  </w:num>
  <w:num w:numId="4" w16cid:durableId="1406952166">
    <w:abstractNumId w:val="7"/>
  </w:num>
  <w:num w:numId="5" w16cid:durableId="272254461">
    <w:abstractNumId w:val="6"/>
  </w:num>
  <w:num w:numId="6" w16cid:durableId="263223900">
    <w:abstractNumId w:val="5"/>
  </w:num>
  <w:num w:numId="7" w16cid:durableId="331223337">
    <w:abstractNumId w:val="4"/>
  </w:num>
  <w:num w:numId="8" w16cid:durableId="1324236575">
    <w:abstractNumId w:val="8"/>
  </w:num>
  <w:num w:numId="9" w16cid:durableId="856697670">
    <w:abstractNumId w:val="3"/>
  </w:num>
  <w:num w:numId="10" w16cid:durableId="1770739371">
    <w:abstractNumId w:val="2"/>
  </w:num>
  <w:num w:numId="11" w16cid:durableId="1650211421">
    <w:abstractNumId w:val="1"/>
  </w:num>
  <w:num w:numId="12" w16cid:durableId="1303342950">
    <w:abstractNumId w:val="0"/>
  </w:num>
  <w:num w:numId="13" w16cid:durableId="2145535272">
    <w:abstractNumId w:val="12"/>
  </w:num>
  <w:num w:numId="14" w16cid:durableId="1015766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A0"/>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1C6FA0"/>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34DE8"/>
    <w:rsid w:val="00E5185D"/>
    <w:rsid w:val="00E75AC8"/>
    <w:rsid w:val="00E81553"/>
    <w:rsid w:val="00EB71D8"/>
    <w:rsid w:val="00EC7A70"/>
    <w:rsid w:val="00EE00D4"/>
    <w:rsid w:val="00EE3A47"/>
    <w:rsid w:val="00EF0C8B"/>
    <w:rsid w:val="00F07664"/>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B840"/>
  <w15:docId w15:val="{EDABA84B-436F-4E45-811C-DEE21316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1C6FA0"/>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1C6FA0"/>
    <w:rPr>
      <w:rFonts w:ascii="Arial" w:eastAsia="Times New Roman" w:hAnsi="Arial" w:cs="Arial"/>
      <w:b/>
      <w:bCs/>
      <w:kern w:val="32"/>
      <w:sz w:val="32"/>
      <w:szCs w:val="32"/>
      <w:lang w:val="en-US" w:eastAsia="en-US"/>
    </w:rPr>
  </w:style>
  <w:style w:type="paragraph" w:styleId="Textonotapie">
    <w:name w:val="footnote text"/>
    <w:aliases w:val=" Car Car,Car Car, Car Char,Car,Car Char, Car,Car1, Char,Char,fn,texto de nota al pie,Texto nota pie Car Car Car Car Car Car Car Car,Texto nota pie Car Car Car,Footnote Text Char Char Char Char Char Char,Texto nota pie Car Car Car Car Car"/>
    <w:basedOn w:val="Normal"/>
    <w:link w:val="TextonotapieCar"/>
    <w:uiPriority w:val="99"/>
    <w:unhideWhenUsed/>
    <w:qFormat/>
    <w:locked/>
    <w:rsid w:val="001C6FA0"/>
    <w:rPr>
      <w:sz w:val="20"/>
      <w:szCs w:val="20"/>
    </w:rPr>
  </w:style>
  <w:style w:type="character" w:customStyle="1" w:styleId="TextonotapieCar">
    <w:name w:val="Texto nota pie Car"/>
    <w:aliases w:val=" Car Car Car,Car Car Car, Car Char Car,Car Car1,Car Char Car, Car Car1,Car1 Car, Char Car,Char Car,fn Car,texto de nota al pie Car,Texto nota pie Car Car Car Car Car Car Car Car Car,Texto nota pie Car Car Car Car"/>
    <w:basedOn w:val="Fuentedeprrafopredeter"/>
    <w:link w:val="Textonotapie"/>
    <w:uiPriority w:val="99"/>
    <w:qFormat/>
    <w:rsid w:val="001C6FA0"/>
    <w:rPr>
      <w:rFonts w:eastAsia="Times New Roman"/>
      <w:lang w:val="es-ES" w:eastAsia="en-US"/>
    </w:rPr>
  </w:style>
  <w:style w:type="character" w:styleId="Refdenotaalpie">
    <w:name w:val="footnote reference"/>
    <w:aliases w:val="FC,ftref,referencia nota al pie,titulo 2,16 Point,Superscript 6 Point,Ref,de nota al pie,(Ref. de nota al pie),Referencia nota al pie,Style 24,pie pddes,BVI fnr,Footnote Reference Number,Footnote Reference_LVL6"/>
    <w:basedOn w:val="Fuentedeprrafopredeter"/>
    <w:uiPriority w:val="99"/>
    <w:unhideWhenUsed/>
    <w:qFormat/>
    <w:locked/>
    <w:rsid w:val="001C6FA0"/>
    <w:rPr>
      <w:vertAlign w:val="superscript"/>
    </w:rPr>
  </w:style>
  <w:style w:type="paragraph" w:styleId="Prrafodelista">
    <w:name w:val="List Paragraph"/>
    <w:aliases w:val="Bullet 1,Use Case List Paragraph"/>
    <w:basedOn w:val="Normal"/>
    <w:link w:val="PrrafodelistaCar"/>
    <w:uiPriority w:val="34"/>
    <w:qFormat/>
    <w:locked/>
    <w:rsid w:val="001C6FA0"/>
    <w:pPr>
      <w:ind w:left="720"/>
      <w:contextualSpacing/>
    </w:pPr>
  </w:style>
  <w:style w:type="character" w:customStyle="1" w:styleId="PrrafodelistaCar">
    <w:name w:val="Párrafo de lista Car"/>
    <w:aliases w:val="Bullet 1 Car,Use Case List Paragraph Car"/>
    <w:link w:val="Prrafodelista"/>
    <w:uiPriority w:val="34"/>
    <w:rsid w:val="001C6FA0"/>
    <w:rPr>
      <w:rFonts w:eastAsia="Times New Roman"/>
      <w:sz w:val="22"/>
      <w:szCs w:val="24"/>
      <w:lang w:val="es-ES" w:eastAsia="en-US"/>
    </w:rPr>
  </w:style>
  <w:style w:type="paragraph" w:styleId="NormalWeb">
    <w:name w:val="Normal (Web)"/>
    <w:basedOn w:val="Normal"/>
    <w:uiPriority w:val="99"/>
    <w:locked/>
    <w:rsid w:val="001C6FA0"/>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82CB2F8DFF43F1A8A3AD4EC415E8CE"/>
        <w:category>
          <w:name w:val="General"/>
          <w:gallery w:val="placeholder"/>
        </w:category>
        <w:types>
          <w:type w:val="bbPlcHdr"/>
        </w:types>
        <w:behaviors>
          <w:behavior w:val="content"/>
        </w:behaviors>
        <w:guid w:val="{A336047B-ABB8-472F-A00B-8E9FCBB191AB}"/>
      </w:docPartPr>
      <w:docPartBody>
        <w:p w:rsidR="005E5951" w:rsidRDefault="005E5951">
          <w:pPr>
            <w:pStyle w:val="2F82CB2F8DFF43F1A8A3AD4EC415E8CE"/>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51"/>
    <w:rsid w:val="005E5951"/>
    <w:rsid w:val="00F076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2F82CB2F8DFF43F1A8A3AD4EC415E8CE">
    <w:name w:val="2F82CB2F8DFF43F1A8A3AD4EC415E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gmSvVcWPO+ztPj+FUQYqg4xMXbrvcRMf+g7Ac5QDPM4=</DigestValue>
    </Reference>
    <Reference Type="http://uri.etsi.org/01903#SignedProperties" URI="#idSignedProperties">
      <Transforms>
        <Transform Algorithm="http://www.w3.org/TR/2001/REC-xml-c14n-20010315"/>
      </Transforms>
      <DigestMethod Algorithm="http://www.w3.org/2001/04/xmlenc#sha256"/>
      <DigestValue>dkpbjWp2y+vcbXt6t/tQozizaqhId9IMoB1l1GlDWNE=</DigestValue>
    </Reference>
  </SignedInfo>
  <SignatureValue>TTObhC8T46a48xOEYtu0NqnsmJa8undNfXmIWQlIEoH3GabkjtbzHRtNuYYFz6PRQ151Xsj+sZhCyCSyIZD4woEaN5dB/VMyMtnMfALc1csxqIuFluN67AZFbHlkgn+NuNgIv4suSLY1VnEhPrbRADgBenI2Q0DBvQFU0UMX1UDL/ehqoKm6N99zUmDKknlA5ege0U5z6YQVWLacOf4jdjoqkCxJ7hpzCAm5LkKPSCPFOaJ1Efsok36Nzakl5nx09TCOwyVsLLyCCNSxTZ4bFCRNCoBnIMFiS9mMMXVH79aPUnF0RFMWejLRZgCR4A3yas8lSDiaUwyC5jZY/lfGj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acL1FwhQN2ym0lZEgAI5dh8fZZ9i9stioGpf2/UYIRg=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jgEam8phHJQmCWK25BmKNRYEtO/fuxo4mtumjebDZVA=</DigestValue>
      </Reference>
      <Reference URI="/word/numbering.xml?ContentType=application/vnd.openxmlformats-officedocument.wordprocessingml.numbering+xml">
        <DigestMethod Algorithm="http://www.w3.org/2001/04/xmlenc#sha256"/>
        <DigestValue>V765KNf+skLN/WVXOF06M8PLwVD8//ZYIVexwTdRx+o=</DigestValue>
      </Reference>
      <Reference URI="/word/endnotes.xml?ContentType=application/vnd.openxmlformats-officedocument.wordprocessingml.endnotes+xml">
        <DigestMethod Algorithm="http://www.w3.org/2001/04/xmlenc#sha256"/>
        <DigestValue>ckMC0yJJjU3tSCBsD9QnrmirA3cb8jM+I53R8X0OdZI=</DigestValue>
      </Reference>
      <Reference URI="/word/footer2.xml?ContentType=application/vnd.openxmlformats-officedocument.wordprocessingml.footer+xml">
        <DigestMethod Algorithm="http://www.w3.org/2001/04/xmlenc#sha256"/>
        <DigestValue>ujKAb74DdjHGKvMz4zlz9Ji/BjKbixk2HZwlPM6kEYg=</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ewEMMQ6+eVjnOaCWtflk4buAT27kwU+izuZeV7LAlX4=</DigestValue>
      </Reference>
      <Reference URI="/word/footnotes.xml?ContentType=application/vnd.openxmlformats-officedocument.wordprocessingml.footnotes+xml">
        <DigestMethod Algorithm="http://www.w3.org/2001/04/xmlenc#sha256"/>
        <DigestValue>EiCqueM5eCzGXE1s8QH8kkQ+gsHd3Q9h0VkiZQhONVE=</DigestValue>
      </Reference>
      <Reference URI="/word/footer1.xml?ContentType=application/vnd.openxmlformats-officedocument.wordprocessingml.footer+xml">
        <DigestMethod Algorithm="http://www.w3.org/2001/04/xmlenc#sha256"/>
        <DigestValue>XLXSz0FKnp1rO+Vn2fa0sHvH4LU1VKQef94dZN/0WdE=</DigestValue>
      </Reference>
      <Reference URI="/word/header2.xml?ContentType=application/vnd.openxmlformats-officedocument.wordprocessingml.header+xml">
        <DigestMethod Algorithm="http://www.w3.org/2001/04/xmlenc#sha256"/>
        <DigestValue>o+yCKu57RU1lsX/ypA8FWTHLImrG2EDsKOe03H5beb4=</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InzAZK0I01BNutsedegfDo+4/7a5M2IwqTFSKytJPVM=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header1.xml?ContentType=application/vnd.openxmlformats-officedocument.wordprocessingml.header+xml">
        <DigestMethod Algorithm="http://www.w3.org/2001/04/xmlenc#sha256"/>
        <DigestValue>G0P9YheBbwuAnig6BodfhvSR93C1YdHsB5DZWyu0LQ8=</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W7tPF8ivhV1GsYPqAFQGDyWtG8FguS8OYufRDdsSaQs=</DigestValue>
      </Reference>
      <Reference URI="/word/header3.xml?ContentType=application/vnd.openxmlformats-officedocument.wordprocessingml.header+xml">
        <DigestMethod Algorithm="http://www.w3.org/2001/04/xmlenc#sha256"/>
        <DigestValue>y8L6kmGlbqstPHkUoUskdLgaCQm2CwPOqnBj6o1hj+A=</DigestValue>
      </Reference>
      <Reference URI="/word/styles.xml?ContentType=application/vnd.openxmlformats-officedocument.wordprocessingml.styles+xml">
        <DigestMethod Algorithm="http://www.w3.org/2001/04/xmlenc#sha256"/>
        <DigestValue>r3N9wkEZ5hjQfOiFgSfLdvqWHbYeWsbej1Vcx3IvHAY=</DigestValue>
      </Reference>
      <Reference URI="/word/media/image1.jpeg?ContentType=image/jpeg">
        <DigestMethod Algorithm="http://www.w3.org/2001/04/xmlenc#sha256"/>
        <DigestValue>i5L6dPa91f4vprUe/qDpQrrKZLI1MiYL71asHHkAjWs=</DigestValue>
      </Reference>
      <Reference URI="/word/glossary/document.xml?ContentType=application/vnd.openxmlformats-officedocument.wordprocessingml.document.glossary+xml">
        <DigestMethod Algorithm="http://www.w3.org/2001/04/xmlenc#sha256"/>
        <DigestValue>urqSzhC/iox6VFx2D6IvsFG+xeltraJPZOAQ5xmwYqI=</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SWqsfsTNduQa1lAkaqtkgmMtAAekDi+4WDUovqpqYKk=</DigestValue>
      </Reference>
      <Reference URI="/word/glossary/styles.xml?ContentType=application/vnd.openxmlformats-officedocument.wordprocessingml.styles+xml">
        <DigestMethod Algorithm="http://www.w3.org/2001/04/xmlenc#sha256"/>
        <DigestValue>3uIICV7XwJLSdfv8dwSIS3EG9dWbGWgihygwSbD4tnA=</DigestValue>
      </Reference>
      <Reference URI="/word/glossary/fontTable.xml?ContentType=application/vnd.openxmlformats-officedocument.wordprocessingml.fontTable+xml">
        <DigestMethod Algorithm="http://www.w3.org/2001/04/xmlenc#sha256"/>
        <DigestValue>AfNbrB+T0pHXBapM39u73VD1SPrVsk9dYnNk6seI1fk=</DigestValue>
      </Reference>
    </Manifest>
    <SignatureProperties>
      <SignatureProperty Id="idSignatureTime" Target="#idPackageSignature">
        <mdssi:SignatureTime xmlns:mdssi="http://schemas.openxmlformats.org/package/2006/digital-signature">
          <mdssi:Format>YYYY-MM-DDThh:mm:ssTZD</mdssi:Format>
          <mdssi:Value>2024-12-06T17:44:02Z</mdssi:Value>
        </mdssi:SignatureTime>
      </SignatureProperty>
    </SignatureProperties>
  </Object>
  <Object>
    <xd:QualifyingProperties xmlns:xd="http://uri.etsi.org/01903/v1.3.2#" Target="#idPackageSignature">
      <xd:SignedProperties Id="idSignedProperties">
        <xd:SignedSignatureProperties>
          <xd:SigningTime>2024-12-06T17:44:02Z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EjNKm5PHI9CDuDqPGZt9Y2voY7MjZaKFZ31RMALfJqYCBB9E/U4YDzIwMjQxMjA2MTc0NDE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A2MTc0NDE4WjAvBgkqhkiG9w0BCQQxIgQghiy39Y4QQZOkED80bNgtAz+SC9ktJyThFgR5DnilnjcwNwYLKoZIhvcNAQkQAi8xKDAmMCQwIgQgrKszXYj6Q2nTJpWV/NZakemXG2IrBO983WoSsYOW808wDQYJKoZIhvcNAQEBBQAEggEAQKPTEQxBTAfEEgNOlwZdN9n6Ha6EWCykL+Zou4uh70wWc/D6yE1Q1bdyMOukUYvkQJa4rw1tE0ul/bTqcmFT3NdQF9Kz30nfgFvJFNmLL0r1d07tY278teQxOKKr1a9hH0shCXzEwOIlaMKFDzAT36zyJuzvzz1FEIhkV5Ab6LPz6kavJU4Ypk8fA6AqbrMQuU+woCs2gVCGwR+93jhLvUzUKR3ZQlF8Wg4eBl1zPvj6Tr8PzceInwKkcacygWBW3UJ3iC351NNWB0c1JME3r8a8ETY8/hGsbChSPlSa+w1DpvoPJGSpcqMg+saT9SJ5U3kc1m5DvqL4b//74+8BO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kCSB8Y9J9Qzyi/+u5jX8uHkc8Ac=</xd:ByKey>
                  </xd:ResponderID>
                  <xd:ProducedAt>2024-12-06T17:44:18Z</xd:ProducedAt>
                </xd:OCSPIdentifier>
                <xd:DigestAlgAndValue>
                  <DigestMethod Algorithm="http://www.w3.org/2001/04/xmlenc#sha256"/>
                  <DigestValue>viCGo3LOfSoxIG+99tA8Wlil94uDPztXLOAv620eBQE=</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SQJIHxj0n1DPKL/67mNfy4eRzwBxgPMjAyNDEyMDYxNzQ0MThaMIGZMIGWMEwwCQYFKw4DAhoFAAQUzgxHzN03kqP+e9oD7BphnZQwSGIEFAlI/5tUAjbdMKRvs+Ivif5fd8qZAhMUABG51YcT84UN5yfLAAIAEbnVgAAYDzIwMjQxMjA2MTczMDExWqARGA8yMDI0MTIwODA1NTAxMVqhIDAeMBwGCSsGAQQBgjcVBAQPFw0yNDEyMDcxNzQwMTFaMA0GCSqGSIb3DQEBCwUAA4IBAQBthJ37XH9HwxVt2w1EjIuD7yldgaFYUOBInNQu7CwGK+vSxIA23yvFyh9+Ucp1mHl8JRSBB/qGImb2sVFZkGGmrLX0egbTl0oDuD8q1qVS9AkJB2bco9sxTE8KPXjkmTEwAuC5ETpxK3sr0zH3GkAfxSLyFFDrIt0Y3Tonl7fS+9ZJuldigZs0K+ss+QjLQt6EtWUZamtcXHHOxqtnHaWJmQqNOsQz+P/U+1fbzdOQButi8+CMqNc1UmnxC/yEQdGxdchHaN33Q2HkhhjmSWlYCL24CA80O30HncjV/4SX2EkVCjqTme4cB3tkPrIRwFt0ztsdfW02m5wLJhz4Pc1moIIEjTCCBIkwggSFMIIDbaADAgECAhMUABbMmQ3VPbbreWUjAAIAFsyZMA0GCSqGSIb3DQEBCwUAMIGZMRkwFwYDVQQFExBDUEotNC0wMDAtMDA0MDE3MQswCQYDVQQGEwJDUjEkMCIGA1UEChMbQkFOQ08gQ0VOVFJBTCBERSBDT1NUQSBSSUNBMSIwIAYDVQQLExlESVZJU0lPTiBTSVNURU1BUyBERSBQQUdPMSUwIwYDVQQDExxDQSBTSU5QRSAtIFBFUlNPTkEgRklTSUNBIHYyMB4XDTI0MTEzMDIwNTMzNVoXDTI0MTIxNDIwNTMzNVowGjEYMBYGA1UEAxMPUE9SVkVOSVIuZmRpLmNyMIIBIjANBgkqhkiG9w0BAQEFAAOCAQ8AMIIBCgKCAQEApGyGw1qmIUsaEbjZjCrbeoMsaw3QQE829Pf69vKP3PaHzi6szsPVRoP4yzpDu7qjh4S9lYpCXb+59vFqyk0B5nM5Jl57XRCsoXcTXP6J5NVMpj8xDyHUh70Pts99W5uAdFMNY7AAyzfY7DYNrB1SuX9AcAu+n6Pw5n/4Ndco1gNj5m3prIm9JWSWvEijFW4Z8ZS/CcbMY/4GiuOhpWUBeq+JblYP56nO4nPB9mBHO0lHIcUB3BTOIYzT4U3tjyfjK7tGofRYfkGWj5ATOvNKZmURBLVRCTuei9dtprTLogei1R/9F9vR/UZRSp75P9InJbboVnTYOGfU4V4NK8NZ4wIDAQABo4IBQjCCAT4wPQYJKwYBBAGCNxUHBDAwLgYmKwYBBAGCNxUIhcTqW4LR4zWVkRuC+ZcYhqXLa4F/g/b8d4G48TMCAWQCAQcwEwYDVR0lBAwwCgYIKwYBBQUHAwkwDgYDVR0PAQH/BAQDAgeAMBsGCSsGAQQBgjcVCgQOMAwwCgYIKwYBBQUHAwkwDwYJKwYBBQUHMAEFBAIFADAfBgNVHSMEGDAWgBQJSP+bVAI23TCkb7PiL4n+X3fKmTAdBgNVHQ4EFgQUkCSB8Y9J9Qzyi/+u5jX8uHkc8AcwGgYDVR0RBBMwEYIPUE9SVkVOSVIuZmRpLmNyME4GCSsGAQQBgjcZAgRBMD+gPQYKKwYBBAGCNxkCAaAvBC1TLTEtNS0yMS0zMjM5NTUwODc4LTc1Mzc5OTczOS0xNzU2NjAxNTAzLTExMDcwDQYJKoZIhvcNAQELBQADggEBAAUfNvxNnyl/UgvdKH1xBFPF5Y+IfkqnaCtEQHSv3H5da+8q1U9KpDdJKfzefjp2y5zN1E7JTZ2fF5Y7M58RkRitvgzLBToOvB/9q3ZVrp4TrfphRdkPQpX+NBn2+Bb+HzlwRnOKAEyXveZLOQJ2uFSKXY7ygnMqHeYdrDL9+z29HTZ/sZ1g1Rj1WY7HGYUVZ2L9wh9HKztVXBu0HhfLx+XeLLtQhceFnGhyQR7knO5tXVb63n6dOIaHEcK2fhhLHenvTEclq2nJmQbqPGuWnbT59ybCrx30fqjlKOBuc+tN1rE4lSYyWLSJywRVOI3bQZqhPplw6Ztq8puAUECosgk=</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BKBkBGIwYAIBAQYIYIE8AQEBAQUwMTANBglghkgBZQMEAgEFAAQgrGU2TyIeBTK9soCVPXCWAEhK
xVJP1JF3Y9bdfr7l4zwCBB9E/VAYDzIwMjQxMjA2MTc0NDE4WjAEgAIB9AEB/6CCB8Iwgge+MIIF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CSqGSIb3DQEJAzENBgsqhkiG9w0BCRABBDAcBgkqhkiG9w0BCQUxDxcNMjQxMjA2MTc0NDE4WjAv
BgkqhkiG9w0BCQQxIgQg8TVduqa7lR1ryH+R4nVBAhIsCo38cwAEGNEZVZpqorwwNwYLKoZIhvcN
AQkQAi8xKDAmMCQwIgQgrKszXYj6Q2nTJpWV/NZakemXG2IrBO983WoSsYOW808wDQYJKoZIhvcN
AQEBBQAEggEArHcGyZ9O4RHET2LlVGegwrOhSqcGhnZtKII43xt0d/5TLz/PFr9Mub2XflyqOHan
TajHN83M13SnhVsgPdTyWB9fRQozcX1ww0HuYC90rZd2UROqDTcmVVIrYTumJR7R0/XgG6uTdQIL
LUl350E2M2PezKM6Vdj0lqVgaFRS8Sr5specNqxpjHl7KzDeKiVTW4SQfTLdYxCVD5hMiUfeR45i
zqsqwdD7y/FAkILHS5z/SOyNra2hr6mS8LmixuOtZJ0SyNuYR2QOLuZb3YuP7RazeJhS4ru/3ZP1
fnVLHyLbFyyJGDdilEGAHmk0f5extms1trZM1wdAnvtnKDtE3w==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documentManagement/>
</p:properties>
</file>

<file path=customXml/item7.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2.xml><?xml version="1.0" encoding="utf-8"?>
<ds:datastoreItem xmlns:ds="http://schemas.openxmlformats.org/officeDocument/2006/customXml" ds:itemID="{056FD2BD-CA13-40A0-9E2C-B143E8932333}"/>
</file>

<file path=customXml/itemProps3.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4.xml><?xml version="1.0" encoding="utf-8"?>
<ds:datastoreItem xmlns:ds="http://schemas.openxmlformats.org/officeDocument/2006/customXml" ds:itemID="{BCC3AB96-7E7F-4079-9BF9-18821D9D8EAF}">
  <ds:schemaRefs>
    <ds:schemaRef ds:uri="office.server.policy"/>
  </ds:schemaRefs>
</ds:datastoreItem>
</file>

<file path=customXml/itemProps5.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6.xml><?xml version="1.0" encoding="utf-8"?>
<ds:datastoreItem xmlns:ds="http://schemas.openxmlformats.org/officeDocument/2006/customXml" ds:itemID="{283BF82E-1A70-4392-8CF2-7DEAFF1953AE}">
  <ds:schemaRefs>
    <ds:schemaRef ds:uri="http://www.w3.org/XML/1998/namespace"/>
    <ds:schemaRef ds:uri="http://purl.org/dc/dcmitype/"/>
    <ds:schemaRef ds:uri="http://schemas.microsoft.com/office/2006/metadata/properties"/>
    <ds:schemaRef ds:uri="http://schemas.microsoft.com/office/2006/documentManagement/types"/>
    <ds:schemaRef ds:uri="b875e23b-67d9-4b2e-bdec-edacbf90b326"/>
    <ds:schemaRef ds:uri="http://purl.org/dc/elements/1.1/"/>
    <ds:schemaRef ds:uri="http://schemas.microsoft.com/office/infopath/2007/PartnerControls"/>
    <ds:schemaRef ds:uri="http://schemas.openxmlformats.org/package/2006/metadata/core-properties"/>
    <ds:schemaRef ds:uri="62db5286-48a0-4e17-a672-7c89f7b8ca75"/>
    <ds:schemaRef ds:uri="http://schemas.microsoft.com/sharepoint/v3"/>
    <ds:schemaRef ds:uri="http://purl.org/dc/terms/"/>
  </ds:schemaRefs>
</ds:datastoreItem>
</file>

<file path=customXml/itemProps7.xml><?xml version="1.0" encoding="utf-8"?>
<ds:datastoreItem xmlns:ds="http://schemas.openxmlformats.org/officeDocument/2006/customXml" ds:itemID="{4075BA51-306C-4186-9126-AAC6FB857BA1}"/>
</file>

<file path=docProps/app.xml><?xml version="1.0" encoding="utf-8"?>
<Properties xmlns="http://schemas.openxmlformats.org/officeDocument/2006/extended-properties" xmlns:vt="http://schemas.openxmlformats.org/officeDocument/2006/docPropsVTypes">
  <Template>plantilla-DAI</Template>
  <TotalTime>3</TotalTime>
  <Pages>4</Pages>
  <Words>1125</Words>
  <Characters>6189</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AI-0227-2024​</dc:title>
  <dc:subject/>
  <dc:creator>BERROCAL MEZA MELISSA</dc:creator>
  <cp:keywords/>
  <dc:description/>
  <cp:lastModifiedBy>BERROCAL MEZA MELISSA</cp:lastModifiedBy>
  <cp:revision>1</cp:revision>
  <cp:lastPrinted>2011-05-05T20:16:00Z</cp:lastPrinted>
  <dcterms:created xsi:type="dcterms:W3CDTF">2024-12-06T17:17:00Z</dcterms:created>
  <dcterms:modified xsi:type="dcterms:W3CDTF">2024-12-06T17:20:00Z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38d9a34,68c60343,451677fa</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2024-12-06T17:20:38Z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8e07a4bc-4060-4251-8ee6-e8f2457c0740</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9673832d-94bf-4c19-8792-832784cbd250,4;b06cfa97-83cd-4c8b-8abb-c4fadbe40145,7;cf7072bc-9575-4d0b-b529-251f6b43b02b,8;cf7072bc-9575-4d0b-b529-251f6b43b02b,8;</vt:lpwstr>
  </property>
  <property fmtid="{D5CDD505-2E9C-101B-9397-08002B2CF9AE}" pid="31" name="Order">
    <vt:r8>179300</vt:r8>
  </property>
</Properties>
</file>