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86A6B" w14:textId="77777777" w:rsidR="006D1BA3" w:rsidRDefault="006D1BA3" w:rsidP="000E7189">
      <w:pPr>
        <w:jc w:val="center"/>
        <w:rPr>
          <w:rFonts w:ascii="Bookman Old Style" w:hAnsi="Bookman Old Style" w:cs="Tahoma"/>
          <w:b/>
        </w:rPr>
      </w:pPr>
      <w:bookmarkStart w:id="0" w:name="_GoBack"/>
      <w:bookmarkEnd w:id="0"/>
    </w:p>
    <w:p w14:paraId="46186A6C" w14:textId="77777777" w:rsidR="000E7189" w:rsidRPr="00453924" w:rsidRDefault="000E7189" w:rsidP="000E7189">
      <w:pPr>
        <w:jc w:val="center"/>
        <w:rPr>
          <w:rFonts w:ascii="Bookman Old Style" w:hAnsi="Bookman Old Style" w:cs="Tahoma"/>
          <w:b/>
        </w:rPr>
      </w:pPr>
      <w:r w:rsidRPr="00453924">
        <w:rPr>
          <w:rFonts w:ascii="Bookman Old Style" w:hAnsi="Bookman Old Style" w:cs="Tahoma"/>
          <w:b/>
        </w:rPr>
        <w:t xml:space="preserve">FE DE ERRATAS </w:t>
      </w:r>
    </w:p>
    <w:p w14:paraId="46186A6D" w14:textId="77777777" w:rsidR="000E7189" w:rsidRPr="00453924" w:rsidRDefault="000E7189" w:rsidP="000E7189">
      <w:pPr>
        <w:jc w:val="center"/>
        <w:rPr>
          <w:rFonts w:ascii="Bookman Old Style" w:hAnsi="Bookman Old Style" w:cs="Tahoma"/>
          <w:b/>
          <w:lang w:eastAsia="es-CR"/>
        </w:rPr>
      </w:pPr>
      <w:r w:rsidRPr="00453924">
        <w:rPr>
          <w:rFonts w:ascii="Bookman Old Style" w:hAnsi="Bookman Old Style" w:cs="Tahoma"/>
          <w:b/>
          <w:lang w:eastAsia="es-CR"/>
        </w:rPr>
        <w:t>LICITACIÓN ABREVIADA 2014LA-000030-BCCR</w:t>
      </w:r>
    </w:p>
    <w:p w14:paraId="46186A6E" w14:textId="77777777" w:rsidR="000E7189" w:rsidRPr="00453924" w:rsidRDefault="000E7189" w:rsidP="000E7189">
      <w:pPr>
        <w:widowControl w:val="0"/>
        <w:spacing w:after="0" w:line="240" w:lineRule="auto"/>
        <w:jc w:val="center"/>
        <w:rPr>
          <w:rFonts w:ascii="Bookman Old Style" w:eastAsia="MS Mincho" w:hAnsi="Bookman Old Style" w:cs="Tahoma"/>
          <w:b/>
          <w:lang w:val="es-ES" w:eastAsia="es-ES"/>
        </w:rPr>
      </w:pPr>
      <w:r w:rsidRPr="00453924">
        <w:rPr>
          <w:rFonts w:ascii="Bookman Old Style" w:eastAsia="MS Mincho" w:hAnsi="Bookman Old Style" w:cs="Tahoma"/>
          <w:b/>
          <w:lang w:val="es-ES" w:eastAsia="es-ES"/>
        </w:rPr>
        <w:t>SERVICIO DE LAVANDERÍA DE PRENDAS VARIAS SEGÚN DEMANDA</w:t>
      </w:r>
    </w:p>
    <w:p w14:paraId="46186A6F" w14:textId="77777777" w:rsidR="000E7189" w:rsidRPr="00453924" w:rsidRDefault="000E7189" w:rsidP="000E7189">
      <w:pPr>
        <w:jc w:val="both"/>
        <w:rPr>
          <w:rFonts w:ascii="Bookman Old Style" w:eastAsia="Calibri" w:hAnsi="Bookman Old Style" w:cs="Tahoma"/>
          <w:lang w:val="es-ES"/>
        </w:rPr>
      </w:pPr>
    </w:p>
    <w:p w14:paraId="46186A70" w14:textId="77777777" w:rsidR="000E7189" w:rsidRPr="00453924" w:rsidRDefault="000E7189" w:rsidP="000E7189">
      <w:pPr>
        <w:spacing w:line="240" w:lineRule="auto"/>
        <w:jc w:val="both"/>
        <w:rPr>
          <w:rFonts w:ascii="Bookman Old Style" w:eastAsia="Calibri" w:hAnsi="Bookman Old Style" w:cs="Arial"/>
          <w:lang w:eastAsia="es-ES"/>
        </w:rPr>
      </w:pPr>
      <w:r w:rsidRPr="00453924">
        <w:rPr>
          <w:rFonts w:ascii="Bookman Old Style" w:eastAsia="Calibri" w:hAnsi="Bookman Old Style" w:cs="Arial"/>
          <w:lang w:eastAsia="es-ES"/>
        </w:rPr>
        <w:t>A los interesados en esta contratación se les informa que se realiza la siguiente adición al cartel:</w:t>
      </w:r>
    </w:p>
    <w:p w14:paraId="46186A71" w14:textId="77777777" w:rsidR="000E7189" w:rsidRPr="00453924" w:rsidRDefault="000E7189" w:rsidP="000E7189">
      <w:pPr>
        <w:spacing w:line="240" w:lineRule="auto"/>
        <w:jc w:val="both"/>
        <w:rPr>
          <w:rFonts w:ascii="Bookman Old Style" w:eastAsia="Calibri" w:hAnsi="Bookman Old Style" w:cs="Arial"/>
          <w:lang w:eastAsia="es-ES"/>
        </w:rPr>
      </w:pPr>
      <w:r w:rsidRPr="00453924">
        <w:rPr>
          <w:rFonts w:ascii="Bookman Old Style" w:eastAsia="Calibri" w:hAnsi="Bookman Old Style" w:cs="Arial"/>
          <w:lang w:eastAsia="es-ES"/>
        </w:rPr>
        <w:t xml:space="preserve">En el punto 3. del cartel </w:t>
      </w:r>
      <w:r w:rsidRPr="00453924">
        <w:rPr>
          <w:rFonts w:ascii="Bookman Old Style" w:eastAsia="Calibri" w:hAnsi="Bookman Old Style" w:cs="Arial"/>
          <w:b/>
          <w:lang w:eastAsia="es-ES"/>
        </w:rPr>
        <w:t>METODOLOGÍA DE EVALUACIÓN</w:t>
      </w:r>
      <w:r w:rsidRPr="00453924">
        <w:rPr>
          <w:rFonts w:ascii="Bookman Old Style" w:eastAsia="Calibri" w:hAnsi="Bookman Old Style" w:cs="Arial"/>
          <w:lang w:eastAsia="es-ES"/>
        </w:rPr>
        <w:t>, donde dice:</w:t>
      </w:r>
    </w:p>
    <w:p w14:paraId="46186A72" w14:textId="77777777" w:rsidR="000E7189" w:rsidRPr="00453924" w:rsidRDefault="000E7189" w:rsidP="000E7189">
      <w:pPr>
        <w:pStyle w:val="Prrafodelista"/>
        <w:widowControl w:val="0"/>
        <w:numPr>
          <w:ilvl w:val="1"/>
          <w:numId w:val="2"/>
        </w:numPr>
        <w:spacing w:after="120"/>
        <w:ind w:left="567" w:hanging="567"/>
        <w:jc w:val="both"/>
        <w:rPr>
          <w:rFonts w:ascii="Bookman Old Style" w:hAnsi="Bookman Old Style" w:cs="Tahoma"/>
          <w:sz w:val="22"/>
          <w:szCs w:val="22"/>
        </w:rPr>
      </w:pPr>
      <w:r w:rsidRPr="00453924">
        <w:rPr>
          <w:rFonts w:ascii="Bookman Old Style" w:hAnsi="Bookman Old Style" w:cs="Tahoma"/>
          <w:sz w:val="22"/>
          <w:szCs w:val="22"/>
        </w:rPr>
        <w:t xml:space="preserve">Solamente serán consideradas las ofertas que cumplan con las condiciones legales, de admisibilidad y los requerimientos técnicos solicitados en este cartel. </w:t>
      </w:r>
      <w:r w:rsidRPr="00453924">
        <w:rPr>
          <w:rFonts w:ascii="Bookman Old Style" w:hAnsi="Bookman Old Style" w:cs="Tahoma"/>
          <w:b/>
          <w:sz w:val="22"/>
          <w:szCs w:val="22"/>
        </w:rPr>
        <w:t>El menor precio total de la sumatoria  de precios unitarios ofrecidos por cantidades indicadas en el punto 1.1.1. de este cartel</w:t>
      </w:r>
      <w:r w:rsidRPr="00453924">
        <w:rPr>
          <w:rFonts w:ascii="Bookman Old Style" w:hAnsi="Bookman Old Style" w:cs="Tahoma"/>
          <w:sz w:val="22"/>
          <w:szCs w:val="22"/>
        </w:rPr>
        <w:t xml:space="preserve"> será el factor decisivo para adjudicar. De producirse un empate en cuanto al precio, en caso de empate se adjudicará a la que ofrezca la mayor cantidad de cartas de experiencia válidas para esta contratación, de persistir el empate el Departamento de Proveeduría seguirá </w:t>
      </w:r>
      <w:r w:rsidRPr="00453924">
        <w:rPr>
          <w:rFonts w:ascii="Bookman Old Style" w:hAnsi="Bookman Old Style" w:cs="Tahoma"/>
          <w:b/>
          <w:sz w:val="22"/>
          <w:szCs w:val="22"/>
        </w:rPr>
        <w:t>un procedimiento de rifa</w:t>
      </w:r>
      <w:r w:rsidRPr="00453924">
        <w:rPr>
          <w:rFonts w:ascii="Bookman Old Style" w:hAnsi="Bookman Old Style" w:cs="Tahoma"/>
          <w:sz w:val="22"/>
          <w:szCs w:val="22"/>
        </w:rPr>
        <w:t>, previa comunicación y convocatoria a los representantes legales de las empresas que se encuentran en esta situación.</w:t>
      </w:r>
    </w:p>
    <w:p w14:paraId="46186A73" w14:textId="77777777" w:rsidR="000E7189" w:rsidRPr="00453924" w:rsidRDefault="000E7189" w:rsidP="000E7189">
      <w:pPr>
        <w:pStyle w:val="Prrafodelista"/>
        <w:widowControl w:val="0"/>
        <w:spacing w:after="120"/>
        <w:ind w:left="567"/>
        <w:jc w:val="both"/>
        <w:rPr>
          <w:rFonts w:ascii="Bookman Old Style" w:hAnsi="Bookman Old Style" w:cs="Tahoma"/>
          <w:sz w:val="22"/>
          <w:szCs w:val="22"/>
        </w:rPr>
      </w:pPr>
    </w:p>
    <w:p w14:paraId="46186A74" w14:textId="77777777" w:rsidR="000E7189" w:rsidRPr="00453924" w:rsidRDefault="000E7189" w:rsidP="000E7189">
      <w:pPr>
        <w:spacing w:line="240" w:lineRule="auto"/>
        <w:jc w:val="both"/>
        <w:rPr>
          <w:rFonts w:ascii="Bookman Old Style" w:eastAsia="Calibri" w:hAnsi="Bookman Old Style" w:cs="Arial"/>
          <w:lang w:eastAsia="es-ES"/>
        </w:rPr>
      </w:pPr>
      <w:r w:rsidRPr="00453924">
        <w:rPr>
          <w:rFonts w:ascii="Bookman Old Style" w:eastAsia="Calibri" w:hAnsi="Bookman Old Style" w:cs="Arial"/>
          <w:lang w:eastAsia="es-ES"/>
        </w:rPr>
        <w:t>Deberá leerse correctamente:</w:t>
      </w:r>
    </w:p>
    <w:p w14:paraId="46186A75" w14:textId="77777777" w:rsidR="000E7189" w:rsidRPr="00453924" w:rsidRDefault="000E7189" w:rsidP="000E7189">
      <w:pPr>
        <w:spacing w:line="240" w:lineRule="auto"/>
        <w:jc w:val="center"/>
        <w:rPr>
          <w:rFonts w:ascii="Bookman Old Style" w:eastAsia="Calibri" w:hAnsi="Bookman Old Style" w:cs="Arial"/>
          <w:b/>
          <w:lang w:eastAsia="es-ES"/>
        </w:rPr>
      </w:pPr>
      <w:r w:rsidRPr="00453924">
        <w:rPr>
          <w:rFonts w:ascii="Bookman Old Style" w:eastAsia="Calibri" w:hAnsi="Bookman Old Style" w:cs="Arial"/>
          <w:b/>
          <w:lang w:eastAsia="es-ES"/>
        </w:rPr>
        <w:t>3. METODOLOGÍA DE EVALUACIÓN</w:t>
      </w:r>
    </w:p>
    <w:p w14:paraId="46186A76" w14:textId="77777777" w:rsidR="000E7189" w:rsidRPr="00453924" w:rsidRDefault="000E7189" w:rsidP="006D1BA3">
      <w:pPr>
        <w:pStyle w:val="Prrafodelista"/>
        <w:numPr>
          <w:ilvl w:val="0"/>
          <w:numId w:val="4"/>
        </w:numPr>
        <w:ind w:left="426" w:hanging="426"/>
        <w:jc w:val="both"/>
        <w:rPr>
          <w:rFonts w:ascii="Bookman Old Style" w:hAnsi="Bookman Old Style" w:cs="Tahoma"/>
          <w:sz w:val="22"/>
          <w:szCs w:val="22"/>
        </w:rPr>
      </w:pPr>
      <w:r w:rsidRPr="00453924">
        <w:rPr>
          <w:rFonts w:ascii="Bookman Old Style" w:hAnsi="Bookman Old Style" w:cs="Tahoma"/>
          <w:sz w:val="22"/>
          <w:szCs w:val="22"/>
          <w:u w:val="single"/>
        </w:rPr>
        <w:t>Nota mínima para ser considerado como posible adjudicatario</w:t>
      </w:r>
      <w:r w:rsidRPr="00453924">
        <w:rPr>
          <w:rFonts w:ascii="Bookman Old Style" w:hAnsi="Bookman Old Style" w:cs="Tahoma"/>
          <w:sz w:val="22"/>
          <w:szCs w:val="22"/>
        </w:rPr>
        <w:t>: El puntaje mínimo que un oferente debe poseer para poder ser considerado como un posible adjudicatario, debe ser de al menos ochenta (80) puntos. En el caso de que ninguna de las ofertas alcance la nota mínima especificada, el Banco se reserva el derecho de seleccionar la oferta que haya obtenido el mayor puntaje, o bien, declarar desierto el concurso, según la mejor conveniencia de sus públicos intereses.</w:t>
      </w:r>
    </w:p>
    <w:p w14:paraId="46186A77" w14:textId="77777777" w:rsidR="000E7189" w:rsidRPr="00453924" w:rsidRDefault="000E7189" w:rsidP="006D1BA3">
      <w:pPr>
        <w:spacing w:after="0" w:line="240" w:lineRule="auto"/>
        <w:ind w:left="426" w:hanging="426"/>
        <w:jc w:val="both"/>
        <w:rPr>
          <w:rFonts w:ascii="Bookman Old Style" w:hAnsi="Bookman Old Style" w:cs="Tahoma"/>
        </w:rPr>
      </w:pPr>
    </w:p>
    <w:p w14:paraId="46186A78" w14:textId="77777777" w:rsidR="000E7189" w:rsidRPr="00453924" w:rsidRDefault="000E7189" w:rsidP="006D1BA3">
      <w:pPr>
        <w:pStyle w:val="Prrafodelista"/>
        <w:numPr>
          <w:ilvl w:val="0"/>
          <w:numId w:val="4"/>
        </w:numPr>
        <w:ind w:left="426" w:hanging="426"/>
        <w:jc w:val="both"/>
        <w:rPr>
          <w:rFonts w:ascii="Bookman Old Style" w:hAnsi="Bookman Old Style" w:cs="Tahoma"/>
          <w:sz w:val="22"/>
          <w:szCs w:val="22"/>
        </w:rPr>
      </w:pPr>
      <w:r w:rsidRPr="00453924">
        <w:rPr>
          <w:rFonts w:ascii="Bookman Old Style" w:hAnsi="Bookman Old Style" w:cs="Tahoma"/>
          <w:sz w:val="22"/>
          <w:szCs w:val="22"/>
          <w:u w:val="single"/>
        </w:rPr>
        <w:t>Factores de redondeo</w:t>
      </w:r>
      <w:r w:rsidRPr="00453924">
        <w:rPr>
          <w:rFonts w:ascii="Bookman Old Style" w:hAnsi="Bookman Old Style" w:cs="Tahoma"/>
          <w:sz w:val="22"/>
          <w:szCs w:val="22"/>
        </w:rPr>
        <w:t>: Para aquellos casos en donde existan puntajes con dígitos decimales, únicamente serán tomadas en cuenta los dos primeros dígitos (truncado a dos dígitos), de tal forma que la estructura numérica comprenderá el siguiente formato: ###. ##</w:t>
      </w:r>
    </w:p>
    <w:p w14:paraId="46186A79" w14:textId="77777777" w:rsidR="000E7189" w:rsidRPr="00453924" w:rsidRDefault="000E7189" w:rsidP="006D1BA3">
      <w:pPr>
        <w:pStyle w:val="Prrafodelista"/>
        <w:ind w:left="426" w:hanging="426"/>
        <w:jc w:val="both"/>
        <w:rPr>
          <w:rFonts w:ascii="Bookman Old Style" w:hAnsi="Bookman Old Style" w:cs="Tahoma"/>
          <w:sz w:val="22"/>
          <w:szCs w:val="22"/>
        </w:rPr>
      </w:pPr>
    </w:p>
    <w:p w14:paraId="46186A7A" w14:textId="77777777" w:rsidR="000E7189" w:rsidRPr="00453924" w:rsidRDefault="000E7189" w:rsidP="006D1BA3">
      <w:pPr>
        <w:pStyle w:val="Prrafodelista"/>
        <w:numPr>
          <w:ilvl w:val="0"/>
          <w:numId w:val="4"/>
        </w:numPr>
        <w:ind w:left="426" w:hanging="426"/>
        <w:jc w:val="both"/>
        <w:rPr>
          <w:rFonts w:ascii="Bookman Old Style" w:hAnsi="Bookman Old Style" w:cs="Tahoma"/>
          <w:sz w:val="22"/>
          <w:szCs w:val="22"/>
        </w:rPr>
      </w:pPr>
      <w:r w:rsidRPr="00453924">
        <w:rPr>
          <w:rFonts w:ascii="Bookman Old Style" w:hAnsi="Bookman Old Style" w:cs="Tahoma"/>
          <w:sz w:val="22"/>
          <w:szCs w:val="22"/>
          <w:u w:val="single"/>
        </w:rPr>
        <w:t>Criterios de desempate</w:t>
      </w:r>
      <w:r w:rsidRPr="00453924">
        <w:rPr>
          <w:rFonts w:ascii="Bookman Old Style" w:hAnsi="Bookman Old Style" w:cs="Tahoma"/>
          <w:sz w:val="22"/>
          <w:szCs w:val="22"/>
        </w:rPr>
        <w:t>: En caso de que dos o más oferentes presenten igualdad de puntos en sus respectivas evaluaciones finales, se tomará un criterio de desempate en función de los factores indicados en la tabla de evaluación, siguiendo el orden en que aparecen en la misma: a) y b).</w:t>
      </w:r>
    </w:p>
    <w:p w14:paraId="46186A7B" w14:textId="77777777" w:rsidR="000E7189" w:rsidRPr="00453924" w:rsidRDefault="000E7189" w:rsidP="000E7189">
      <w:pPr>
        <w:tabs>
          <w:tab w:val="left" w:pos="1134"/>
        </w:tabs>
        <w:spacing w:after="0" w:line="240" w:lineRule="auto"/>
        <w:ind w:left="426"/>
        <w:jc w:val="both"/>
        <w:rPr>
          <w:rFonts w:ascii="Bookman Old Style" w:hAnsi="Bookman Old Style" w:cs="Tahoma"/>
        </w:rPr>
      </w:pPr>
    </w:p>
    <w:p w14:paraId="46186A7C" w14:textId="77777777" w:rsidR="000E7189" w:rsidRPr="00453924" w:rsidRDefault="000E7189" w:rsidP="000E7189">
      <w:pPr>
        <w:spacing w:after="0" w:line="240" w:lineRule="auto"/>
        <w:ind w:left="567"/>
        <w:jc w:val="both"/>
        <w:rPr>
          <w:rFonts w:ascii="Bookman Old Style" w:hAnsi="Bookman Old Style" w:cs="Tahoma"/>
        </w:rPr>
      </w:pPr>
      <w:r w:rsidRPr="00453924">
        <w:rPr>
          <w:rFonts w:ascii="Bookman Old Style" w:hAnsi="Bookman Old Style" w:cs="Tahoma"/>
        </w:rPr>
        <w:lastRenderedPageBreak/>
        <w:t xml:space="preserve">Finalmente, de continuar el empate, se establecerá un procedimiento de rifa, previa comunicación y convocatoria por parte del Departamento de Proveeduría, con los oferentes que se encuentran en esta situación. </w:t>
      </w:r>
    </w:p>
    <w:p w14:paraId="46186A7D" w14:textId="77777777" w:rsidR="000E7189" w:rsidRPr="00453924" w:rsidRDefault="000E7189" w:rsidP="000E7189">
      <w:pPr>
        <w:spacing w:after="0" w:line="240" w:lineRule="auto"/>
        <w:ind w:left="567"/>
        <w:jc w:val="both"/>
        <w:rPr>
          <w:rFonts w:ascii="Bookman Old Style" w:hAnsi="Bookman Old Style" w:cs="Tahoma"/>
        </w:rPr>
      </w:pPr>
    </w:p>
    <w:p w14:paraId="46186A7E" w14:textId="77777777" w:rsidR="000E7189" w:rsidRDefault="000E7189" w:rsidP="006D1BA3">
      <w:pPr>
        <w:spacing w:after="0" w:line="240" w:lineRule="auto"/>
        <w:ind w:left="567"/>
        <w:jc w:val="both"/>
        <w:rPr>
          <w:rFonts w:ascii="Bookman Old Style" w:hAnsi="Bookman Old Style" w:cs="Tahoma"/>
        </w:rPr>
      </w:pPr>
      <w:r w:rsidRPr="00453924">
        <w:rPr>
          <w:rFonts w:ascii="Bookman Old Style" w:hAnsi="Bookman Old Style" w:cs="Tahoma"/>
        </w:rPr>
        <w:t>Con las ofertas admisibles para una eventual adjudicación, se procederá a realizar la calificación bajo la siguiente metodología de evaluación:</w:t>
      </w:r>
    </w:p>
    <w:p w14:paraId="46186A7F" w14:textId="77777777" w:rsidR="006D1BA3" w:rsidRPr="006D1BA3" w:rsidRDefault="006D1BA3" w:rsidP="006D1BA3">
      <w:pPr>
        <w:spacing w:after="0" w:line="240" w:lineRule="auto"/>
        <w:ind w:left="567"/>
        <w:jc w:val="both"/>
        <w:rPr>
          <w:rFonts w:ascii="Bookman Old Style" w:hAnsi="Bookman Old Style" w:cs="Tahoma"/>
        </w:rPr>
      </w:pPr>
    </w:p>
    <w:tbl>
      <w:tblPr>
        <w:tblW w:w="917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21"/>
        <w:gridCol w:w="1134"/>
        <w:gridCol w:w="6521"/>
      </w:tblGrid>
      <w:tr w:rsidR="00453924" w:rsidRPr="00453924" w14:paraId="46186A84" w14:textId="77777777" w:rsidTr="005301CC">
        <w:trPr>
          <w:cantSplit/>
          <w:tblHeader/>
        </w:trPr>
        <w:tc>
          <w:tcPr>
            <w:tcW w:w="1521" w:type="dxa"/>
            <w:shd w:val="pct25" w:color="auto" w:fill="auto"/>
            <w:vAlign w:val="center"/>
          </w:tcPr>
          <w:p w14:paraId="46186A80" w14:textId="77777777" w:rsidR="00453924" w:rsidRPr="00453924" w:rsidRDefault="00453924" w:rsidP="00EE0DE4">
            <w:pPr>
              <w:ind w:right="20"/>
              <w:jc w:val="center"/>
              <w:rPr>
                <w:rFonts w:ascii="Bookman Old Style" w:hAnsi="Bookman Old Style" w:cs="Arial"/>
                <w:b/>
              </w:rPr>
            </w:pPr>
            <w:r w:rsidRPr="00453924">
              <w:rPr>
                <w:rFonts w:ascii="Bookman Old Style" w:hAnsi="Bookman Old Style" w:cs="Arial"/>
                <w:b/>
              </w:rPr>
              <w:t>Aspecto a evaluar</w:t>
            </w:r>
          </w:p>
        </w:tc>
        <w:tc>
          <w:tcPr>
            <w:tcW w:w="1134" w:type="dxa"/>
            <w:shd w:val="pct25" w:color="auto" w:fill="auto"/>
            <w:vAlign w:val="center"/>
          </w:tcPr>
          <w:p w14:paraId="46186A81" w14:textId="77777777" w:rsidR="00453924" w:rsidRPr="00453924" w:rsidRDefault="00453924" w:rsidP="00EE0DE4">
            <w:pPr>
              <w:ind w:right="20"/>
              <w:jc w:val="center"/>
              <w:rPr>
                <w:rFonts w:ascii="Bookman Old Style" w:hAnsi="Bookman Old Style" w:cs="Arial"/>
                <w:b/>
              </w:rPr>
            </w:pPr>
            <w:r w:rsidRPr="00453924">
              <w:rPr>
                <w:rFonts w:ascii="Bookman Old Style" w:hAnsi="Bookman Old Style" w:cs="Arial"/>
                <w:b/>
              </w:rPr>
              <w:t>Puntaje</w:t>
            </w:r>
          </w:p>
          <w:p w14:paraId="46186A82" w14:textId="77777777" w:rsidR="00453924" w:rsidRPr="00453924" w:rsidRDefault="00453924" w:rsidP="00EE0DE4">
            <w:pPr>
              <w:ind w:right="20"/>
              <w:jc w:val="center"/>
              <w:rPr>
                <w:rFonts w:ascii="Bookman Old Style" w:hAnsi="Bookman Old Style" w:cs="Arial"/>
                <w:b/>
              </w:rPr>
            </w:pPr>
            <w:r w:rsidRPr="00453924">
              <w:rPr>
                <w:rFonts w:ascii="Bookman Old Style" w:hAnsi="Bookman Old Style" w:cs="Arial"/>
                <w:b/>
              </w:rPr>
              <w:t>Máximo</w:t>
            </w:r>
          </w:p>
        </w:tc>
        <w:tc>
          <w:tcPr>
            <w:tcW w:w="6521" w:type="dxa"/>
            <w:shd w:val="pct25" w:color="auto" w:fill="auto"/>
            <w:vAlign w:val="center"/>
          </w:tcPr>
          <w:p w14:paraId="46186A83" w14:textId="77777777" w:rsidR="00453924" w:rsidRPr="00453924" w:rsidRDefault="00453924" w:rsidP="00EE0DE4">
            <w:pPr>
              <w:jc w:val="center"/>
              <w:rPr>
                <w:rFonts w:ascii="Bookman Old Style" w:hAnsi="Bookman Old Style" w:cs="Arial"/>
                <w:b/>
              </w:rPr>
            </w:pPr>
            <w:r w:rsidRPr="00453924">
              <w:rPr>
                <w:rFonts w:ascii="Bookman Old Style" w:hAnsi="Bookman Old Style" w:cs="Arial"/>
                <w:b/>
              </w:rPr>
              <w:t>Fórmula de evaluación</w:t>
            </w:r>
          </w:p>
        </w:tc>
      </w:tr>
      <w:tr w:rsidR="00453924" w:rsidRPr="00453924" w14:paraId="46186A8C" w14:textId="77777777" w:rsidTr="005301CC">
        <w:trPr>
          <w:cantSplit/>
        </w:trPr>
        <w:tc>
          <w:tcPr>
            <w:tcW w:w="1521" w:type="dxa"/>
          </w:tcPr>
          <w:p w14:paraId="46186A85" w14:textId="77777777" w:rsidR="00453924" w:rsidRPr="00453924" w:rsidRDefault="00453924" w:rsidP="00EE0DE4">
            <w:pPr>
              <w:rPr>
                <w:rFonts w:ascii="Bookman Old Style" w:hAnsi="Bookman Old Style" w:cs="Arial"/>
                <w:bCs/>
                <w:iCs/>
              </w:rPr>
            </w:pPr>
            <w:r w:rsidRPr="00453924">
              <w:rPr>
                <w:rFonts w:ascii="Bookman Old Style" w:hAnsi="Bookman Old Style" w:cs="Arial"/>
                <w:bCs/>
                <w:iCs/>
              </w:rPr>
              <w:t>Precio</w:t>
            </w:r>
          </w:p>
        </w:tc>
        <w:tc>
          <w:tcPr>
            <w:tcW w:w="1134" w:type="dxa"/>
          </w:tcPr>
          <w:p w14:paraId="46186A86" w14:textId="77777777" w:rsidR="00453924" w:rsidRPr="00453924" w:rsidRDefault="00453924" w:rsidP="00EE0DE4">
            <w:pPr>
              <w:jc w:val="center"/>
              <w:rPr>
                <w:rFonts w:ascii="Bookman Old Style" w:hAnsi="Bookman Old Style" w:cs="Arial"/>
                <w:bCs/>
                <w:iCs/>
              </w:rPr>
            </w:pPr>
            <w:r w:rsidRPr="00453924">
              <w:rPr>
                <w:rFonts w:ascii="Bookman Old Style" w:hAnsi="Bookman Old Style" w:cs="Arial"/>
                <w:bCs/>
                <w:iCs/>
              </w:rPr>
              <w:t>80</w:t>
            </w:r>
          </w:p>
        </w:tc>
        <w:tc>
          <w:tcPr>
            <w:tcW w:w="6521" w:type="dxa"/>
          </w:tcPr>
          <w:p w14:paraId="46186A87" w14:textId="77777777" w:rsidR="00453924" w:rsidRPr="00453924" w:rsidRDefault="00453924" w:rsidP="00453924">
            <w:pPr>
              <w:jc w:val="both"/>
              <w:rPr>
                <w:rFonts w:ascii="Bookman Old Style" w:hAnsi="Bookman Old Style" w:cs="Arial"/>
              </w:rPr>
            </w:pPr>
            <w:r w:rsidRPr="00453924">
              <w:rPr>
                <w:rFonts w:ascii="Bookman Old Style" w:hAnsi="Bookman Old Style" w:cs="Tahoma"/>
              </w:rPr>
              <w:t xml:space="preserve">El menor precio total de la sumatoria de precios unitarios ofrecidos por cantidades indicadas en el punto </w:t>
            </w:r>
            <w:r w:rsidRPr="00453924">
              <w:rPr>
                <w:rFonts w:ascii="Bookman Old Style" w:hAnsi="Bookman Old Style" w:cs="Tahoma"/>
                <w:b/>
              </w:rPr>
              <w:t>1.1.1.</w:t>
            </w:r>
            <w:r w:rsidRPr="00453924">
              <w:rPr>
                <w:rFonts w:ascii="Bookman Old Style" w:hAnsi="Bookman Old Style" w:cs="Tahoma"/>
              </w:rPr>
              <w:t xml:space="preserve"> de este cartel</w:t>
            </w:r>
            <w:r>
              <w:rPr>
                <w:rFonts w:ascii="Bookman Old Style" w:hAnsi="Bookman Old Style" w:cs="Tahoma"/>
              </w:rPr>
              <w:t>, será evaluada de la siguiente manera:</w:t>
            </w:r>
          </w:p>
          <w:p w14:paraId="46186A88" w14:textId="77777777" w:rsidR="006D1BA3" w:rsidRDefault="00453924" w:rsidP="006D1BA3">
            <w:pPr>
              <w:widowControl w:val="0"/>
              <w:jc w:val="center"/>
              <w:rPr>
                <w:rFonts w:ascii="Bookman Old Style" w:hAnsi="Bookman Old Style" w:cs="Arial"/>
                <w:i/>
              </w:rPr>
            </w:pPr>
            <w:r w:rsidRPr="00453924">
              <w:rPr>
                <w:rFonts w:ascii="Bookman Old Style" w:hAnsi="Bookman Old Style" w:cs="Arial"/>
                <w:i/>
                <w:position w:val="-28"/>
              </w:rPr>
              <w:object w:dxaOrig="3019" w:dyaOrig="680" w14:anchorId="46186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3.75pt" o:ole="">
                  <v:imagedata r:id="rId11" o:title=""/>
                </v:shape>
                <o:OLEObject Type="Embed" ProgID="Equation.3" ShapeID="_x0000_i1025" DrawAspect="Content" ObjectID="_1478092185" r:id="rId12"/>
              </w:object>
            </w:r>
          </w:p>
          <w:p w14:paraId="46186A89" w14:textId="77777777" w:rsidR="00453924" w:rsidRPr="006D1BA3" w:rsidRDefault="00453924" w:rsidP="006D1BA3">
            <w:pPr>
              <w:widowControl w:val="0"/>
              <w:rPr>
                <w:rFonts w:ascii="Bookman Old Style" w:hAnsi="Bookman Old Style" w:cs="Arial"/>
                <w:i/>
              </w:rPr>
            </w:pPr>
            <w:r w:rsidRPr="00453924">
              <w:rPr>
                <w:rFonts w:ascii="Bookman Old Style" w:hAnsi="Bookman Old Style" w:cs="Arial"/>
              </w:rPr>
              <w:t>Donde:</w:t>
            </w:r>
            <w:r w:rsidRPr="00453924">
              <w:rPr>
                <w:rFonts w:ascii="Bookman Old Style" w:hAnsi="Bookman Old Style" w:cs="Arial"/>
              </w:rPr>
              <w:tab/>
            </w:r>
          </w:p>
          <w:p w14:paraId="46186A8A" w14:textId="77777777" w:rsidR="00453924" w:rsidRPr="00453924" w:rsidRDefault="00453924" w:rsidP="00EE0DE4">
            <w:pPr>
              <w:widowControl w:val="0"/>
              <w:ind w:left="716" w:hanging="716"/>
              <w:rPr>
                <w:rFonts w:ascii="Bookman Old Style" w:hAnsi="Bookman Old Style" w:cs="Arial"/>
              </w:rPr>
            </w:pPr>
            <w:r w:rsidRPr="00453924">
              <w:rPr>
                <w:rFonts w:ascii="Bookman Old Style" w:hAnsi="Bookman Old Style" w:cs="Arial"/>
              </w:rPr>
              <w:t>Pmin = Precio total de la oferta con el monto total más bajo</w:t>
            </w:r>
          </w:p>
          <w:p w14:paraId="46186A8B" w14:textId="77777777" w:rsidR="00453924" w:rsidRPr="00453924" w:rsidRDefault="00453924" w:rsidP="00453924">
            <w:pPr>
              <w:ind w:left="716" w:hanging="716"/>
              <w:rPr>
                <w:rFonts w:ascii="Bookman Old Style" w:hAnsi="Bookman Old Style" w:cs="Arial"/>
                <w:bCs/>
                <w:iCs/>
              </w:rPr>
            </w:pPr>
            <w:r w:rsidRPr="00453924">
              <w:rPr>
                <w:rFonts w:ascii="Bookman Old Style" w:hAnsi="Bookman Old Style" w:cs="Arial"/>
              </w:rPr>
              <w:t xml:space="preserve">Px = </w:t>
            </w:r>
            <w:r w:rsidRPr="00453924">
              <w:rPr>
                <w:rFonts w:ascii="Bookman Old Style" w:hAnsi="Bookman Old Style" w:cs="Arial"/>
              </w:rPr>
              <w:tab/>
              <w:t>Precio total ofrecido por la oferta en evaluación</w:t>
            </w:r>
            <w:r w:rsidRPr="00453924">
              <w:rPr>
                <w:rFonts w:ascii="Bookman Old Style" w:hAnsi="Bookman Old Style" w:cs="Arial"/>
                <w:bCs/>
                <w:iCs/>
              </w:rPr>
              <w:t xml:space="preserve"> </w:t>
            </w:r>
          </w:p>
        </w:tc>
      </w:tr>
      <w:tr w:rsidR="00453924" w:rsidRPr="00453924" w14:paraId="46186A97" w14:textId="77777777" w:rsidTr="005301CC">
        <w:trPr>
          <w:cantSplit/>
        </w:trPr>
        <w:tc>
          <w:tcPr>
            <w:tcW w:w="1521" w:type="dxa"/>
          </w:tcPr>
          <w:p w14:paraId="46186A8D" w14:textId="77777777" w:rsidR="00453924" w:rsidRPr="00453924" w:rsidRDefault="00453924" w:rsidP="00EE0DE4">
            <w:pPr>
              <w:rPr>
                <w:rFonts w:ascii="Bookman Old Style" w:hAnsi="Bookman Old Style" w:cs="Arial"/>
                <w:bCs/>
                <w:iCs/>
              </w:rPr>
            </w:pPr>
            <w:r>
              <w:rPr>
                <w:rFonts w:ascii="Bookman Old Style" w:hAnsi="Bookman Old Style" w:cs="Arial"/>
                <w:bCs/>
                <w:iCs/>
              </w:rPr>
              <w:t>Experiencia del oferente</w:t>
            </w:r>
          </w:p>
          <w:p w14:paraId="46186A8E" w14:textId="77777777" w:rsidR="00453924" w:rsidRPr="00453924" w:rsidRDefault="00453924" w:rsidP="00EE0DE4">
            <w:pPr>
              <w:rPr>
                <w:rFonts w:ascii="Bookman Old Style" w:hAnsi="Bookman Old Style" w:cs="Arial"/>
                <w:bCs/>
                <w:iCs/>
              </w:rPr>
            </w:pPr>
          </w:p>
        </w:tc>
        <w:tc>
          <w:tcPr>
            <w:tcW w:w="1134" w:type="dxa"/>
          </w:tcPr>
          <w:p w14:paraId="46186A8F" w14:textId="77777777" w:rsidR="00453924" w:rsidRPr="00453924" w:rsidRDefault="00453924" w:rsidP="00EE0DE4">
            <w:pPr>
              <w:jc w:val="center"/>
              <w:rPr>
                <w:rFonts w:ascii="Bookman Old Style" w:hAnsi="Bookman Old Style" w:cs="Arial"/>
                <w:bCs/>
                <w:iCs/>
              </w:rPr>
            </w:pPr>
            <w:r w:rsidRPr="00453924">
              <w:rPr>
                <w:rFonts w:ascii="Bookman Old Style" w:hAnsi="Bookman Old Style" w:cs="Arial"/>
                <w:bCs/>
                <w:iCs/>
              </w:rPr>
              <w:t>20</w:t>
            </w:r>
          </w:p>
        </w:tc>
        <w:tc>
          <w:tcPr>
            <w:tcW w:w="6521" w:type="dxa"/>
          </w:tcPr>
          <w:p w14:paraId="46186A90" w14:textId="77777777" w:rsidR="00453924" w:rsidRPr="00453924" w:rsidRDefault="005301CC" w:rsidP="00EE0DE4">
            <w:pPr>
              <w:jc w:val="both"/>
              <w:rPr>
                <w:rFonts w:ascii="Bookman Old Style" w:hAnsi="Bookman Old Style" w:cs="Arial"/>
                <w:bCs/>
                <w:iCs/>
              </w:rPr>
            </w:pPr>
            <w:r>
              <w:rPr>
                <w:rFonts w:ascii="Bookman Old Style" w:hAnsi="Bookman Old Style" w:cs="Arial"/>
                <w:bCs/>
                <w:iCs/>
              </w:rPr>
              <w:t xml:space="preserve">Adicional a las dos cartas de recomendación solicitadas en el punto </w:t>
            </w:r>
            <w:r w:rsidRPr="005301CC">
              <w:rPr>
                <w:rFonts w:ascii="Bookman Old Style" w:hAnsi="Bookman Old Style" w:cs="Arial"/>
                <w:b/>
                <w:bCs/>
                <w:iCs/>
              </w:rPr>
              <w:t>2.3 de Admisibilidad</w:t>
            </w:r>
            <w:r>
              <w:rPr>
                <w:rFonts w:ascii="Bookman Old Style" w:hAnsi="Bookman Old Style" w:cs="Arial"/>
                <w:bCs/>
                <w:iCs/>
              </w:rPr>
              <w:t>, al oferente se le asignará puntos extras por cartas de experiencia adicionales que presente, será de 5 puntos por cada una hasta un máximo de 20 puntos.</w:t>
            </w:r>
          </w:p>
          <w:p w14:paraId="46186A91" w14:textId="77777777" w:rsidR="005301CC" w:rsidRPr="005301CC" w:rsidRDefault="006D1BA3" w:rsidP="006D1BA3">
            <w:pPr>
              <w:pStyle w:val="Sangradetextonormal"/>
              <w:widowControl w:val="0"/>
              <w:spacing w:after="0" w:line="240" w:lineRule="auto"/>
              <w:ind w:right="72"/>
              <w:jc w:val="both"/>
              <w:rPr>
                <w:rFonts w:ascii="Bookman Old Style" w:eastAsiaTheme="minorHAnsi" w:hAnsi="Bookman Old Style" w:cs="Arial"/>
                <w:bCs/>
                <w:iCs/>
                <w:sz w:val="22"/>
                <w:szCs w:val="22"/>
                <w:lang w:val="es-CR" w:eastAsia="en-US"/>
              </w:rPr>
            </w:pPr>
            <w:r>
              <w:rPr>
                <w:rFonts w:ascii="Bookman Old Style" w:eastAsiaTheme="minorHAnsi" w:hAnsi="Bookman Old Style" w:cs="Arial"/>
                <w:bCs/>
                <w:iCs/>
                <w:sz w:val="22"/>
                <w:szCs w:val="22"/>
                <w:lang w:val="es-CR" w:eastAsia="en-US"/>
              </w:rPr>
              <w:t xml:space="preserve">Las </w:t>
            </w:r>
            <w:r w:rsidR="005301CC" w:rsidRPr="005301CC">
              <w:rPr>
                <w:rFonts w:ascii="Bookman Old Style" w:eastAsiaTheme="minorHAnsi" w:hAnsi="Bookman Old Style" w:cs="Arial"/>
                <w:bCs/>
                <w:iCs/>
                <w:sz w:val="22"/>
                <w:szCs w:val="22"/>
                <w:lang w:val="es-CR" w:eastAsia="en-US"/>
              </w:rPr>
              <w:t xml:space="preserve">cartas de experiencia </w:t>
            </w:r>
            <w:r>
              <w:rPr>
                <w:rFonts w:ascii="Bookman Old Style" w:eastAsiaTheme="minorHAnsi" w:hAnsi="Bookman Old Style" w:cs="Arial"/>
                <w:bCs/>
                <w:iCs/>
                <w:sz w:val="22"/>
                <w:szCs w:val="22"/>
                <w:lang w:val="es-CR" w:eastAsia="en-US"/>
              </w:rPr>
              <w:t xml:space="preserve">podrán ser </w:t>
            </w:r>
            <w:r w:rsidR="005301CC" w:rsidRPr="005301CC">
              <w:rPr>
                <w:rFonts w:ascii="Bookman Old Style" w:eastAsiaTheme="minorHAnsi" w:hAnsi="Bookman Old Style" w:cs="Arial"/>
                <w:bCs/>
                <w:iCs/>
                <w:sz w:val="22"/>
                <w:szCs w:val="22"/>
                <w:lang w:val="es-CR" w:eastAsia="en-US"/>
              </w:rPr>
              <w:t>de una entidad pública o privada a quien le haya realizado el servicio que permita demostrar su experiencia y capacidad en la prestación del servicio de lavandería con retiro y entrega de las prendas en las Instalaciones de la entidad o empresa contratante, con no menos de un año de emitida. En las cartas se debe indicar:</w:t>
            </w:r>
          </w:p>
          <w:p w14:paraId="46186A92" w14:textId="77777777" w:rsidR="005301CC" w:rsidRPr="005301CC" w:rsidRDefault="005301CC" w:rsidP="006D1BA3">
            <w:pPr>
              <w:numPr>
                <w:ilvl w:val="0"/>
                <w:numId w:val="5"/>
              </w:numPr>
              <w:spacing w:after="0" w:line="240" w:lineRule="auto"/>
              <w:ind w:left="214" w:right="72" w:hanging="142"/>
              <w:jc w:val="both"/>
              <w:outlineLvl w:val="0"/>
              <w:rPr>
                <w:rFonts w:ascii="Bookman Old Style" w:hAnsi="Bookman Old Style" w:cs="Arial"/>
                <w:bCs/>
                <w:iCs/>
              </w:rPr>
            </w:pPr>
            <w:r w:rsidRPr="005301CC">
              <w:rPr>
                <w:rFonts w:ascii="Bookman Old Style" w:hAnsi="Bookman Old Style" w:cs="Arial"/>
                <w:bCs/>
                <w:iCs/>
              </w:rPr>
              <w:t>Nombre de la institución o empresa donde brindó el servicio.</w:t>
            </w:r>
          </w:p>
          <w:p w14:paraId="46186A93" w14:textId="77777777" w:rsidR="005301CC" w:rsidRPr="005301CC" w:rsidRDefault="005301CC" w:rsidP="006D1BA3">
            <w:pPr>
              <w:numPr>
                <w:ilvl w:val="0"/>
                <w:numId w:val="5"/>
              </w:numPr>
              <w:spacing w:after="0" w:line="240" w:lineRule="auto"/>
              <w:ind w:left="214" w:right="72" w:hanging="142"/>
              <w:jc w:val="both"/>
              <w:outlineLvl w:val="0"/>
              <w:rPr>
                <w:rFonts w:ascii="Bookman Old Style" w:hAnsi="Bookman Old Style" w:cs="Arial"/>
                <w:bCs/>
                <w:iCs/>
              </w:rPr>
            </w:pPr>
            <w:r w:rsidRPr="005301CC">
              <w:rPr>
                <w:rFonts w:ascii="Bookman Old Style" w:hAnsi="Bookman Old Style" w:cs="Arial"/>
                <w:bCs/>
                <w:iCs/>
              </w:rPr>
              <w:t>Nombre de la persona en la institución o empresa que se desempeñó como contacto, número de teléfono, fax y correo electrónico.</w:t>
            </w:r>
          </w:p>
          <w:p w14:paraId="46186A94" w14:textId="77777777" w:rsidR="005301CC" w:rsidRPr="005301CC" w:rsidRDefault="005301CC" w:rsidP="006D1BA3">
            <w:pPr>
              <w:numPr>
                <w:ilvl w:val="0"/>
                <w:numId w:val="5"/>
              </w:numPr>
              <w:spacing w:after="0" w:line="240" w:lineRule="auto"/>
              <w:ind w:left="214" w:right="72" w:hanging="142"/>
              <w:jc w:val="both"/>
              <w:outlineLvl w:val="0"/>
              <w:rPr>
                <w:rFonts w:ascii="Bookman Old Style" w:hAnsi="Bookman Old Style" w:cs="Arial"/>
                <w:bCs/>
                <w:iCs/>
              </w:rPr>
            </w:pPr>
            <w:r w:rsidRPr="005301CC">
              <w:rPr>
                <w:rFonts w:ascii="Bookman Old Style" w:hAnsi="Bookman Old Style" w:cs="Arial"/>
                <w:bCs/>
                <w:iCs/>
              </w:rPr>
              <w:t>Fecha de inicio y finalización del contrato, en caso que el servicio aún se siga brindando se debe indicar.</w:t>
            </w:r>
          </w:p>
          <w:p w14:paraId="46186A95" w14:textId="77777777" w:rsidR="005301CC" w:rsidRPr="005301CC" w:rsidRDefault="005301CC" w:rsidP="006D1BA3">
            <w:pPr>
              <w:numPr>
                <w:ilvl w:val="0"/>
                <w:numId w:val="5"/>
              </w:numPr>
              <w:spacing w:after="0" w:line="240" w:lineRule="auto"/>
              <w:ind w:left="214" w:right="72" w:hanging="142"/>
              <w:jc w:val="both"/>
              <w:outlineLvl w:val="0"/>
              <w:rPr>
                <w:rFonts w:ascii="Bookman Old Style" w:hAnsi="Bookman Old Style" w:cs="Arial"/>
                <w:bCs/>
                <w:iCs/>
              </w:rPr>
            </w:pPr>
            <w:r w:rsidRPr="005301CC">
              <w:rPr>
                <w:rFonts w:ascii="Bookman Old Style" w:hAnsi="Bookman Old Style" w:cs="Arial"/>
                <w:bCs/>
                <w:iCs/>
              </w:rPr>
              <w:t>Grado de satisfacción por el servicio.</w:t>
            </w:r>
          </w:p>
          <w:p w14:paraId="46186A96" w14:textId="77777777" w:rsidR="00453924" w:rsidRPr="006D1BA3" w:rsidRDefault="005301CC" w:rsidP="005301CC">
            <w:pPr>
              <w:numPr>
                <w:ilvl w:val="0"/>
                <w:numId w:val="5"/>
              </w:numPr>
              <w:spacing w:after="0" w:line="240" w:lineRule="auto"/>
              <w:ind w:left="214" w:right="72" w:hanging="142"/>
              <w:jc w:val="both"/>
              <w:outlineLvl w:val="0"/>
              <w:rPr>
                <w:rFonts w:ascii="Bookman Old Style" w:hAnsi="Bookman Old Style" w:cs="Arial"/>
                <w:bCs/>
                <w:iCs/>
              </w:rPr>
            </w:pPr>
            <w:r w:rsidRPr="005301CC">
              <w:rPr>
                <w:rFonts w:ascii="Bookman Old Style" w:hAnsi="Bookman Old Style" w:cs="Arial"/>
                <w:bCs/>
                <w:iCs/>
              </w:rPr>
              <w:t>Nombre y cargo de quien extiende la certificación.</w:t>
            </w:r>
          </w:p>
        </w:tc>
      </w:tr>
      <w:tr w:rsidR="00453924" w:rsidRPr="00453924" w14:paraId="46186A9B" w14:textId="77777777" w:rsidTr="006D1BA3">
        <w:trPr>
          <w:cantSplit/>
        </w:trPr>
        <w:tc>
          <w:tcPr>
            <w:tcW w:w="1521" w:type="dxa"/>
            <w:shd w:val="clear" w:color="auto" w:fill="FFFFFF" w:themeFill="background1"/>
          </w:tcPr>
          <w:p w14:paraId="46186A98" w14:textId="77777777" w:rsidR="00453924" w:rsidRPr="00453924" w:rsidRDefault="00453924" w:rsidP="00EE0DE4">
            <w:pPr>
              <w:jc w:val="center"/>
              <w:rPr>
                <w:rFonts w:ascii="Bookman Old Style" w:hAnsi="Bookman Old Style" w:cs="Arial"/>
                <w:b/>
              </w:rPr>
            </w:pPr>
            <w:r w:rsidRPr="00453924">
              <w:rPr>
                <w:rFonts w:ascii="Bookman Old Style" w:hAnsi="Bookman Old Style" w:cs="Arial"/>
                <w:b/>
              </w:rPr>
              <w:t>Total</w:t>
            </w:r>
          </w:p>
        </w:tc>
        <w:tc>
          <w:tcPr>
            <w:tcW w:w="1134" w:type="dxa"/>
            <w:shd w:val="clear" w:color="auto" w:fill="FFFFFF" w:themeFill="background1"/>
          </w:tcPr>
          <w:p w14:paraId="46186A99" w14:textId="77777777" w:rsidR="00453924" w:rsidRPr="00453924" w:rsidRDefault="00453924" w:rsidP="00EE0DE4">
            <w:pPr>
              <w:jc w:val="center"/>
              <w:rPr>
                <w:rFonts w:ascii="Bookman Old Style" w:hAnsi="Bookman Old Style" w:cs="Arial"/>
                <w:b/>
              </w:rPr>
            </w:pPr>
            <w:r w:rsidRPr="00453924">
              <w:rPr>
                <w:rFonts w:ascii="Bookman Old Style" w:hAnsi="Bookman Old Style" w:cs="Arial"/>
                <w:b/>
              </w:rPr>
              <w:fldChar w:fldCharType="begin"/>
            </w:r>
            <w:r w:rsidRPr="00453924">
              <w:rPr>
                <w:rFonts w:ascii="Bookman Old Style" w:hAnsi="Bookman Old Style" w:cs="Arial"/>
                <w:b/>
              </w:rPr>
              <w:instrText xml:space="preserve"> =SUM(ABOVE) </w:instrText>
            </w:r>
            <w:r w:rsidRPr="00453924">
              <w:rPr>
                <w:rFonts w:ascii="Bookman Old Style" w:hAnsi="Bookman Old Style" w:cs="Arial"/>
                <w:b/>
              </w:rPr>
              <w:fldChar w:fldCharType="separate"/>
            </w:r>
            <w:r w:rsidRPr="00453924">
              <w:rPr>
                <w:rFonts w:ascii="Bookman Old Style" w:hAnsi="Bookman Old Style" w:cs="Arial"/>
                <w:b/>
              </w:rPr>
              <w:t>100</w:t>
            </w:r>
            <w:r w:rsidRPr="00453924">
              <w:rPr>
                <w:rFonts w:ascii="Bookman Old Style" w:hAnsi="Bookman Old Style" w:cs="Arial"/>
                <w:b/>
              </w:rPr>
              <w:fldChar w:fldCharType="end"/>
            </w:r>
          </w:p>
        </w:tc>
        <w:tc>
          <w:tcPr>
            <w:tcW w:w="6521" w:type="dxa"/>
            <w:shd w:val="clear" w:color="auto" w:fill="FFFFFF" w:themeFill="background1"/>
          </w:tcPr>
          <w:p w14:paraId="46186A9A" w14:textId="77777777" w:rsidR="00453924" w:rsidRPr="00453924" w:rsidRDefault="00453924" w:rsidP="00EE0DE4">
            <w:pPr>
              <w:rPr>
                <w:rFonts w:ascii="Bookman Old Style" w:hAnsi="Bookman Old Style" w:cs="Arial"/>
                <w:b/>
              </w:rPr>
            </w:pPr>
          </w:p>
        </w:tc>
      </w:tr>
    </w:tbl>
    <w:p w14:paraId="46186A9C" w14:textId="77777777" w:rsidR="006D1BA3" w:rsidRDefault="006D1BA3" w:rsidP="000E7189">
      <w:pPr>
        <w:spacing w:line="240" w:lineRule="auto"/>
        <w:jc w:val="both"/>
        <w:rPr>
          <w:rFonts w:ascii="Bookman Old Style" w:eastAsia="Calibri" w:hAnsi="Bookman Old Style" w:cs="Arial"/>
          <w:lang w:eastAsia="es-ES"/>
        </w:rPr>
      </w:pPr>
    </w:p>
    <w:p w14:paraId="46186A9D" w14:textId="77777777" w:rsidR="000E7189" w:rsidRPr="00453924" w:rsidRDefault="000E7189" w:rsidP="000E7189">
      <w:pPr>
        <w:spacing w:line="240" w:lineRule="auto"/>
        <w:jc w:val="both"/>
        <w:rPr>
          <w:rFonts w:ascii="Bookman Old Style" w:eastAsia="Calibri" w:hAnsi="Bookman Old Style" w:cs="Arial"/>
          <w:lang w:eastAsia="es-ES"/>
        </w:rPr>
      </w:pPr>
      <w:r w:rsidRPr="00453924">
        <w:rPr>
          <w:rFonts w:ascii="Bookman Old Style" w:eastAsia="Calibri" w:hAnsi="Bookman Old Style" w:cs="Arial"/>
          <w:lang w:eastAsia="es-ES"/>
        </w:rPr>
        <w:t xml:space="preserve">Se prorroga la fecha de recepción de ofertas al </w:t>
      </w:r>
      <w:r w:rsidRPr="00453924">
        <w:rPr>
          <w:rFonts w:ascii="Bookman Old Style" w:eastAsia="Calibri" w:hAnsi="Bookman Old Style" w:cs="Arial"/>
          <w:b/>
          <w:lang w:eastAsia="es-ES"/>
        </w:rPr>
        <w:t>27 de noviembre del 2014, a las 10:00 horas</w:t>
      </w:r>
      <w:r w:rsidRPr="00453924">
        <w:rPr>
          <w:rFonts w:ascii="Bookman Old Style" w:eastAsia="Calibri" w:hAnsi="Bookman Old Style" w:cs="Arial"/>
          <w:lang w:eastAsia="es-ES"/>
        </w:rPr>
        <w:t>, según reloj marcador del Departamento de Proveeduría, ubicado en el primer piso del Edificio Principal del BCCR, Avenidas Central y Primera, Calles 2 y 4.</w:t>
      </w:r>
    </w:p>
    <w:p w14:paraId="46186A9E" w14:textId="77777777" w:rsidR="000E7189" w:rsidRPr="00453924" w:rsidRDefault="000E7189" w:rsidP="000E7189">
      <w:pPr>
        <w:jc w:val="both"/>
        <w:rPr>
          <w:rFonts w:ascii="Bookman Old Style" w:eastAsia="Calibri" w:hAnsi="Bookman Old Style" w:cs="Tahoma"/>
        </w:rPr>
      </w:pPr>
    </w:p>
    <w:p w14:paraId="46186A9F" w14:textId="77777777" w:rsidR="000E7189" w:rsidRPr="00453924" w:rsidRDefault="000E7189" w:rsidP="000E7189">
      <w:pPr>
        <w:spacing w:after="0" w:line="240" w:lineRule="auto"/>
        <w:jc w:val="both"/>
        <w:rPr>
          <w:rFonts w:ascii="Bookman Old Style" w:eastAsia="Calibri" w:hAnsi="Bookman Old Style" w:cs="Arial"/>
          <w:lang w:eastAsia="es-ES"/>
        </w:rPr>
      </w:pPr>
      <w:r w:rsidRPr="00453924">
        <w:rPr>
          <w:rFonts w:ascii="Bookman Old Style" w:eastAsia="Calibri" w:hAnsi="Bookman Old Style" w:cs="Arial"/>
          <w:lang w:eastAsia="es-ES"/>
        </w:rPr>
        <w:t>Todo lo demás permanece invariable.-</w:t>
      </w:r>
    </w:p>
    <w:p w14:paraId="46186AA0" w14:textId="77777777" w:rsidR="000E7189" w:rsidRPr="00453924" w:rsidRDefault="000E7189" w:rsidP="000E7189">
      <w:pPr>
        <w:widowControl w:val="0"/>
        <w:spacing w:before="240" w:after="60"/>
        <w:contextualSpacing/>
        <w:jc w:val="both"/>
        <w:outlineLvl w:val="2"/>
        <w:rPr>
          <w:rFonts w:ascii="Tahoma" w:hAnsi="Tahoma" w:cs="Tahoma"/>
          <w:lang w:eastAsia="es-CR"/>
        </w:rPr>
      </w:pPr>
    </w:p>
    <w:p w14:paraId="46186AA1" w14:textId="77777777" w:rsidR="000E7189" w:rsidRPr="00453924" w:rsidRDefault="000E7189" w:rsidP="000E7189">
      <w:pPr>
        <w:widowControl w:val="0"/>
        <w:spacing w:after="0" w:line="240" w:lineRule="auto"/>
        <w:contextualSpacing/>
        <w:jc w:val="both"/>
        <w:rPr>
          <w:rFonts w:ascii="Tahoma" w:eastAsia="Times New Roman" w:hAnsi="Tahoma" w:cs="Tahoma"/>
          <w:b/>
          <w:bCs/>
          <w:snapToGrid w:val="0"/>
          <w:lang w:eastAsia="es-ES"/>
        </w:rPr>
      </w:pPr>
    </w:p>
    <w:p w14:paraId="46186AA2" w14:textId="77777777" w:rsidR="000E7189" w:rsidRPr="00453924" w:rsidRDefault="000E7189" w:rsidP="000E7189">
      <w:pPr>
        <w:widowControl w:val="0"/>
        <w:spacing w:after="0" w:line="240" w:lineRule="auto"/>
        <w:contextualSpacing/>
        <w:jc w:val="both"/>
        <w:rPr>
          <w:rFonts w:ascii="Tahoma" w:eastAsia="Times New Roman" w:hAnsi="Tahoma" w:cs="Tahoma"/>
          <w:b/>
          <w:bCs/>
          <w:snapToGrid w:val="0"/>
          <w:lang w:val="es-ES" w:eastAsia="es-ES"/>
        </w:rPr>
      </w:pPr>
      <w:r w:rsidRPr="00453924">
        <w:rPr>
          <w:rFonts w:ascii="Tahoma" w:eastAsia="Times New Roman" w:hAnsi="Tahoma" w:cs="Tahoma"/>
          <w:b/>
          <w:bCs/>
          <w:snapToGrid w:val="0"/>
          <w:lang w:val="es-ES" w:eastAsia="es-ES"/>
        </w:rPr>
        <w:t>DIVISIÓN ADMINISTRATIVA</w:t>
      </w:r>
    </w:p>
    <w:p w14:paraId="46186AA3" w14:textId="77777777" w:rsidR="000E7189" w:rsidRPr="00453924" w:rsidRDefault="000E7189" w:rsidP="000E7189">
      <w:pPr>
        <w:spacing w:after="0" w:line="240" w:lineRule="auto"/>
        <w:ind w:right="-81"/>
        <w:contextualSpacing/>
        <w:jc w:val="both"/>
        <w:rPr>
          <w:rFonts w:ascii="Tahoma" w:eastAsia="Times New Roman" w:hAnsi="Tahoma" w:cs="Tahoma"/>
          <w:b/>
          <w:snapToGrid w:val="0"/>
          <w:lang w:val="es-ES" w:eastAsia="es-ES"/>
        </w:rPr>
      </w:pPr>
    </w:p>
    <w:p w14:paraId="46186AA4" w14:textId="77777777" w:rsidR="000E7189" w:rsidRPr="00784E20" w:rsidRDefault="000E7189" w:rsidP="000E7189">
      <w:pPr>
        <w:spacing w:after="0" w:line="240" w:lineRule="auto"/>
        <w:ind w:right="-81"/>
        <w:contextualSpacing/>
        <w:jc w:val="both"/>
        <w:rPr>
          <w:rFonts w:ascii="Tahoma" w:eastAsia="Times New Roman" w:hAnsi="Tahoma" w:cs="Tahoma"/>
          <w:b/>
          <w:snapToGrid w:val="0"/>
          <w:lang w:val="es-ES" w:eastAsia="es-ES"/>
        </w:rPr>
      </w:pPr>
    </w:p>
    <w:p w14:paraId="46186AA5" w14:textId="77777777" w:rsidR="000E7189" w:rsidRPr="00784E20" w:rsidRDefault="00784E20" w:rsidP="00784E20">
      <w:pPr>
        <w:spacing w:after="0" w:line="240" w:lineRule="auto"/>
        <w:ind w:right="-81"/>
        <w:contextualSpacing/>
        <w:jc w:val="both"/>
        <w:rPr>
          <w:rFonts w:ascii="Tahoma" w:eastAsia="Times New Roman" w:hAnsi="Tahoma" w:cs="Tahoma"/>
          <w:b/>
          <w:i/>
          <w:snapToGrid w:val="0"/>
          <w:color w:val="000000" w:themeColor="text1"/>
          <w:lang w:val="es-ES" w:eastAsia="es-ES"/>
        </w:rPr>
      </w:pPr>
      <w:r w:rsidRPr="00784E20">
        <w:rPr>
          <w:rFonts w:ascii="Tahoma" w:eastAsia="Times New Roman" w:hAnsi="Tahoma" w:cs="Tahoma"/>
          <w:b/>
          <w:i/>
          <w:snapToGrid w:val="0"/>
          <w:color w:val="000000" w:themeColor="text1"/>
          <w:lang w:val="es-ES" w:eastAsia="es-ES"/>
        </w:rPr>
        <w:t>Original firmado</w:t>
      </w:r>
    </w:p>
    <w:p w14:paraId="46186AA6" w14:textId="77777777" w:rsidR="000E7189" w:rsidRPr="00453924" w:rsidRDefault="000E7189" w:rsidP="000E7189">
      <w:pPr>
        <w:spacing w:after="0" w:line="240" w:lineRule="auto"/>
        <w:ind w:right="-81"/>
        <w:contextualSpacing/>
        <w:jc w:val="both"/>
        <w:rPr>
          <w:rFonts w:ascii="Tahoma" w:eastAsia="Times New Roman" w:hAnsi="Tahoma" w:cs="Tahoma"/>
          <w:b/>
          <w:snapToGrid w:val="0"/>
          <w:lang w:val="es-ES" w:eastAsia="es-ES"/>
        </w:rPr>
      </w:pPr>
      <w:r w:rsidRPr="00453924">
        <w:rPr>
          <w:rFonts w:ascii="Tahoma" w:eastAsia="Times New Roman" w:hAnsi="Tahoma" w:cs="Tahoma"/>
          <w:b/>
          <w:snapToGrid w:val="0"/>
          <w:lang w:val="es-ES" w:eastAsia="es-ES"/>
        </w:rPr>
        <w:t>Rolando Protti B.</w:t>
      </w:r>
    </w:p>
    <w:p w14:paraId="46186AA7" w14:textId="77777777" w:rsidR="000E7189" w:rsidRPr="00453924" w:rsidRDefault="000E7189" w:rsidP="000E7189">
      <w:pPr>
        <w:widowControl w:val="0"/>
        <w:spacing w:after="0" w:line="240" w:lineRule="auto"/>
        <w:contextualSpacing/>
        <w:rPr>
          <w:rFonts w:ascii="Tahoma" w:eastAsia="Times New Roman" w:hAnsi="Tahoma" w:cs="Tahoma"/>
          <w:b/>
          <w:snapToGrid w:val="0"/>
          <w:lang w:val="es-ES" w:eastAsia="es-ES"/>
        </w:rPr>
      </w:pPr>
      <w:r w:rsidRPr="00453924">
        <w:rPr>
          <w:rFonts w:ascii="Tahoma" w:eastAsia="Times New Roman" w:hAnsi="Tahoma" w:cs="Tahoma"/>
          <w:b/>
          <w:snapToGrid w:val="0"/>
          <w:lang w:val="es-ES" w:eastAsia="es-ES"/>
        </w:rPr>
        <w:t>Director Administrativo a.i.</w:t>
      </w:r>
    </w:p>
    <w:p w14:paraId="46186AA8" w14:textId="77777777" w:rsidR="000E7189" w:rsidRPr="00453924" w:rsidRDefault="000E7189" w:rsidP="000E7189">
      <w:pPr>
        <w:widowControl w:val="0"/>
        <w:spacing w:after="0" w:line="240" w:lineRule="auto"/>
        <w:contextualSpacing/>
        <w:rPr>
          <w:rFonts w:ascii="Tahoma" w:eastAsia="Times New Roman" w:hAnsi="Tahoma" w:cs="Tahoma"/>
          <w:b/>
          <w:snapToGrid w:val="0"/>
          <w:lang w:val="es-ES" w:eastAsia="es-ES"/>
        </w:rPr>
      </w:pPr>
    </w:p>
    <w:p w14:paraId="46186AA9" w14:textId="77777777" w:rsidR="000E7189" w:rsidRPr="00453924" w:rsidRDefault="000E7189" w:rsidP="000E7189">
      <w:pPr>
        <w:widowControl w:val="0"/>
        <w:spacing w:after="0" w:line="240" w:lineRule="auto"/>
        <w:contextualSpacing/>
        <w:rPr>
          <w:rFonts w:ascii="Tahoma" w:eastAsia="Times New Roman" w:hAnsi="Tahoma" w:cs="Tahoma"/>
          <w:b/>
          <w:snapToGrid w:val="0"/>
          <w:lang w:val="es-ES" w:eastAsia="es-ES"/>
        </w:rPr>
      </w:pPr>
    </w:p>
    <w:p w14:paraId="46186AAA" w14:textId="77777777" w:rsidR="008E28B3" w:rsidRPr="00453924" w:rsidRDefault="008E28B3"/>
    <w:sectPr w:rsidR="008E28B3" w:rsidRPr="00453924">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86AAE" w14:textId="77777777" w:rsidR="00EA3EAA" w:rsidRDefault="00EA3EAA" w:rsidP="000E7189">
      <w:pPr>
        <w:spacing w:after="0" w:line="240" w:lineRule="auto"/>
      </w:pPr>
      <w:r>
        <w:separator/>
      </w:r>
    </w:p>
  </w:endnote>
  <w:endnote w:type="continuationSeparator" w:id="0">
    <w:p w14:paraId="46186AAF" w14:textId="77777777" w:rsidR="00EA3EAA" w:rsidRDefault="00EA3EAA" w:rsidP="000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39954"/>
      <w:docPartObj>
        <w:docPartGallery w:val="Page Numbers (Bottom of Page)"/>
        <w:docPartUnique/>
      </w:docPartObj>
    </w:sdtPr>
    <w:sdtEndPr/>
    <w:sdtContent>
      <w:p w14:paraId="46186AB1" w14:textId="77777777" w:rsidR="00453924" w:rsidRDefault="00453924">
        <w:pPr>
          <w:pStyle w:val="Piedepgina"/>
          <w:jc w:val="center"/>
        </w:pPr>
        <w:r>
          <w:fldChar w:fldCharType="begin"/>
        </w:r>
        <w:r>
          <w:instrText>PAGE   \* MERGEFORMAT</w:instrText>
        </w:r>
        <w:r>
          <w:fldChar w:fldCharType="separate"/>
        </w:r>
        <w:r w:rsidR="00B0027D" w:rsidRPr="00B0027D">
          <w:rPr>
            <w:noProof/>
            <w:lang w:val="es-ES"/>
          </w:rPr>
          <w:t>1</w:t>
        </w:r>
        <w:r>
          <w:fldChar w:fldCharType="end"/>
        </w:r>
      </w:p>
    </w:sdtContent>
  </w:sdt>
  <w:p w14:paraId="46186AB2" w14:textId="77777777" w:rsidR="00453924" w:rsidRDefault="004539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86AAC" w14:textId="77777777" w:rsidR="00EA3EAA" w:rsidRDefault="00EA3EAA" w:rsidP="000E7189">
      <w:pPr>
        <w:spacing w:after="0" w:line="240" w:lineRule="auto"/>
      </w:pPr>
      <w:r>
        <w:separator/>
      </w:r>
    </w:p>
  </w:footnote>
  <w:footnote w:type="continuationSeparator" w:id="0">
    <w:p w14:paraId="46186AAD" w14:textId="77777777" w:rsidR="00EA3EAA" w:rsidRDefault="00EA3EAA" w:rsidP="000E7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86AB0" w14:textId="77777777" w:rsidR="000E7189" w:rsidRDefault="000E7189" w:rsidP="000E7189">
    <w:pPr>
      <w:pStyle w:val="Encabezado"/>
      <w:jc w:val="center"/>
    </w:pPr>
    <w:r>
      <w:rPr>
        <w:noProof/>
        <w:lang w:eastAsia="es-CR"/>
      </w:rPr>
      <w:drawing>
        <wp:inline distT="0" distB="0" distL="0" distR="0" wp14:anchorId="46186AB3" wp14:editId="46186AB4">
          <wp:extent cx="1809750" cy="561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66E4"/>
    <w:multiLevelType w:val="hybridMultilevel"/>
    <w:tmpl w:val="53067CF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nsid w:val="4BE02776"/>
    <w:multiLevelType w:val="hybridMultilevel"/>
    <w:tmpl w:val="0204B942"/>
    <w:lvl w:ilvl="0" w:tplc="140A0001">
      <w:start w:val="1"/>
      <w:numFmt w:val="bullet"/>
      <w:lvlText w:val=""/>
      <w:lvlJc w:val="left"/>
      <w:pPr>
        <w:ind w:left="2072" w:hanging="360"/>
      </w:pPr>
      <w:rPr>
        <w:rFonts w:ascii="Symbol" w:hAnsi="Symbol" w:hint="default"/>
      </w:rPr>
    </w:lvl>
    <w:lvl w:ilvl="1" w:tplc="140A0003" w:tentative="1">
      <w:start w:val="1"/>
      <w:numFmt w:val="bullet"/>
      <w:lvlText w:val="o"/>
      <w:lvlJc w:val="left"/>
      <w:pPr>
        <w:ind w:left="2792" w:hanging="360"/>
      </w:pPr>
      <w:rPr>
        <w:rFonts w:ascii="Courier New" w:hAnsi="Courier New" w:cs="Courier New" w:hint="default"/>
      </w:rPr>
    </w:lvl>
    <w:lvl w:ilvl="2" w:tplc="140A0005" w:tentative="1">
      <w:start w:val="1"/>
      <w:numFmt w:val="bullet"/>
      <w:lvlText w:val=""/>
      <w:lvlJc w:val="left"/>
      <w:pPr>
        <w:ind w:left="3512" w:hanging="360"/>
      </w:pPr>
      <w:rPr>
        <w:rFonts w:ascii="Wingdings" w:hAnsi="Wingdings" w:hint="default"/>
      </w:rPr>
    </w:lvl>
    <w:lvl w:ilvl="3" w:tplc="140A0001" w:tentative="1">
      <w:start w:val="1"/>
      <w:numFmt w:val="bullet"/>
      <w:lvlText w:val=""/>
      <w:lvlJc w:val="left"/>
      <w:pPr>
        <w:ind w:left="4232" w:hanging="360"/>
      </w:pPr>
      <w:rPr>
        <w:rFonts w:ascii="Symbol" w:hAnsi="Symbol" w:hint="default"/>
      </w:rPr>
    </w:lvl>
    <w:lvl w:ilvl="4" w:tplc="140A0003" w:tentative="1">
      <w:start w:val="1"/>
      <w:numFmt w:val="bullet"/>
      <w:lvlText w:val="o"/>
      <w:lvlJc w:val="left"/>
      <w:pPr>
        <w:ind w:left="4952" w:hanging="360"/>
      </w:pPr>
      <w:rPr>
        <w:rFonts w:ascii="Courier New" w:hAnsi="Courier New" w:cs="Courier New" w:hint="default"/>
      </w:rPr>
    </w:lvl>
    <w:lvl w:ilvl="5" w:tplc="140A0005" w:tentative="1">
      <w:start w:val="1"/>
      <w:numFmt w:val="bullet"/>
      <w:lvlText w:val=""/>
      <w:lvlJc w:val="left"/>
      <w:pPr>
        <w:ind w:left="5672" w:hanging="360"/>
      </w:pPr>
      <w:rPr>
        <w:rFonts w:ascii="Wingdings" w:hAnsi="Wingdings" w:hint="default"/>
      </w:rPr>
    </w:lvl>
    <w:lvl w:ilvl="6" w:tplc="140A0001" w:tentative="1">
      <w:start w:val="1"/>
      <w:numFmt w:val="bullet"/>
      <w:lvlText w:val=""/>
      <w:lvlJc w:val="left"/>
      <w:pPr>
        <w:ind w:left="6392" w:hanging="360"/>
      </w:pPr>
      <w:rPr>
        <w:rFonts w:ascii="Symbol" w:hAnsi="Symbol" w:hint="default"/>
      </w:rPr>
    </w:lvl>
    <w:lvl w:ilvl="7" w:tplc="140A0003" w:tentative="1">
      <w:start w:val="1"/>
      <w:numFmt w:val="bullet"/>
      <w:lvlText w:val="o"/>
      <w:lvlJc w:val="left"/>
      <w:pPr>
        <w:ind w:left="7112" w:hanging="360"/>
      </w:pPr>
      <w:rPr>
        <w:rFonts w:ascii="Courier New" w:hAnsi="Courier New" w:cs="Courier New" w:hint="default"/>
      </w:rPr>
    </w:lvl>
    <w:lvl w:ilvl="8" w:tplc="140A0005" w:tentative="1">
      <w:start w:val="1"/>
      <w:numFmt w:val="bullet"/>
      <w:lvlText w:val=""/>
      <w:lvlJc w:val="left"/>
      <w:pPr>
        <w:ind w:left="7832" w:hanging="360"/>
      </w:pPr>
      <w:rPr>
        <w:rFonts w:ascii="Wingdings" w:hAnsi="Wingdings" w:hint="default"/>
      </w:rPr>
    </w:lvl>
  </w:abstractNum>
  <w:abstractNum w:abstractNumId="2">
    <w:nsid w:val="56967640"/>
    <w:multiLevelType w:val="multilevel"/>
    <w:tmpl w:val="9C4A5CC2"/>
    <w:lvl w:ilvl="0">
      <w:start w:val="3"/>
      <w:numFmt w:val="decimal"/>
      <w:lvlText w:val="%1"/>
      <w:lvlJc w:val="left"/>
      <w:pPr>
        <w:ind w:left="360" w:hanging="360"/>
      </w:pPr>
      <w:rPr>
        <w:rFonts w:hint="default"/>
      </w:rPr>
    </w:lvl>
    <w:lvl w:ilvl="1">
      <w:start w:val="1"/>
      <w:numFmt w:val="decimal"/>
      <w:lvlText w:val="%1.%2"/>
      <w:lvlJc w:val="left"/>
      <w:pPr>
        <w:ind w:left="730" w:hanging="720"/>
      </w:pPr>
      <w:rPr>
        <w:rFonts w:hint="default"/>
        <w:b/>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3">
    <w:nsid w:val="57F80A40"/>
    <w:multiLevelType w:val="multilevel"/>
    <w:tmpl w:val="BC26A792"/>
    <w:lvl w:ilvl="0">
      <w:start w:val="1"/>
      <w:numFmt w:val="decimal"/>
      <w:lvlText w:val="%1."/>
      <w:lvlJc w:val="left"/>
      <w:pPr>
        <w:ind w:left="370" w:hanging="360"/>
      </w:pPr>
      <w:rPr>
        <w:rFonts w:hint="default"/>
      </w:rPr>
    </w:lvl>
    <w:lvl w:ilvl="1">
      <w:start w:val="1"/>
      <w:numFmt w:val="decimal"/>
      <w:isLgl/>
      <w:lvlText w:val="%1.%2"/>
      <w:lvlJc w:val="left"/>
      <w:pPr>
        <w:ind w:left="400" w:hanging="390"/>
      </w:pPr>
      <w:rPr>
        <w:rFonts w:hint="default"/>
        <w:b/>
        <w:i w:val="0"/>
      </w:rPr>
    </w:lvl>
    <w:lvl w:ilvl="2">
      <w:start w:val="1"/>
      <w:numFmt w:val="decimal"/>
      <w:isLgl/>
      <w:lvlText w:val="%1.%2.%3"/>
      <w:lvlJc w:val="left"/>
      <w:pPr>
        <w:ind w:left="2989" w:hanging="720"/>
      </w:pPr>
      <w:rPr>
        <w:rFonts w:hint="default"/>
        <w:b/>
        <w:sz w:val="22"/>
        <w:szCs w:val="22"/>
      </w:rPr>
    </w:lvl>
    <w:lvl w:ilvl="3">
      <w:start w:val="1"/>
      <w:numFmt w:val="decimal"/>
      <w:isLgl/>
      <w:lvlText w:val="%1.%2.%3.%4"/>
      <w:lvlJc w:val="left"/>
      <w:pPr>
        <w:ind w:left="1090" w:hanging="1080"/>
      </w:pPr>
      <w:rPr>
        <w:rFonts w:hint="default"/>
        <w:b/>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1810" w:hanging="1800"/>
      </w:pPr>
      <w:rPr>
        <w:rFonts w:hint="default"/>
      </w:rPr>
    </w:lvl>
  </w:abstractNum>
  <w:abstractNum w:abstractNumId="4">
    <w:nsid w:val="79383DF4"/>
    <w:multiLevelType w:val="hybridMultilevel"/>
    <w:tmpl w:val="561864DA"/>
    <w:lvl w:ilvl="0" w:tplc="140A0015">
      <w:start w:val="1"/>
      <w:numFmt w:val="upperLetter"/>
      <w:lvlText w:val="%1."/>
      <w:lvlJc w:val="left"/>
      <w:pPr>
        <w:ind w:left="108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89"/>
    <w:rsid w:val="000E7189"/>
    <w:rsid w:val="002E20DC"/>
    <w:rsid w:val="0044068A"/>
    <w:rsid w:val="00453924"/>
    <w:rsid w:val="005301CC"/>
    <w:rsid w:val="006D1BA3"/>
    <w:rsid w:val="0071719A"/>
    <w:rsid w:val="00784E20"/>
    <w:rsid w:val="00852417"/>
    <w:rsid w:val="008E28B3"/>
    <w:rsid w:val="008F4E1E"/>
    <w:rsid w:val="0099066C"/>
    <w:rsid w:val="00A55568"/>
    <w:rsid w:val="00B0027D"/>
    <w:rsid w:val="00BB6F44"/>
    <w:rsid w:val="00C258B4"/>
    <w:rsid w:val="00D72A49"/>
    <w:rsid w:val="00E537C1"/>
    <w:rsid w:val="00EA3EAA"/>
    <w:rsid w:val="00EB13B2"/>
    <w:rsid w:val="00F92AE7"/>
    <w:rsid w:val="00FC2C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8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7189"/>
    <w:rPr>
      <w:color w:val="0000FF"/>
      <w:u w:val="single"/>
    </w:rPr>
  </w:style>
  <w:style w:type="paragraph" w:styleId="Encabezado">
    <w:name w:val="header"/>
    <w:basedOn w:val="Normal"/>
    <w:link w:val="EncabezadoCar"/>
    <w:uiPriority w:val="99"/>
    <w:unhideWhenUsed/>
    <w:rsid w:val="000E7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189"/>
  </w:style>
  <w:style w:type="paragraph" w:styleId="Piedepgina">
    <w:name w:val="footer"/>
    <w:basedOn w:val="Normal"/>
    <w:link w:val="PiedepginaCar"/>
    <w:uiPriority w:val="99"/>
    <w:unhideWhenUsed/>
    <w:rsid w:val="000E7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189"/>
  </w:style>
  <w:style w:type="paragraph" w:styleId="Textodeglobo">
    <w:name w:val="Balloon Text"/>
    <w:basedOn w:val="Normal"/>
    <w:link w:val="TextodegloboCar"/>
    <w:uiPriority w:val="99"/>
    <w:semiHidden/>
    <w:unhideWhenUsed/>
    <w:rsid w:val="000E71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189"/>
    <w:rPr>
      <w:rFonts w:ascii="Tahoma" w:hAnsi="Tahoma" w:cs="Tahoma"/>
      <w:sz w:val="16"/>
      <w:szCs w:val="16"/>
    </w:rPr>
  </w:style>
  <w:style w:type="paragraph" w:styleId="Prrafodelista">
    <w:name w:val="List Paragraph"/>
    <w:aliases w:val="Bullet 1,Use Case List Paragraph"/>
    <w:basedOn w:val="Normal"/>
    <w:link w:val="PrrafodelistaCar"/>
    <w:uiPriority w:val="34"/>
    <w:qFormat/>
    <w:rsid w:val="000E7189"/>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Bullet 1 Car,Use Case List Paragraph Car"/>
    <w:link w:val="Prrafodelista"/>
    <w:uiPriority w:val="34"/>
    <w:locked/>
    <w:rsid w:val="000E718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5301CC"/>
    <w:pPr>
      <w:spacing w:after="120" w:line="480" w:lineRule="auto"/>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301C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7189"/>
    <w:rPr>
      <w:color w:val="0000FF"/>
      <w:u w:val="single"/>
    </w:rPr>
  </w:style>
  <w:style w:type="paragraph" w:styleId="Encabezado">
    <w:name w:val="header"/>
    <w:basedOn w:val="Normal"/>
    <w:link w:val="EncabezadoCar"/>
    <w:uiPriority w:val="99"/>
    <w:unhideWhenUsed/>
    <w:rsid w:val="000E7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189"/>
  </w:style>
  <w:style w:type="paragraph" w:styleId="Piedepgina">
    <w:name w:val="footer"/>
    <w:basedOn w:val="Normal"/>
    <w:link w:val="PiedepginaCar"/>
    <w:uiPriority w:val="99"/>
    <w:unhideWhenUsed/>
    <w:rsid w:val="000E7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189"/>
  </w:style>
  <w:style w:type="paragraph" w:styleId="Textodeglobo">
    <w:name w:val="Balloon Text"/>
    <w:basedOn w:val="Normal"/>
    <w:link w:val="TextodegloboCar"/>
    <w:uiPriority w:val="99"/>
    <w:semiHidden/>
    <w:unhideWhenUsed/>
    <w:rsid w:val="000E71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189"/>
    <w:rPr>
      <w:rFonts w:ascii="Tahoma" w:hAnsi="Tahoma" w:cs="Tahoma"/>
      <w:sz w:val="16"/>
      <w:szCs w:val="16"/>
    </w:rPr>
  </w:style>
  <w:style w:type="paragraph" w:styleId="Prrafodelista">
    <w:name w:val="List Paragraph"/>
    <w:aliases w:val="Bullet 1,Use Case List Paragraph"/>
    <w:basedOn w:val="Normal"/>
    <w:link w:val="PrrafodelistaCar"/>
    <w:uiPriority w:val="34"/>
    <w:qFormat/>
    <w:rsid w:val="000E7189"/>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Bullet 1 Car,Use Case List Paragraph Car"/>
    <w:link w:val="Prrafodelista"/>
    <w:uiPriority w:val="34"/>
    <w:locked/>
    <w:rsid w:val="000E718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5301CC"/>
    <w:pPr>
      <w:spacing w:after="120" w:line="480" w:lineRule="auto"/>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301C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Servicio de lavandería de prendas varias por demanda</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Fe de Erratas</AnexosCartel>
    <Anhio xmlns="f339ac9f-4011-41be-9edd-aa0ec2505ec2">2014</Anhio>
    <ContenidoMultilineaHTML xmlns="b9fc4df0-8f56-46e7-b005-54afe0044df7">&lt;p&gt;​Servicio de lavandería de prendas varias por demanda​&lt;br&gt;&lt;/p&gt;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4DFEB-7214-4866-B784-55BA84FCEC49}"/>
</file>

<file path=customXml/itemProps2.xml><?xml version="1.0" encoding="utf-8"?>
<ds:datastoreItem xmlns:ds="http://schemas.openxmlformats.org/officeDocument/2006/customXml" ds:itemID="{079EFAAE-2571-4C47-A62E-D1E39BEBFC1C}"/>
</file>

<file path=customXml/itemProps3.xml><?xml version="1.0" encoding="utf-8"?>
<ds:datastoreItem xmlns:ds="http://schemas.openxmlformats.org/officeDocument/2006/customXml" ds:itemID="{485AA7E1-9EC3-4DAA-BA5E-BD4C06117BB2}"/>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DE ERRATAS 2 2014LA-000030-BCCR </dc:title>
  <dc:creator>JIMENEZ MORALES ZAYDA PATRICIA</dc:creator>
  <cp:lastModifiedBy>JIMENEZ MORALES ZAYDA PATRICIA</cp:lastModifiedBy>
  <cp:revision>2</cp:revision>
  <cp:lastPrinted>2014-11-21T21:16:00Z</cp:lastPrinted>
  <dcterms:created xsi:type="dcterms:W3CDTF">2014-11-21T22:23:00Z</dcterms:created>
  <dcterms:modified xsi:type="dcterms:W3CDTF">2014-11-21T22:23:00Z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