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39B5E" w14:textId="77777777" w:rsidR="009F3610" w:rsidRPr="00E97854" w:rsidRDefault="009F3610" w:rsidP="009F3610">
      <w:pPr>
        <w:contextualSpacing/>
        <w:jc w:val="center"/>
        <w:rPr>
          <w:rFonts w:ascii="Tahoma" w:hAnsi="Tahoma" w:cs="Tahoma"/>
          <w:b/>
          <w:sz w:val="28"/>
          <w:szCs w:val="28"/>
        </w:rPr>
      </w:pPr>
      <w:r w:rsidRPr="00E97854">
        <w:rPr>
          <w:rFonts w:ascii="Tahoma" w:hAnsi="Tahoma" w:cs="Tahoma"/>
          <w:b/>
          <w:sz w:val="28"/>
          <w:szCs w:val="28"/>
        </w:rPr>
        <w:t xml:space="preserve">FE DE ERRATAS </w:t>
      </w:r>
    </w:p>
    <w:p w14:paraId="1D439B5F" w14:textId="77777777" w:rsidR="009F3610" w:rsidRPr="00E97854" w:rsidRDefault="009F3610" w:rsidP="009F3610">
      <w:pPr>
        <w:contextualSpacing/>
        <w:jc w:val="center"/>
        <w:rPr>
          <w:rFonts w:ascii="Tahoma" w:hAnsi="Tahoma" w:cs="Tahoma"/>
          <w:b/>
          <w:lang w:eastAsia="es-CR"/>
        </w:rPr>
      </w:pPr>
    </w:p>
    <w:p w14:paraId="1D439B60" w14:textId="77777777" w:rsidR="00E97854" w:rsidRPr="00E97854" w:rsidRDefault="00E97854" w:rsidP="00E97854">
      <w:pPr>
        <w:widowControl w:val="0"/>
        <w:spacing w:after="0" w:line="240" w:lineRule="auto"/>
        <w:jc w:val="center"/>
        <w:rPr>
          <w:rFonts w:ascii="Tahoma" w:eastAsia="MS Mincho" w:hAnsi="Tahoma" w:cs="Tahoma"/>
          <w:b/>
          <w:sz w:val="24"/>
          <w:szCs w:val="24"/>
          <w:lang w:val="es-ES" w:eastAsia="es-ES"/>
        </w:rPr>
      </w:pPr>
      <w:r w:rsidRPr="00E97854">
        <w:rPr>
          <w:rFonts w:ascii="Tahoma" w:eastAsia="MS Mincho" w:hAnsi="Tahoma" w:cs="Tahoma"/>
          <w:b/>
          <w:sz w:val="24"/>
          <w:szCs w:val="24"/>
          <w:lang w:val="es-ES" w:eastAsia="es-ES"/>
        </w:rPr>
        <w:t>LICITACIÓN PÚBLICA Nº 2014LN-00000</w:t>
      </w:r>
      <w:r w:rsidR="007A39E4">
        <w:rPr>
          <w:rFonts w:ascii="Tahoma" w:eastAsia="MS Mincho" w:hAnsi="Tahoma" w:cs="Tahoma"/>
          <w:b/>
          <w:sz w:val="24"/>
          <w:szCs w:val="24"/>
          <w:lang w:val="es-ES" w:eastAsia="es-ES"/>
        </w:rPr>
        <w:t>9</w:t>
      </w:r>
      <w:r w:rsidRPr="00E97854">
        <w:rPr>
          <w:rFonts w:ascii="Tahoma" w:eastAsia="MS Mincho" w:hAnsi="Tahoma" w:cs="Tahoma"/>
          <w:b/>
          <w:sz w:val="24"/>
          <w:szCs w:val="24"/>
          <w:lang w:val="es-ES" w:eastAsia="es-ES"/>
        </w:rPr>
        <w:t>-BCCR</w:t>
      </w:r>
    </w:p>
    <w:p w14:paraId="1D439B61" w14:textId="77777777" w:rsidR="00E97854" w:rsidRPr="00E97854" w:rsidRDefault="00E97854" w:rsidP="00E97854">
      <w:pPr>
        <w:tabs>
          <w:tab w:val="center" w:pos="4320"/>
          <w:tab w:val="right" w:pos="8640"/>
        </w:tabs>
        <w:spacing w:after="0" w:line="240" w:lineRule="auto"/>
        <w:jc w:val="center"/>
        <w:rPr>
          <w:rFonts w:ascii="Tahoma" w:eastAsia="MS Mincho" w:hAnsi="Tahoma" w:cs="Tahoma"/>
          <w:b/>
          <w:bCs/>
          <w:lang w:val="es-ES" w:eastAsia="es-ES"/>
        </w:rPr>
      </w:pPr>
    </w:p>
    <w:p w14:paraId="1D439B62" w14:textId="77777777" w:rsidR="00E97854" w:rsidRPr="00E97854" w:rsidRDefault="007A39E4" w:rsidP="007A39E4">
      <w:pPr>
        <w:tabs>
          <w:tab w:val="center" w:pos="4320"/>
          <w:tab w:val="right" w:pos="8640"/>
        </w:tabs>
        <w:spacing w:after="0" w:line="240" w:lineRule="auto"/>
        <w:jc w:val="center"/>
        <w:rPr>
          <w:rFonts w:ascii="Tahoma" w:eastAsia="MS Mincho" w:hAnsi="Tahoma" w:cs="Tahoma"/>
          <w:b/>
          <w:bCs/>
          <w:lang w:val="es-ES" w:eastAsia="es-ES"/>
        </w:rPr>
      </w:pPr>
      <w:r w:rsidRPr="00951C09">
        <w:rPr>
          <w:rFonts w:ascii="Tahoma" w:hAnsi="Tahoma" w:cs="Tahoma"/>
          <w:b/>
        </w:rPr>
        <w:t>“CONTRATACIÓN DE SERVICIO DE SEGURIDAD Y VIGILANCIA PRIVADA, BAJO MODALIDAD DE SERVICIO SEGÚN DEMANDA”</w:t>
      </w:r>
    </w:p>
    <w:p w14:paraId="1D439B63" w14:textId="77777777" w:rsidR="009F3610" w:rsidRPr="00E97854" w:rsidRDefault="009F3610" w:rsidP="009F3610">
      <w:pPr>
        <w:contextualSpacing/>
        <w:jc w:val="both"/>
        <w:rPr>
          <w:rFonts w:ascii="Tahoma" w:eastAsia="Calibri" w:hAnsi="Tahoma" w:cs="Tahoma"/>
          <w:lang w:val="es-ES"/>
        </w:rPr>
      </w:pPr>
    </w:p>
    <w:p w14:paraId="1D439B64" w14:textId="77777777" w:rsidR="00E97854" w:rsidRPr="009F3610" w:rsidRDefault="00E97854" w:rsidP="00E97854">
      <w:pPr>
        <w:spacing w:before="72" w:after="0" w:line="240" w:lineRule="auto"/>
        <w:jc w:val="both"/>
        <w:rPr>
          <w:rFonts w:ascii="Tahoma" w:hAnsi="Tahoma" w:cs="Tahoma"/>
        </w:rPr>
      </w:pPr>
      <w:r w:rsidRPr="009F3610">
        <w:rPr>
          <w:rFonts w:ascii="Tahoma" w:hAnsi="Tahoma" w:cs="Tahoma"/>
        </w:rPr>
        <w:t>Se avisa a todos los interesados en participar en esta contratación que al cartel se le realizan las siguientes aclaraciones</w:t>
      </w:r>
      <w:r w:rsidR="005E7B00">
        <w:rPr>
          <w:rFonts w:ascii="Tahoma" w:hAnsi="Tahoma" w:cs="Tahoma"/>
        </w:rPr>
        <w:t xml:space="preserve"> y modificaciones</w:t>
      </w:r>
      <w:r w:rsidRPr="009F3610">
        <w:rPr>
          <w:rFonts w:ascii="Tahoma" w:hAnsi="Tahoma" w:cs="Tahoma"/>
        </w:rPr>
        <w:t>:</w:t>
      </w:r>
    </w:p>
    <w:p w14:paraId="1D439B65" w14:textId="77777777" w:rsidR="009F3610" w:rsidRDefault="002157F6" w:rsidP="009F3610">
      <w:pPr>
        <w:pStyle w:val="Prrafodelista"/>
        <w:widowControl w:val="0"/>
        <w:numPr>
          <w:ilvl w:val="0"/>
          <w:numId w:val="1"/>
        </w:numPr>
        <w:spacing w:before="240" w:after="60"/>
        <w:ind w:left="284" w:hanging="284"/>
        <w:contextualSpacing/>
        <w:jc w:val="both"/>
        <w:outlineLvl w:val="2"/>
        <w:rPr>
          <w:rFonts w:ascii="Tahoma" w:hAnsi="Tahoma" w:cs="Tahoma"/>
          <w:lang w:eastAsia="es-CR"/>
        </w:rPr>
      </w:pPr>
      <w:r w:rsidRPr="00B479E8">
        <w:rPr>
          <w:rFonts w:ascii="Tahoma" w:eastAsia="MS Mincho" w:hAnsi="Tahoma" w:cs="Tahoma"/>
          <w:lang w:val="es-MX" w:eastAsia="es-ES"/>
        </w:rPr>
        <w:t xml:space="preserve">Debido a </w:t>
      </w:r>
      <w:r w:rsidR="005A0B93" w:rsidRPr="00B479E8">
        <w:rPr>
          <w:rFonts w:ascii="Tahoma" w:eastAsia="MS Mincho" w:hAnsi="Tahoma" w:cs="Tahoma"/>
          <w:lang w:val="es-MX" w:eastAsia="es-ES"/>
        </w:rPr>
        <w:t xml:space="preserve">que las </w:t>
      </w:r>
      <w:r w:rsidRPr="00B479E8">
        <w:rPr>
          <w:rFonts w:ascii="Tahoma" w:eastAsia="MS Mincho" w:hAnsi="Tahoma" w:cs="Tahoma"/>
          <w:lang w:val="es-MX" w:eastAsia="es-ES"/>
        </w:rPr>
        <w:t>aclaraciones y modificaciones</w:t>
      </w:r>
      <w:r w:rsidR="005A0B93" w:rsidRPr="00B479E8">
        <w:rPr>
          <w:rFonts w:ascii="Tahoma" w:eastAsia="MS Mincho" w:hAnsi="Tahoma" w:cs="Tahoma"/>
          <w:lang w:val="es-MX" w:eastAsia="es-ES"/>
        </w:rPr>
        <w:t xml:space="preserve"> al cartel </w:t>
      </w:r>
      <w:r w:rsidR="00743493" w:rsidRPr="00B479E8">
        <w:rPr>
          <w:rFonts w:ascii="Tahoma" w:eastAsia="MS Mincho" w:hAnsi="Tahoma" w:cs="Tahoma"/>
          <w:lang w:val="es-MX" w:eastAsia="es-ES"/>
        </w:rPr>
        <w:t xml:space="preserve">no </w:t>
      </w:r>
      <w:r w:rsidR="005A0B93" w:rsidRPr="00B479E8">
        <w:rPr>
          <w:rFonts w:ascii="Tahoma" w:eastAsia="MS Mincho" w:hAnsi="Tahoma" w:cs="Tahoma"/>
          <w:lang w:val="es-MX" w:eastAsia="es-ES"/>
        </w:rPr>
        <w:t xml:space="preserve"> son </w:t>
      </w:r>
      <w:r w:rsidR="00743493" w:rsidRPr="00B479E8">
        <w:rPr>
          <w:rFonts w:ascii="Tahoma" w:eastAsia="MS Mincho" w:hAnsi="Tahoma" w:cs="Tahoma"/>
          <w:lang w:val="es-MX" w:eastAsia="es-ES"/>
        </w:rPr>
        <w:t>esenciales</w:t>
      </w:r>
      <w:r w:rsidRPr="00B479E8">
        <w:rPr>
          <w:rFonts w:ascii="Tahoma" w:eastAsia="MS Mincho" w:hAnsi="Tahoma" w:cs="Tahoma"/>
          <w:lang w:val="es-MX" w:eastAsia="es-ES"/>
        </w:rPr>
        <w:t>,</w:t>
      </w:r>
      <w:r>
        <w:rPr>
          <w:rFonts w:ascii="Tahoma" w:eastAsia="MS Mincho" w:hAnsi="Tahoma" w:cs="Tahoma"/>
          <w:b/>
          <w:lang w:val="es-MX" w:eastAsia="es-ES"/>
        </w:rPr>
        <w:t xml:space="preserve"> s</w:t>
      </w:r>
      <w:r w:rsidR="009F3610" w:rsidRPr="00EE4B84">
        <w:rPr>
          <w:rFonts w:ascii="Tahoma" w:eastAsia="MS Mincho" w:hAnsi="Tahoma" w:cs="Tahoma"/>
          <w:b/>
          <w:lang w:val="es-MX" w:eastAsia="es-ES"/>
        </w:rPr>
        <w:t xml:space="preserve">e amplía </w:t>
      </w:r>
      <w:r w:rsidR="009F3610">
        <w:rPr>
          <w:rFonts w:ascii="Tahoma" w:eastAsia="MS Mincho" w:hAnsi="Tahoma" w:cs="Tahoma"/>
          <w:b/>
          <w:lang w:val="es-MX" w:eastAsia="es-ES"/>
        </w:rPr>
        <w:t xml:space="preserve">el plazo </w:t>
      </w:r>
      <w:r w:rsidR="009F3610" w:rsidRPr="00EE4B84">
        <w:rPr>
          <w:rFonts w:ascii="Tahoma" w:eastAsia="MS Mincho" w:hAnsi="Tahoma" w:cs="Tahoma"/>
          <w:b/>
          <w:lang w:val="es-MX" w:eastAsia="es-ES"/>
        </w:rPr>
        <w:t>para recepción de ofertas</w:t>
      </w:r>
      <w:r w:rsidR="00575CD1">
        <w:rPr>
          <w:rFonts w:ascii="Tahoma" w:eastAsia="MS Mincho" w:hAnsi="Tahoma" w:cs="Tahoma"/>
          <w:b/>
          <w:lang w:val="es-MX" w:eastAsia="es-ES"/>
        </w:rPr>
        <w:t>,</w:t>
      </w:r>
      <w:r w:rsidR="009F3610" w:rsidRPr="00EE4B84">
        <w:rPr>
          <w:rFonts w:ascii="Tahoma" w:eastAsia="MS Mincho" w:hAnsi="Tahoma" w:cs="Tahoma"/>
          <w:b/>
          <w:lang w:val="es-MX" w:eastAsia="es-ES"/>
        </w:rPr>
        <w:t xml:space="preserve"> </w:t>
      </w:r>
      <w:r w:rsidR="009F3610" w:rsidRPr="00A66A54">
        <w:rPr>
          <w:rFonts w:ascii="Tahoma" w:eastAsia="Times New Roman" w:hAnsi="Tahoma" w:cs="Tahoma"/>
          <w:b/>
          <w:u w:val="single"/>
          <w:shd w:val="clear" w:color="auto" w:fill="FFFFCC"/>
          <w:lang w:val="es-ES" w:eastAsia="es-ES"/>
        </w:rPr>
        <w:t>hasta las 10:</w:t>
      </w:r>
      <w:r w:rsidR="009F3610" w:rsidRPr="00B0428D">
        <w:rPr>
          <w:rFonts w:ascii="Tahoma" w:eastAsia="Times New Roman" w:hAnsi="Tahoma" w:cs="Tahoma"/>
          <w:b/>
          <w:u w:val="single"/>
          <w:shd w:val="clear" w:color="auto" w:fill="FFFFCC"/>
          <w:lang w:val="es-ES" w:eastAsia="es-ES"/>
        </w:rPr>
        <w:t xml:space="preserve">00 horas del día </w:t>
      </w:r>
      <w:r w:rsidR="008A2FEB">
        <w:rPr>
          <w:rFonts w:ascii="Tahoma" w:eastAsia="Times New Roman" w:hAnsi="Tahoma" w:cs="Tahoma"/>
          <w:b/>
          <w:u w:val="single"/>
          <w:shd w:val="clear" w:color="auto" w:fill="FFFFCC"/>
          <w:lang w:val="es-ES" w:eastAsia="es-ES"/>
        </w:rPr>
        <w:t>jueves 26</w:t>
      </w:r>
      <w:r w:rsidR="009F3610" w:rsidRPr="00B0428D">
        <w:rPr>
          <w:rFonts w:ascii="Tahoma" w:eastAsia="Times New Roman" w:hAnsi="Tahoma" w:cs="Tahoma"/>
          <w:b/>
          <w:u w:val="single"/>
          <w:shd w:val="clear" w:color="auto" w:fill="FFFFCC"/>
          <w:lang w:val="es-ES" w:eastAsia="es-ES"/>
        </w:rPr>
        <w:t xml:space="preserve"> de marzo del 2015</w:t>
      </w:r>
      <w:r w:rsidR="009F3610" w:rsidRPr="00FB1AC5">
        <w:rPr>
          <w:rFonts w:ascii="Tahoma" w:hAnsi="Tahoma" w:cs="Tahoma"/>
          <w:lang w:eastAsia="es-CR"/>
        </w:rPr>
        <w:t>, según reloj marcador del Departamento de Proveeduría, ubicado en el primer piso del Edificio Principal del BCCR, Avenidas Central y Primera, Calles 2 y 4.</w:t>
      </w:r>
    </w:p>
    <w:p w14:paraId="1D439B66" w14:textId="77777777" w:rsidR="00052ED8" w:rsidRDefault="00052ED8" w:rsidP="00052ED8">
      <w:pPr>
        <w:pStyle w:val="Prrafodelista"/>
        <w:widowControl w:val="0"/>
        <w:spacing w:before="240" w:after="60"/>
        <w:ind w:left="284"/>
        <w:contextualSpacing/>
        <w:jc w:val="both"/>
        <w:outlineLvl w:val="2"/>
        <w:rPr>
          <w:rFonts w:ascii="Tahoma" w:hAnsi="Tahoma" w:cs="Tahoma"/>
          <w:lang w:eastAsia="es-CR"/>
        </w:rPr>
      </w:pPr>
    </w:p>
    <w:p w14:paraId="1D439B67" w14:textId="77777777" w:rsidR="008C4475" w:rsidRPr="008C4475" w:rsidRDefault="008C4475" w:rsidP="008C4475">
      <w:pPr>
        <w:pStyle w:val="Prrafodelista"/>
        <w:widowControl w:val="0"/>
        <w:numPr>
          <w:ilvl w:val="0"/>
          <w:numId w:val="1"/>
        </w:numPr>
        <w:spacing w:before="240" w:after="60"/>
        <w:ind w:left="284" w:hanging="284"/>
        <w:contextualSpacing/>
        <w:jc w:val="both"/>
        <w:outlineLvl w:val="2"/>
        <w:rPr>
          <w:rFonts w:ascii="Tahoma" w:hAnsi="Tahoma" w:cs="Tahoma"/>
          <w:lang w:eastAsia="es-CR"/>
        </w:rPr>
      </w:pPr>
      <w:r w:rsidRPr="008C4475">
        <w:rPr>
          <w:rFonts w:ascii="Tahoma" w:hAnsi="Tahoma" w:cs="Tahoma"/>
          <w:b/>
          <w:lang w:eastAsia="es-CR"/>
        </w:rPr>
        <w:t>En el punto 2.3.2 a- del cartel, referente a la frase “posicionamiento en el medio”, se aclara lo siguiente:</w:t>
      </w:r>
    </w:p>
    <w:p w14:paraId="1D439B68" w14:textId="77777777" w:rsidR="008C4475" w:rsidRDefault="008C4475" w:rsidP="008C4475">
      <w:pPr>
        <w:pStyle w:val="Prrafodelista"/>
        <w:widowControl w:val="0"/>
        <w:spacing w:before="240" w:after="60"/>
        <w:ind w:left="284"/>
        <w:contextualSpacing/>
        <w:jc w:val="both"/>
        <w:outlineLvl w:val="2"/>
        <w:rPr>
          <w:rFonts w:ascii="Tahoma" w:hAnsi="Tahoma" w:cs="Tahoma"/>
          <w:lang w:eastAsia="es-CR"/>
        </w:rPr>
      </w:pPr>
      <w:r>
        <w:rPr>
          <w:rFonts w:ascii="Tahoma" w:hAnsi="Tahoma" w:cs="Tahoma"/>
        </w:rPr>
        <w:t xml:space="preserve">La </w:t>
      </w:r>
      <w:r w:rsidRPr="00032500">
        <w:rPr>
          <w:rFonts w:ascii="Tahoma" w:hAnsi="Tahoma" w:cs="Tahoma"/>
        </w:rPr>
        <w:t xml:space="preserve">frase </w:t>
      </w:r>
      <w:r w:rsidRPr="00032500">
        <w:rPr>
          <w:rFonts w:ascii="Tahoma" w:hAnsi="Tahoma" w:cs="Tahoma"/>
          <w:lang w:eastAsia="es-CR"/>
        </w:rPr>
        <w:t xml:space="preserve">“posicionamiento en el medio”, se refiere a la experiencia en seguridad y vigilancia privada en edificios de entidades públicas o privadas, no necesariamente en edificios bancarios; pero que cumplan con los aspectos indicados en los restantes puntos del b al f, la información se deberá aportar en el cuadro indicado en el punto f- del mismo apartado, rendida mediante declaración jurada rendida ante Notario Público. No siendo necesario aportar cartas de referencia adicionales. No obstante se aclara que la información indicada en el cuadro aunque esté rendida ante notario público, si en el análisis de ofertas </w:t>
      </w:r>
      <w:r w:rsidR="006551F4">
        <w:rPr>
          <w:rFonts w:ascii="Tahoma" w:hAnsi="Tahoma" w:cs="Tahoma"/>
          <w:lang w:eastAsia="es-CR"/>
        </w:rPr>
        <w:t xml:space="preserve">alguna </w:t>
      </w:r>
      <w:r w:rsidRPr="00032500">
        <w:rPr>
          <w:rFonts w:ascii="Tahoma" w:hAnsi="Tahoma" w:cs="Tahoma"/>
          <w:lang w:eastAsia="es-CR"/>
        </w:rPr>
        <w:t>no se puede verificar, la misma no podrá ser admitida</w:t>
      </w:r>
      <w:r w:rsidR="007D3C75" w:rsidRPr="007D3C75">
        <w:rPr>
          <w:rFonts w:ascii="Tahoma" w:hAnsi="Tahoma" w:cs="Tahoma"/>
          <w:lang w:eastAsia="es-CR"/>
        </w:rPr>
        <w:t xml:space="preserve"> si no se cumple el mínimo, o no podrá considerarse para evaluación si es superior al mínimo pero no </w:t>
      </w:r>
      <w:r w:rsidR="00152420">
        <w:rPr>
          <w:rFonts w:ascii="Tahoma" w:hAnsi="Tahoma" w:cs="Tahoma"/>
          <w:lang w:eastAsia="es-CR"/>
        </w:rPr>
        <w:t xml:space="preserve">pudo </w:t>
      </w:r>
      <w:r w:rsidR="007D3C75" w:rsidRPr="007D3C75">
        <w:rPr>
          <w:rFonts w:ascii="Tahoma" w:hAnsi="Tahoma" w:cs="Tahoma"/>
          <w:lang w:eastAsia="es-CR"/>
        </w:rPr>
        <w:t>verifica</w:t>
      </w:r>
      <w:r w:rsidR="00152420">
        <w:rPr>
          <w:rFonts w:ascii="Tahoma" w:hAnsi="Tahoma" w:cs="Tahoma"/>
          <w:lang w:eastAsia="es-CR"/>
        </w:rPr>
        <w:t>rse</w:t>
      </w:r>
      <w:r w:rsidR="007D3C75" w:rsidRPr="007D3C75">
        <w:rPr>
          <w:rFonts w:ascii="Tahoma" w:hAnsi="Tahoma" w:cs="Tahoma"/>
          <w:lang w:eastAsia="es-CR"/>
        </w:rPr>
        <w:t>.</w:t>
      </w:r>
    </w:p>
    <w:p w14:paraId="1D439B69" w14:textId="77777777" w:rsidR="008C4475" w:rsidRPr="008C4475" w:rsidRDefault="008C4475" w:rsidP="008C4475">
      <w:pPr>
        <w:pStyle w:val="Prrafodelista"/>
        <w:widowControl w:val="0"/>
        <w:spacing w:before="240" w:after="60"/>
        <w:ind w:left="284"/>
        <w:contextualSpacing/>
        <w:jc w:val="both"/>
        <w:outlineLvl w:val="2"/>
        <w:rPr>
          <w:rFonts w:ascii="Tahoma" w:hAnsi="Tahoma" w:cs="Tahoma"/>
          <w:lang w:eastAsia="es-CR"/>
        </w:rPr>
      </w:pPr>
    </w:p>
    <w:p w14:paraId="1D439B6A" w14:textId="77777777" w:rsidR="009F3610" w:rsidRPr="009F3610" w:rsidRDefault="009F3610" w:rsidP="00CD0979">
      <w:pPr>
        <w:pStyle w:val="Prrafodelista"/>
        <w:widowControl w:val="0"/>
        <w:numPr>
          <w:ilvl w:val="0"/>
          <w:numId w:val="1"/>
        </w:numPr>
        <w:spacing w:before="240" w:after="60"/>
        <w:ind w:left="284" w:hanging="284"/>
        <w:contextualSpacing/>
        <w:jc w:val="both"/>
        <w:outlineLvl w:val="2"/>
        <w:rPr>
          <w:rFonts w:ascii="Tahoma" w:hAnsi="Tahoma" w:cs="Tahoma"/>
          <w:lang w:eastAsia="es-CR"/>
        </w:rPr>
      </w:pPr>
      <w:r w:rsidRPr="009F3610">
        <w:rPr>
          <w:rFonts w:ascii="Tahoma" w:hAnsi="Tahoma" w:cs="Tahoma"/>
          <w:b/>
          <w:lang w:eastAsia="es-CR"/>
        </w:rPr>
        <w:t xml:space="preserve">En el punto </w:t>
      </w:r>
      <w:r w:rsidR="002D5C3A">
        <w:rPr>
          <w:rFonts w:ascii="Tahoma" w:hAnsi="Tahoma" w:cs="Tahoma"/>
          <w:b/>
          <w:lang w:eastAsia="es-CR"/>
        </w:rPr>
        <w:t>2</w:t>
      </w:r>
      <w:r w:rsidR="0011173C" w:rsidRPr="00050018">
        <w:rPr>
          <w:rFonts w:ascii="Tahoma" w:hAnsi="Tahoma" w:cs="Tahoma"/>
          <w:b/>
          <w:lang w:eastAsia="es-CR"/>
        </w:rPr>
        <w:t>.</w:t>
      </w:r>
      <w:r w:rsidR="00DE2755" w:rsidRPr="00050018">
        <w:rPr>
          <w:rFonts w:ascii="Tahoma" w:hAnsi="Tahoma" w:cs="Tahoma"/>
          <w:b/>
          <w:lang w:eastAsia="es-CR"/>
        </w:rPr>
        <w:t>3</w:t>
      </w:r>
      <w:r w:rsidR="0011173C" w:rsidRPr="00050018">
        <w:rPr>
          <w:rFonts w:ascii="Tahoma" w:hAnsi="Tahoma" w:cs="Tahoma"/>
          <w:b/>
          <w:lang w:eastAsia="es-CR"/>
        </w:rPr>
        <w:t>.3</w:t>
      </w:r>
      <w:r w:rsidRPr="009F3610">
        <w:rPr>
          <w:rFonts w:ascii="Tahoma" w:hAnsi="Tahoma" w:cs="Tahoma"/>
          <w:b/>
          <w:lang w:eastAsia="es-CR"/>
        </w:rPr>
        <w:t xml:space="preserve"> </w:t>
      </w:r>
      <w:r w:rsidR="00CD0979" w:rsidRPr="00050018">
        <w:rPr>
          <w:rFonts w:ascii="Tahoma" w:hAnsi="Tahoma" w:cs="Tahoma"/>
          <w:b/>
        </w:rPr>
        <w:t>punto 3 de la tabla aportada Equipo de Comunicación</w:t>
      </w:r>
      <w:r w:rsidR="00CD0979" w:rsidRPr="00050018">
        <w:rPr>
          <w:rFonts w:ascii="Tahoma" w:hAnsi="Tahoma" w:cs="Tahoma"/>
          <w:b/>
          <w:lang w:eastAsia="es-CR"/>
        </w:rPr>
        <w:t xml:space="preserve"> </w:t>
      </w:r>
      <w:r w:rsidRPr="009F3610">
        <w:rPr>
          <w:rFonts w:ascii="Tahoma" w:hAnsi="Tahoma" w:cs="Tahoma"/>
          <w:b/>
          <w:lang w:eastAsia="es-CR"/>
        </w:rPr>
        <w:t>del cartel</w:t>
      </w:r>
      <w:r w:rsidR="00050018" w:rsidRPr="00050018">
        <w:rPr>
          <w:rFonts w:ascii="Tahoma" w:hAnsi="Tahoma" w:cs="Tahoma"/>
          <w:b/>
          <w:lang w:eastAsia="es-CR"/>
        </w:rPr>
        <w:t xml:space="preserve"> se aclara lo siguiente</w:t>
      </w:r>
      <w:r w:rsidR="00050018">
        <w:rPr>
          <w:rFonts w:ascii="Tahoma" w:hAnsi="Tahoma" w:cs="Tahoma"/>
          <w:lang w:eastAsia="es-CR"/>
        </w:rPr>
        <w:t>:</w:t>
      </w:r>
    </w:p>
    <w:p w14:paraId="1D439B6B" w14:textId="77777777" w:rsidR="009F3610" w:rsidRPr="009F3610" w:rsidRDefault="00DE2755" w:rsidP="00CD0979">
      <w:pPr>
        <w:spacing w:after="0" w:line="240" w:lineRule="auto"/>
        <w:ind w:left="284"/>
        <w:jc w:val="both"/>
        <w:rPr>
          <w:rFonts w:ascii="Tahoma" w:hAnsi="Tahoma" w:cs="Tahoma"/>
        </w:rPr>
      </w:pPr>
      <w:r w:rsidRPr="00FD0AC8">
        <w:rPr>
          <w:rFonts w:ascii="Tahoma" w:hAnsi="Tahoma" w:cs="Tahoma"/>
        </w:rPr>
        <w:t>En el punto 3</w:t>
      </w:r>
      <w:r w:rsidR="00CD0979" w:rsidRPr="00FD0AC8">
        <w:rPr>
          <w:rFonts w:ascii="Tahoma" w:hAnsi="Tahoma" w:cs="Tahoma"/>
        </w:rPr>
        <w:t xml:space="preserve"> de la tabla aportada</w:t>
      </w:r>
      <w:r w:rsidR="00FD0AC8" w:rsidRPr="00FD0AC8">
        <w:rPr>
          <w:rFonts w:ascii="Tahoma" w:hAnsi="Tahoma" w:cs="Tahoma"/>
        </w:rPr>
        <w:t xml:space="preserve"> Equipo de Comunicación</w:t>
      </w:r>
      <w:r w:rsidR="00FD0AC8" w:rsidRPr="003A1E26">
        <w:rPr>
          <w:rFonts w:ascii="Tahoma" w:hAnsi="Tahoma" w:cs="Tahoma"/>
        </w:rPr>
        <w:t xml:space="preserve">, </w:t>
      </w:r>
      <w:r w:rsidR="00FD0AC8" w:rsidRPr="00FD0AC8">
        <w:rPr>
          <w:rFonts w:ascii="Tahoma" w:hAnsi="Tahoma" w:cs="Tahoma"/>
        </w:rPr>
        <w:t>en la segunda celda que corresponde a elementos mínimos se deben indicar las características</w:t>
      </w:r>
      <w:r w:rsidR="00090018">
        <w:rPr>
          <w:rFonts w:ascii="Tahoma" w:hAnsi="Tahoma" w:cs="Tahoma"/>
        </w:rPr>
        <w:t xml:space="preserve"> relevantes</w:t>
      </w:r>
      <w:r w:rsidR="00FD0AC8" w:rsidRPr="00FD0AC8">
        <w:rPr>
          <w:rFonts w:ascii="Tahoma" w:hAnsi="Tahoma" w:cs="Tahoma"/>
        </w:rPr>
        <w:t xml:space="preserve"> de cada equipo</w:t>
      </w:r>
      <w:r w:rsidR="00090018">
        <w:rPr>
          <w:rFonts w:ascii="Tahoma" w:hAnsi="Tahoma" w:cs="Tahoma"/>
        </w:rPr>
        <w:t xml:space="preserve"> (marca, modelo, entre otros)</w:t>
      </w:r>
      <w:r w:rsidR="00FD0AC8" w:rsidRPr="00FD0AC8">
        <w:rPr>
          <w:rFonts w:ascii="Tahoma" w:hAnsi="Tahoma" w:cs="Tahoma"/>
        </w:rPr>
        <w:t>.</w:t>
      </w:r>
      <w:r w:rsidR="00FD0AC8">
        <w:rPr>
          <w:rFonts w:ascii="Tahoma" w:hAnsi="Tahoma" w:cs="Tahoma"/>
        </w:rPr>
        <w:t xml:space="preserve"> </w:t>
      </w:r>
      <w:r w:rsidR="00FD0AC8" w:rsidRPr="00FD0AC8">
        <w:rPr>
          <w:rFonts w:ascii="Tahoma" w:hAnsi="Tahoma" w:cs="Tahoma"/>
        </w:rPr>
        <w:t>E</w:t>
      </w:r>
      <w:r w:rsidRPr="00FD0AC8">
        <w:rPr>
          <w:rFonts w:ascii="Tahoma" w:hAnsi="Tahoma" w:cs="Tahoma"/>
        </w:rPr>
        <w:t xml:space="preserve">n la </w:t>
      </w:r>
      <w:r w:rsidR="002D5C3A" w:rsidRPr="00FD0AC8">
        <w:rPr>
          <w:rFonts w:ascii="Tahoma" w:hAnsi="Tahoma" w:cs="Tahoma"/>
        </w:rPr>
        <w:t xml:space="preserve">celda </w:t>
      </w:r>
      <w:r w:rsidR="002D5C3A">
        <w:rPr>
          <w:rFonts w:ascii="Tahoma" w:hAnsi="Tahoma" w:cs="Tahoma"/>
        </w:rPr>
        <w:t xml:space="preserve">respectiva de verificación, </w:t>
      </w:r>
      <w:r w:rsidRPr="00B66D44">
        <w:rPr>
          <w:rFonts w:ascii="Tahoma" w:hAnsi="Tahoma" w:cs="Tahoma"/>
        </w:rPr>
        <w:t xml:space="preserve">se aclara que la empresa oferente, podrá contar con </w:t>
      </w:r>
      <w:r w:rsidR="00321478">
        <w:rPr>
          <w:rFonts w:ascii="Tahoma" w:hAnsi="Tahoma" w:cs="Tahoma"/>
        </w:rPr>
        <w:t>la frecuencia y</w:t>
      </w:r>
      <w:r w:rsidRPr="00B66D44">
        <w:rPr>
          <w:rFonts w:ascii="Tahoma" w:hAnsi="Tahoma" w:cs="Tahoma"/>
        </w:rPr>
        <w:t xml:space="preserve"> el equipo de comunicación</w:t>
      </w:r>
      <w:r w:rsidR="00EE1610">
        <w:rPr>
          <w:rFonts w:ascii="Tahoma" w:hAnsi="Tahoma" w:cs="Tahoma"/>
        </w:rPr>
        <w:t xml:space="preserve"> y frecuencias</w:t>
      </w:r>
      <w:r w:rsidRPr="00B66D44">
        <w:rPr>
          <w:rFonts w:ascii="Tahoma" w:hAnsi="Tahoma" w:cs="Tahoma"/>
        </w:rPr>
        <w:t xml:space="preserve"> </w:t>
      </w:r>
      <w:r w:rsidR="00B66D44" w:rsidRPr="00B66D44">
        <w:rPr>
          <w:rFonts w:ascii="Tahoma" w:hAnsi="Tahoma" w:cs="Tahoma"/>
        </w:rPr>
        <w:t>propio</w:t>
      </w:r>
      <w:r w:rsidR="00EE1610">
        <w:rPr>
          <w:rFonts w:ascii="Tahoma" w:hAnsi="Tahoma" w:cs="Tahoma"/>
        </w:rPr>
        <w:t>s</w:t>
      </w:r>
      <w:r w:rsidR="00B66D44" w:rsidRPr="00B66D44">
        <w:rPr>
          <w:rFonts w:ascii="Tahoma" w:hAnsi="Tahoma" w:cs="Tahoma"/>
        </w:rPr>
        <w:t xml:space="preserve"> o arrendado</w:t>
      </w:r>
      <w:r w:rsidR="00EE1610">
        <w:rPr>
          <w:rFonts w:ascii="Tahoma" w:hAnsi="Tahoma" w:cs="Tahoma"/>
        </w:rPr>
        <w:t>s</w:t>
      </w:r>
      <w:r w:rsidR="00B66D44" w:rsidRPr="00B66D44">
        <w:rPr>
          <w:rFonts w:ascii="Tahoma" w:hAnsi="Tahoma" w:cs="Tahoma"/>
        </w:rPr>
        <w:t>, p</w:t>
      </w:r>
      <w:r w:rsidR="00B66D44">
        <w:rPr>
          <w:rFonts w:ascii="Tahoma" w:hAnsi="Tahoma" w:cs="Tahoma"/>
        </w:rPr>
        <w:t>ara ello deberá presentar copia de la factura de compra, copia del contrato de arrendamiento respectivo, u otro documento idóneo que compruebe la condición (sea de pertenencia o de alquiler) y cumplimiento de las características del equipo mínimo</w:t>
      </w:r>
      <w:r w:rsidR="009D1DC4">
        <w:rPr>
          <w:rFonts w:ascii="Tahoma" w:hAnsi="Tahoma" w:cs="Tahoma"/>
        </w:rPr>
        <w:t xml:space="preserve"> y características de frecuencia,</w:t>
      </w:r>
      <w:r w:rsidR="00B66D44">
        <w:rPr>
          <w:rFonts w:ascii="Tahoma" w:hAnsi="Tahoma" w:cs="Tahoma"/>
        </w:rPr>
        <w:t xml:space="preserve"> indicad</w:t>
      </w:r>
      <w:r w:rsidR="009D1DC4">
        <w:rPr>
          <w:rFonts w:ascii="Tahoma" w:hAnsi="Tahoma" w:cs="Tahoma"/>
        </w:rPr>
        <w:t>as</w:t>
      </w:r>
      <w:r w:rsidR="00B66D44">
        <w:rPr>
          <w:rFonts w:ascii="Tahoma" w:hAnsi="Tahoma" w:cs="Tahoma"/>
        </w:rPr>
        <w:t xml:space="preserve"> en la segunda</w:t>
      </w:r>
      <w:r w:rsidR="009D1DC4">
        <w:rPr>
          <w:rFonts w:ascii="Tahoma" w:hAnsi="Tahoma" w:cs="Tahoma"/>
        </w:rPr>
        <w:t xml:space="preserve"> </w:t>
      </w:r>
      <w:r w:rsidR="007B5723">
        <w:rPr>
          <w:rFonts w:ascii="Tahoma" w:hAnsi="Tahoma" w:cs="Tahoma"/>
        </w:rPr>
        <w:t>celda de esa línea</w:t>
      </w:r>
      <w:r w:rsidR="009D1DC4">
        <w:rPr>
          <w:rFonts w:ascii="Tahoma" w:hAnsi="Tahoma" w:cs="Tahoma"/>
        </w:rPr>
        <w:t xml:space="preserve"> de la </w:t>
      </w:r>
      <w:r w:rsidR="003727A3">
        <w:rPr>
          <w:rFonts w:ascii="Tahoma" w:hAnsi="Tahoma" w:cs="Tahoma"/>
        </w:rPr>
        <w:t xml:space="preserve">tabla </w:t>
      </w:r>
      <w:r w:rsidR="00B66D44">
        <w:rPr>
          <w:rFonts w:ascii="Tahoma" w:hAnsi="Tahoma" w:cs="Tahoma"/>
        </w:rPr>
        <w:t>para el equipo de comunicación.</w:t>
      </w:r>
    </w:p>
    <w:p w14:paraId="7977D700" w14:textId="17C2ABDF" w:rsidR="00066F72" w:rsidRPr="009F3610" w:rsidRDefault="00066F72" w:rsidP="00066F72">
      <w:pPr>
        <w:pStyle w:val="Prrafodelista"/>
        <w:widowControl w:val="0"/>
        <w:numPr>
          <w:ilvl w:val="0"/>
          <w:numId w:val="1"/>
        </w:numPr>
        <w:spacing w:before="240" w:after="60"/>
        <w:ind w:left="284" w:hanging="284"/>
        <w:contextualSpacing/>
        <w:jc w:val="both"/>
        <w:outlineLvl w:val="2"/>
        <w:rPr>
          <w:rFonts w:ascii="Tahoma" w:hAnsi="Tahoma" w:cs="Tahoma"/>
          <w:lang w:eastAsia="es-CR"/>
        </w:rPr>
      </w:pPr>
      <w:r w:rsidRPr="00066F72">
        <w:rPr>
          <w:rFonts w:ascii="Tahoma" w:hAnsi="Tahoma" w:cs="Tahoma"/>
          <w:b/>
          <w:lang w:eastAsia="es-CR"/>
        </w:rPr>
        <w:t>En</w:t>
      </w:r>
      <w:r w:rsidRPr="009F3610">
        <w:rPr>
          <w:rFonts w:ascii="Tahoma" w:hAnsi="Tahoma" w:cs="Tahoma"/>
          <w:b/>
          <w:lang w:eastAsia="es-CR"/>
        </w:rPr>
        <w:t xml:space="preserve"> el punto </w:t>
      </w:r>
      <w:r>
        <w:rPr>
          <w:rFonts w:ascii="Tahoma" w:hAnsi="Tahoma" w:cs="Tahoma"/>
          <w:b/>
          <w:lang w:eastAsia="es-CR"/>
        </w:rPr>
        <w:t>2</w:t>
      </w:r>
      <w:r w:rsidRPr="00050018">
        <w:rPr>
          <w:rFonts w:ascii="Tahoma" w:hAnsi="Tahoma" w:cs="Tahoma"/>
          <w:b/>
          <w:lang w:eastAsia="es-CR"/>
        </w:rPr>
        <w:t>.3.3</w:t>
      </w:r>
      <w:r w:rsidRPr="009F3610">
        <w:rPr>
          <w:rFonts w:ascii="Tahoma" w:hAnsi="Tahoma" w:cs="Tahoma"/>
          <w:b/>
          <w:lang w:eastAsia="es-CR"/>
        </w:rPr>
        <w:t xml:space="preserve"> </w:t>
      </w:r>
      <w:r w:rsidR="00F8704E">
        <w:rPr>
          <w:rFonts w:ascii="Tahoma" w:hAnsi="Tahoma" w:cs="Tahoma"/>
          <w:b/>
        </w:rPr>
        <w:t>punto 3 de la tabla aportada</w:t>
      </w:r>
      <w:r w:rsidR="00F8704E">
        <w:rPr>
          <w:rFonts w:ascii="Tahoma" w:hAnsi="Tahoma" w:cs="Tahoma"/>
          <w:b/>
          <w:lang w:eastAsia="es-CR"/>
        </w:rPr>
        <w:t xml:space="preserve">, referente a la cantidad de equipos </w:t>
      </w:r>
      <w:r w:rsidRPr="00050018">
        <w:rPr>
          <w:rFonts w:ascii="Tahoma" w:hAnsi="Tahoma" w:cs="Tahoma"/>
          <w:b/>
          <w:lang w:eastAsia="es-CR"/>
        </w:rPr>
        <w:t xml:space="preserve"> </w:t>
      </w:r>
      <w:r w:rsidR="00F8704E">
        <w:rPr>
          <w:rFonts w:ascii="Tahoma" w:hAnsi="Tahoma" w:cs="Tahoma"/>
          <w:b/>
          <w:lang w:eastAsia="es-CR"/>
        </w:rPr>
        <w:t xml:space="preserve">para verificar la infraestructura de la empresa dentro de los aspectos de admisibilidad, </w:t>
      </w:r>
      <w:r w:rsidRPr="00050018">
        <w:rPr>
          <w:rFonts w:ascii="Tahoma" w:hAnsi="Tahoma" w:cs="Tahoma"/>
          <w:b/>
          <w:lang w:eastAsia="es-CR"/>
        </w:rPr>
        <w:t>se aclara lo siguiente</w:t>
      </w:r>
      <w:r>
        <w:rPr>
          <w:rFonts w:ascii="Tahoma" w:hAnsi="Tahoma" w:cs="Tahoma"/>
          <w:lang w:eastAsia="es-CR"/>
        </w:rPr>
        <w:t>:</w:t>
      </w:r>
    </w:p>
    <w:p w14:paraId="1B3A0B8D" w14:textId="480EF08E" w:rsidR="00C55041" w:rsidRPr="00066F72" w:rsidRDefault="00066F72" w:rsidP="00066F72">
      <w:pPr>
        <w:spacing w:after="0" w:line="240" w:lineRule="auto"/>
        <w:ind w:left="284"/>
        <w:jc w:val="both"/>
        <w:rPr>
          <w:rFonts w:ascii="Tahoma" w:hAnsi="Tahoma" w:cs="Tahoma"/>
        </w:rPr>
      </w:pPr>
      <w:r>
        <w:rPr>
          <w:rFonts w:ascii="Tahoma" w:hAnsi="Tahoma" w:cs="Tahoma"/>
        </w:rPr>
        <w:t>L</w:t>
      </w:r>
      <w:r w:rsidR="00C55041" w:rsidRPr="00066F72">
        <w:rPr>
          <w:rFonts w:ascii="Tahoma" w:hAnsi="Tahoma" w:cs="Tahoma"/>
        </w:rPr>
        <w:t xml:space="preserve">a cantidad de equipos indicada en este apartado es para verificar la capacidad del oferente en cuanto a infraestructura mínima relacionada con el mínimo de contratos con las características indicadas en el punto 2.3.2 de EXPERIENCIA, según </w:t>
      </w:r>
      <w:r w:rsidR="00F8704E">
        <w:rPr>
          <w:rFonts w:ascii="Tahoma" w:hAnsi="Tahoma" w:cs="Tahoma"/>
        </w:rPr>
        <w:t>lo</w:t>
      </w:r>
      <w:r w:rsidR="00C55041" w:rsidRPr="00066F72">
        <w:rPr>
          <w:rFonts w:ascii="Tahoma" w:hAnsi="Tahoma" w:cs="Tahoma"/>
        </w:rPr>
        <w:t xml:space="preserve"> expuesto </w:t>
      </w:r>
      <w:r w:rsidR="00C55041" w:rsidRPr="00066F72">
        <w:rPr>
          <w:rFonts w:ascii="Tahoma" w:hAnsi="Tahoma" w:cs="Tahoma"/>
        </w:rPr>
        <w:lastRenderedPageBreak/>
        <w:t>ampliamente en el Recurso de objeción en Resolución R-DCA-146-2015 de fecha 23-02-15. En</w:t>
      </w:r>
      <w:r w:rsidR="00F8704E">
        <w:rPr>
          <w:rFonts w:ascii="Tahoma" w:hAnsi="Tahoma" w:cs="Tahoma"/>
        </w:rPr>
        <w:t xml:space="preserve"> cuanto a lo indicado en</w:t>
      </w:r>
      <w:r w:rsidR="00C55041" w:rsidRPr="00066F72">
        <w:rPr>
          <w:rFonts w:ascii="Tahoma" w:hAnsi="Tahoma" w:cs="Tahoma"/>
        </w:rPr>
        <w:t xml:space="preserve"> el punto 6.9 del cartel, </w:t>
      </w:r>
      <w:r w:rsidR="00F8704E">
        <w:rPr>
          <w:rFonts w:ascii="Tahoma" w:hAnsi="Tahoma" w:cs="Tahoma"/>
        </w:rPr>
        <w:t xml:space="preserve">en este último </w:t>
      </w:r>
      <w:r w:rsidR="00C55041" w:rsidRPr="00066F72">
        <w:rPr>
          <w:rFonts w:ascii="Tahoma" w:hAnsi="Tahoma" w:cs="Tahoma"/>
        </w:rPr>
        <w:t>se describe la cantidad y características de equipos que como mínimo debe asignar la empresa oferente para la ejecución del servicio requerido</w:t>
      </w:r>
      <w:r w:rsidR="00F8704E">
        <w:rPr>
          <w:rFonts w:ascii="Tahoma" w:hAnsi="Tahoma" w:cs="Tahoma"/>
        </w:rPr>
        <w:t xml:space="preserve"> en esta contratación, que el oferente debe contemplar </w:t>
      </w:r>
      <w:r w:rsidR="00C55041" w:rsidRPr="00066F72">
        <w:rPr>
          <w:rFonts w:ascii="Tahoma" w:hAnsi="Tahoma" w:cs="Tahoma"/>
        </w:rPr>
        <w:t>para efecto de planeación, determinación de costos y demás aspectos a</w:t>
      </w:r>
      <w:r w:rsidR="00F8704E">
        <w:rPr>
          <w:rFonts w:ascii="Tahoma" w:hAnsi="Tahoma" w:cs="Tahoma"/>
        </w:rPr>
        <w:t xml:space="preserve"> considerar</w:t>
      </w:r>
      <w:r w:rsidR="00C55041" w:rsidRPr="00066F72">
        <w:rPr>
          <w:rFonts w:ascii="Tahoma" w:hAnsi="Tahoma" w:cs="Tahoma"/>
        </w:rPr>
        <w:t xml:space="preserve"> para plantear su oferta</w:t>
      </w:r>
      <w:r w:rsidR="00F8704E">
        <w:rPr>
          <w:rFonts w:ascii="Tahoma" w:hAnsi="Tahoma" w:cs="Tahoma"/>
        </w:rPr>
        <w:t xml:space="preserve">, lo cual deberá ser cumplido </w:t>
      </w:r>
      <w:r w:rsidR="00C55041" w:rsidRPr="00066F72">
        <w:rPr>
          <w:rFonts w:ascii="Tahoma" w:hAnsi="Tahoma" w:cs="Tahoma"/>
        </w:rPr>
        <w:t xml:space="preserve">en caso de resultar adjudicado. </w:t>
      </w:r>
    </w:p>
    <w:p w14:paraId="1D439B6C" w14:textId="43055CC8" w:rsidR="00210F23" w:rsidRPr="00B900A1" w:rsidRDefault="00210F23" w:rsidP="00210F23">
      <w:pPr>
        <w:pStyle w:val="Prrafodelista"/>
        <w:widowControl w:val="0"/>
        <w:numPr>
          <w:ilvl w:val="0"/>
          <w:numId w:val="1"/>
        </w:numPr>
        <w:spacing w:before="240" w:after="60"/>
        <w:ind w:left="284" w:hanging="284"/>
        <w:contextualSpacing/>
        <w:jc w:val="both"/>
        <w:outlineLvl w:val="2"/>
        <w:rPr>
          <w:rFonts w:ascii="Tahoma" w:hAnsi="Tahoma" w:cs="Tahoma"/>
          <w:b/>
          <w:lang w:eastAsia="es-CR"/>
        </w:rPr>
      </w:pPr>
      <w:r w:rsidRPr="009F3610">
        <w:rPr>
          <w:rFonts w:ascii="Tahoma" w:hAnsi="Tahoma" w:cs="Tahoma"/>
          <w:b/>
          <w:lang w:eastAsia="es-CR"/>
        </w:rPr>
        <w:t xml:space="preserve">En el </w:t>
      </w:r>
      <w:r w:rsidRPr="00900521">
        <w:rPr>
          <w:rFonts w:ascii="Tahoma" w:hAnsi="Tahoma" w:cs="Tahoma"/>
          <w:b/>
          <w:lang w:eastAsia="es-CR"/>
        </w:rPr>
        <w:t xml:space="preserve">punto </w:t>
      </w:r>
      <w:r>
        <w:rPr>
          <w:rFonts w:ascii="Tahoma" w:hAnsi="Tahoma" w:cs="Tahoma"/>
          <w:b/>
          <w:lang w:eastAsia="es-CR"/>
        </w:rPr>
        <w:t xml:space="preserve">2.3.3 </w:t>
      </w:r>
      <w:r w:rsidRPr="00900521">
        <w:rPr>
          <w:rFonts w:ascii="Tahoma" w:hAnsi="Tahoma" w:cs="Tahoma"/>
          <w:b/>
          <w:lang w:eastAsia="es-CR"/>
        </w:rPr>
        <w:t>del</w:t>
      </w:r>
      <w:r w:rsidRPr="009F3610">
        <w:rPr>
          <w:rFonts w:ascii="Tahoma" w:hAnsi="Tahoma" w:cs="Tahoma"/>
          <w:b/>
          <w:lang w:eastAsia="es-CR"/>
        </w:rPr>
        <w:t xml:space="preserve"> cartel</w:t>
      </w:r>
      <w:r>
        <w:rPr>
          <w:rFonts w:ascii="Tahoma" w:hAnsi="Tahoma" w:cs="Tahoma"/>
          <w:b/>
          <w:lang w:eastAsia="es-CR"/>
        </w:rPr>
        <w:t xml:space="preserve"> apartado 5 de la tabla, referente a Infraestructura Administrativa celda correspondiente a verificación  específicamente en cuanto a la copia de la planilla de los últimos tres meses que soporta la organización administrativa- operativa de la empresa, </w:t>
      </w:r>
      <w:r w:rsidRPr="00050018">
        <w:rPr>
          <w:rFonts w:ascii="Tahoma" w:hAnsi="Tahoma" w:cs="Tahoma"/>
          <w:b/>
          <w:lang w:eastAsia="es-CR"/>
        </w:rPr>
        <w:t>se aclara lo siguiente</w:t>
      </w:r>
      <w:r>
        <w:rPr>
          <w:rFonts w:ascii="Tahoma" w:hAnsi="Tahoma" w:cs="Tahoma"/>
          <w:b/>
          <w:lang w:eastAsia="es-CR"/>
        </w:rPr>
        <w:t>:</w:t>
      </w:r>
    </w:p>
    <w:p w14:paraId="1D439B6D" w14:textId="77777777" w:rsidR="00210F23" w:rsidRPr="00427556" w:rsidRDefault="00210F23" w:rsidP="00210F23">
      <w:pPr>
        <w:pStyle w:val="Prrafodelista"/>
        <w:widowControl w:val="0"/>
        <w:spacing w:before="240" w:after="60"/>
        <w:ind w:left="284"/>
        <w:contextualSpacing/>
        <w:jc w:val="both"/>
        <w:outlineLvl w:val="2"/>
        <w:rPr>
          <w:rFonts w:ascii="Tahoma" w:hAnsi="Tahoma" w:cs="Tahoma"/>
        </w:rPr>
      </w:pPr>
      <w:r w:rsidRPr="00427556">
        <w:rPr>
          <w:rFonts w:ascii="Tahoma" w:hAnsi="Tahoma" w:cs="Tahoma"/>
        </w:rPr>
        <w:t xml:space="preserve">Para efecto de simplificación y reducción de costos de impresión se podrá presentar únicamente la planilla total del último mes anterior la apertura de esta contratación. </w:t>
      </w:r>
    </w:p>
    <w:p w14:paraId="1D439B6E" w14:textId="77777777" w:rsidR="00210F23" w:rsidRDefault="00210F23" w:rsidP="00210F23">
      <w:pPr>
        <w:pStyle w:val="Prrafodelista"/>
        <w:widowControl w:val="0"/>
        <w:spacing w:before="240" w:after="60"/>
        <w:ind w:left="284"/>
        <w:contextualSpacing/>
        <w:jc w:val="both"/>
        <w:outlineLvl w:val="2"/>
        <w:rPr>
          <w:rFonts w:ascii="Tahoma" w:hAnsi="Tahoma" w:cs="Tahoma"/>
          <w:b/>
          <w:lang w:eastAsia="es-CR"/>
        </w:rPr>
      </w:pPr>
    </w:p>
    <w:p w14:paraId="1D439B6F" w14:textId="77777777" w:rsidR="00D945D6" w:rsidRPr="00D945D6" w:rsidRDefault="00D945D6" w:rsidP="00D945D6">
      <w:pPr>
        <w:pStyle w:val="Prrafodelista"/>
        <w:widowControl w:val="0"/>
        <w:numPr>
          <w:ilvl w:val="0"/>
          <w:numId w:val="1"/>
        </w:numPr>
        <w:spacing w:before="240" w:after="60"/>
        <w:ind w:left="284" w:hanging="284"/>
        <w:contextualSpacing/>
        <w:jc w:val="both"/>
        <w:outlineLvl w:val="2"/>
        <w:rPr>
          <w:rFonts w:ascii="Tahoma" w:hAnsi="Tahoma" w:cs="Tahoma"/>
          <w:b/>
          <w:lang w:eastAsia="es-CR"/>
        </w:rPr>
      </w:pPr>
      <w:r w:rsidRPr="00D945D6">
        <w:rPr>
          <w:rFonts w:ascii="Tahoma" w:hAnsi="Tahoma" w:cs="Tahoma"/>
          <w:b/>
          <w:lang w:eastAsia="es-CR"/>
        </w:rPr>
        <w:t>En el punto 4.9.6</w:t>
      </w:r>
      <w:r w:rsidRPr="00D945D6">
        <w:rPr>
          <w:rFonts w:ascii="Tahoma" w:hAnsi="Tahoma" w:cs="Tahoma"/>
          <w:lang w:eastAsia="es-CR"/>
        </w:rPr>
        <w:t xml:space="preserve"> se indican los lineamientos para la determinación de los montos aplicables a aumentos o disminuciones de personal. </w:t>
      </w:r>
    </w:p>
    <w:p w14:paraId="1D439B70" w14:textId="77777777" w:rsidR="00D945D6" w:rsidRPr="00E32476" w:rsidRDefault="00D945D6" w:rsidP="00B640C2">
      <w:pPr>
        <w:pStyle w:val="Prrafodelista"/>
        <w:widowControl w:val="0"/>
        <w:spacing w:before="240" w:after="60"/>
        <w:ind w:left="284"/>
        <w:contextualSpacing/>
        <w:jc w:val="both"/>
        <w:outlineLvl w:val="2"/>
        <w:rPr>
          <w:rFonts w:ascii="Tahoma" w:hAnsi="Tahoma" w:cs="Tahoma"/>
          <w:lang w:eastAsia="es-CR"/>
        </w:rPr>
      </w:pPr>
      <w:r>
        <w:rPr>
          <w:rFonts w:ascii="Tahoma" w:hAnsi="Tahoma" w:cs="Tahoma"/>
          <w:lang w:eastAsia="es-CR"/>
        </w:rPr>
        <w:t>Además para mayor comprensión</w:t>
      </w:r>
      <w:r w:rsidRPr="004024D2">
        <w:rPr>
          <w:rFonts w:ascii="Tahoma" w:hAnsi="Tahoma" w:cs="Tahoma"/>
          <w:lang w:eastAsia="es-CR"/>
        </w:rPr>
        <w:t xml:space="preserve">, </w:t>
      </w:r>
      <w:r w:rsidRPr="00683BB7">
        <w:rPr>
          <w:rFonts w:ascii="Tahoma" w:hAnsi="Tahoma" w:cs="Tahoma"/>
          <w:b/>
          <w:lang w:eastAsia="es-CR"/>
        </w:rPr>
        <w:t>al final del punto 6.1.4 adicionan los siguientes párrafos</w:t>
      </w:r>
      <w:r w:rsidRPr="004024D2">
        <w:rPr>
          <w:rFonts w:ascii="Tahoma" w:hAnsi="Tahoma" w:cs="Tahoma"/>
          <w:lang w:eastAsia="es-CR"/>
        </w:rPr>
        <w:t>, como</w:t>
      </w:r>
      <w:r>
        <w:rPr>
          <w:rFonts w:ascii="Tahoma" w:hAnsi="Tahoma" w:cs="Tahoma"/>
          <w:lang w:eastAsia="es-CR"/>
        </w:rPr>
        <w:t xml:space="preserve"> parte del mismo</w:t>
      </w:r>
      <w:r w:rsidR="00EB14C4">
        <w:rPr>
          <w:rFonts w:ascii="Tahoma" w:hAnsi="Tahoma" w:cs="Tahoma"/>
          <w:lang w:eastAsia="es-CR"/>
        </w:rPr>
        <w:t xml:space="preserve"> punto</w:t>
      </w:r>
      <w:r>
        <w:rPr>
          <w:rFonts w:ascii="Tahoma" w:hAnsi="Tahoma" w:cs="Tahoma"/>
          <w:lang w:eastAsia="es-CR"/>
        </w:rPr>
        <w:t>, para mayor definición del trámite a seguir en cuanto a aumentos o disminuciones de personal, durante la ejecución contractual</w:t>
      </w:r>
      <w:r w:rsidRPr="00E32476">
        <w:rPr>
          <w:rFonts w:ascii="Tahoma" w:hAnsi="Tahoma" w:cs="Tahoma"/>
          <w:lang w:eastAsia="es-CR"/>
        </w:rPr>
        <w:t>:</w:t>
      </w:r>
    </w:p>
    <w:p w14:paraId="1D439B71" w14:textId="77777777" w:rsidR="00D945D6" w:rsidRPr="000D4D19" w:rsidRDefault="00D945D6" w:rsidP="00B640C2">
      <w:pPr>
        <w:widowControl w:val="0"/>
        <w:spacing w:before="240" w:after="60"/>
        <w:ind w:left="284"/>
        <w:contextualSpacing/>
        <w:jc w:val="both"/>
        <w:outlineLvl w:val="2"/>
        <w:rPr>
          <w:rFonts w:ascii="Tahoma" w:hAnsi="Tahoma" w:cs="Tahoma"/>
          <w:lang w:eastAsia="es-CR"/>
        </w:rPr>
      </w:pPr>
      <w:r w:rsidRPr="000D4D19">
        <w:rPr>
          <w:rFonts w:ascii="Tahoma" w:hAnsi="Tahoma" w:cs="Tahoma"/>
          <w:lang w:eastAsia="es-CR"/>
        </w:rPr>
        <w:t>“….El Banco Central bajo el modelo de contratación servicios según demanda se encuentra facultado para solicitarte al Contratista el incremento o decrecimiento de puestos, según las necesidades o cambios que realice el Banco Central en el modelo de seguridad utilizado, para lo cual comunicará al Contratista por escrito o correo electrónico según el siguiente:</w:t>
      </w:r>
    </w:p>
    <w:p w14:paraId="1D439B72" w14:textId="1C3506AE" w:rsidR="00D945D6" w:rsidRPr="000D4D19" w:rsidRDefault="00D945D6" w:rsidP="00B640C2">
      <w:pPr>
        <w:widowControl w:val="0"/>
        <w:spacing w:before="240" w:after="60"/>
        <w:ind w:left="284"/>
        <w:contextualSpacing/>
        <w:jc w:val="both"/>
        <w:outlineLvl w:val="2"/>
        <w:rPr>
          <w:rFonts w:ascii="Tahoma" w:hAnsi="Tahoma" w:cs="Tahoma"/>
          <w:lang w:eastAsia="es-CR"/>
        </w:rPr>
      </w:pPr>
      <w:r w:rsidRPr="000D4D19">
        <w:rPr>
          <w:rFonts w:ascii="Tahoma" w:hAnsi="Tahoma" w:cs="Tahoma"/>
          <w:lang w:eastAsia="es-CR"/>
        </w:rPr>
        <w:t xml:space="preserve">INCREMENTO: Si lo requerido por el Banco Central es incrementar los puestos de servicio informará al Contratista quien dispondrá de cinco (5) días hábiles para cubrir el puesto solicitando con el personal requerido más diez (10)  días hábiles que tendrá para la inducción y conocimiento de los procedimientos y normas que se aplican en los puestos, </w:t>
      </w:r>
      <w:r w:rsidR="001A3D7E">
        <w:rPr>
          <w:rFonts w:ascii="Tahoma" w:hAnsi="Tahoma" w:cs="Tahoma"/>
          <w:lang w:eastAsia="es-CR"/>
        </w:rPr>
        <w:t xml:space="preserve">el precio </w:t>
      </w:r>
      <w:r w:rsidRPr="000D4D19">
        <w:rPr>
          <w:rFonts w:ascii="Tahoma" w:hAnsi="Tahoma" w:cs="Tahoma"/>
          <w:lang w:eastAsia="es-CR"/>
        </w:rPr>
        <w:t>será el mismo que el Banco Central paga por puesto similares al solicitado, el mes en que solicita el incremento.</w:t>
      </w:r>
    </w:p>
    <w:p w14:paraId="1D439B73" w14:textId="77777777" w:rsidR="00D945D6" w:rsidRPr="000D4D19" w:rsidRDefault="00D945D6" w:rsidP="00B640C2">
      <w:pPr>
        <w:widowControl w:val="0"/>
        <w:spacing w:before="240" w:after="60"/>
        <w:ind w:left="284"/>
        <w:contextualSpacing/>
        <w:jc w:val="both"/>
        <w:outlineLvl w:val="2"/>
        <w:rPr>
          <w:rFonts w:ascii="Tahoma" w:hAnsi="Tahoma" w:cs="Tahoma"/>
          <w:lang w:eastAsia="es-CR"/>
        </w:rPr>
      </w:pPr>
      <w:r w:rsidRPr="000D4D19">
        <w:rPr>
          <w:rFonts w:ascii="Tahoma" w:hAnsi="Tahoma" w:cs="Tahoma"/>
          <w:lang w:eastAsia="es-CR"/>
        </w:rPr>
        <w:t>DISMINUCIÓN: Si lo requerido por el Banco Central es disminuir los puestos de servicio, la decisión se le comunicará oficialmente al Contratista. El retiro del puesto el Contratista lo llevará a cabo el último día del mes en que el Banco Central se lo comunico. La reducción de puesto deberá reflejarse en el cobro mensual inmediato que presente el Contratista al Banco Central…”</w:t>
      </w:r>
    </w:p>
    <w:p w14:paraId="1D439B74" w14:textId="77777777" w:rsidR="009C0F79" w:rsidRPr="009C0F79" w:rsidRDefault="009C0F79" w:rsidP="009C0F79">
      <w:pPr>
        <w:pStyle w:val="Prrafodelista"/>
        <w:widowControl w:val="0"/>
        <w:numPr>
          <w:ilvl w:val="0"/>
          <w:numId w:val="1"/>
        </w:numPr>
        <w:spacing w:before="240" w:after="60"/>
        <w:ind w:left="284" w:hanging="284"/>
        <w:contextualSpacing/>
        <w:jc w:val="both"/>
        <w:outlineLvl w:val="2"/>
        <w:rPr>
          <w:rFonts w:ascii="Tahoma" w:hAnsi="Tahoma" w:cs="Tahoma"/>
          <w:b/>
          <w:lang w:eastAsia="es-CR"/>
        </w:rPr>
      </w:pPr>
      <w:r w:rsidRPr="009C0F79">
        <w:rPr>
          <w:rFonts w:ascii="Tahoma" w:hAnsi="Tahoma" w:cs="Tahoma"/>
          <w:b/>
          <w:lang w:eastAsia="es-CR"/>
        </w:rPr>
        <w:t>En el punto 6.1.3.1 del cartel, referente a dos días de descanso, se aclara lo siguiente:</w:t>
      </w:r>
    </w:p>
    <w:p w14:paraId="1D439B75" w14:textId="77777777" w:rsidR="009C0F79" w:rsidRDefault="009C0F79" w:rsidP="009C0F79">
      <w:pPr>
        <w:pStyle w:val="Prrafodelista"/>
        <w:widowControl w:val="0"/>
        <w:spacing w:before="240" w:after="60"/>
        <w:ind w:left="284"/>
        <w:contextualSpacing/>
        <w:jc w:val="both"/>
        <w:outlineLvl w:val="2"/>
        <w:rPr>
          <w:rFonts w:ascii="Tahoma" w:hAnsi="Tahoma" w:cs="Tahoma"/>
        </w:rPr>
      </w:pPr>
      <w:r>
        <w:rPr>
          <w:rFonts w:ascii="Tahoma" w:hAnsi="Tahoma" w:cs="Tahoma"/>
        </w:rPr>
        <w:t>Q</w:t>
      </w:r>
      <w:r w:rsidRPr="00947525">
        <w:rPr>
          <w:rFonts w:ascii="Tahoma" w:hAnsi="Tahoma" w:cs="Tahoma"/>
        </w:rPr>
        <w:t>ue dos días de descanso consecutivo implica que el día siguiente de su jornada laboral sería el día uno de descanso, luego el día dos de descanso teniendo que regresar al tercer día.</w:t>
      </w:r>
    </w:p>
    <w:p w14:paraId="1D439B76" w14:textId="77777777" w:rsidR="009C0F79" w:rsidRDefault="009C0F79" w:rsidP="009C0F79">
      <w:pPr>
        <w:pStyle w:val="Prrafodelista"/>
        <w:widowControl w:val="0"/>
        <w:spacing w:before="240" w:after="60"/>
        <w:ind w:left="284"/>
        <w:contextualSpacing/>
        <w:jc w:val="both"/>
        <w:outlineLvl w:val="2"/>
        <w:rPr>
          <w:rFonts w:ascii="Tahoma" w:hAnsi="Tahoma" w:cs="Tahoma"/>
          <w:b/>
          <w:lang w:eastAsia="es-CR"/>
        </w:rPr>
      </w:pPr>
    </w:p>
    <w:p w14:paraId="1D439B77" w14:textId="77777777" w:rsidR="00121268" w:rsidRPr="00B900A1" w:rsidRDefault="00121268" w:rsidP="00121268">
      <w:pPr>
        <w:pStyle w:val="Prrafodelista"/>
        <w:widowControl w:val="0"/>
        <w:numPr>
          <w:ilvl w:val="0"/>
          <w:numId w:val="1"/>
        </w:numPr>
        <w:spacing w:before="240" w:after="60"/>
        <w:ind w:left="284" w:hanging="284"/>
        <w:contextualSpacing/>
        <w:jc w:val="both"/>
        <w:outlineLvl w:val="2"/>
        <w:rPr>
          <w:rFonts w:ascii="Tahoma" w:hAnsi="Tahoma" w:cs="Tahoma"/>
          <w:b/>
          <w:lang w:eastAsia="es-CR"/>
        </w:rPr>
      </w:pPr>
      <w:r w:rsidRPr="009F3610">
        <w:rPr>
          <w:rFonts w:ascii="Tahoma" w:hAnsi="Tahoma" w:cs="Tahoma"/>
          <w:b/>
          <w:lang w:eastAsia="es-CR"/>
        </w:rPr>
        <w:t xml:space="preserve">En el punto </w:t>
      </w:r>
      <w:r>
        <w:rPr>
          <w:rFonts w:ascii="Tahoma" w:hAnsi="Tahoma" w:cs="Tahoma"/>
          <w:b/>
          <w:lang w:eastAsia="es-CR"/>
        </w:rPr>
        <w:t>6.9.1</w:t>
      </w:r>
      <w:r w:rsidRPr="00050018">
        <w:rPr>
          <w:rFonts w:ascii="Tahoma" w:hAnsi="Tahoma" w:cs="Tahoma"/>
          <w:b/>
          <w:lang w:eastAsia="es-CR"/>
        </w:rPr>
        <w:t xml:space="preserve"> </w:t>
      </w:r>
      <w:r w:rsidRPr="009F3610">
        <w:rPr>
          <w:rFonts w:ascii="Tahoma" w:hAnsi="Tahoma" w:cs="Tahoma"/>
          <w:b/>
          <w:lang w:eastAsia="es-CR"/>
        </w:rPr>
        <w:t>del cartel</w:t>
      </w:r>
      <w:r>
        <w:rPr>
          <w:rFonts w:ascii="Tahoma" w:hAnsi="Tahoma" w:cs="Tahoma"/>
          <w:b/>
          <w:lang w:eastAsia="es-CR"/>
        </w:rPr>
        <w:t xml:space="preserve">, referente a la FRECUENCIA DE RADIO, </w:t>
      </w:r>
      <w:r w:rsidRPr="00050018">
        <w:rPr>
          <w:rFonts w:ascii="Tahoma" w:hAnsi="Tahoma" w:cs="Tahoma"/>
          <w:b/>
          <w:lang w:eastAsia="es-CR"/>
        </w:rPr>
        <w:t>se aclara lo siguiente</w:t>
      </w:r>
      <w:r>
        <w:rPr>
          <w:rFonts w:ascii="Tahoma" w:hAnsi="Tahoma" w:cs="Tahoma"/>
          <w:b/>
          <w:lang w:eastAsia="es-CR"/>
        </w:rPr>
        <w:t>:</w:t>
      </w:r>
    </w:p>
    <w:p w14:paraId="1D439B78" w14:textId="793533F0" w:rsidR="00121268" w:rsidRDefault="00907065" w:rsidP="00121268">
      <w:pPr>
        <w:pStyle w:val="Prrafodelista"/>
        <w:widowControl w:val="0"/>
        <w:spacing w:before="240" w:after="60"/>
        <w:ind w:left="284"/>
        <w:contextualSpacing/>
        <w:jc w:val="both"/>
        <w:outlineLvl w:val="2"/>
        <w:rPr>
          <w:rFonts w:ascii="Tahoma" w:hAnsi="Tahoma" w:cs="Tahoma"/>
        </w:rPr>
      </w:pPr>
      <w:r>
        <w:rPr>
          <w:rFonts w:ascii="Tahoma" w:hAnsi="Tahoma" w:cs="Tahoma"/>
        </w:rPr>
        <w:t>La Frecuencia puede ser propia o alquilada; pero si será necesario que se establezca un canal o tono exclusivo para las comunicaciones que se generen entre los puestos</w:t>
      </w:r>
      <w:r w:rsidR="00175912">
        <w:rPr>
          <w:rFonts w:ascii="Tahoma" w:hAnsi="Tahoma" w:cs="Tahoma"/>
        </w:rPr>
        <w:t xml:space="preserve"> objeto de esta contratación</w:t>
      </w:r>
      <w:r>
        <w:rPr>
          <w:rFonts w:ascii="Tahoma" w:hAnsi="Tahoma" w:cs="Tahoma"/>
        </w:rPr>
        <w:t>.</w:t>
      </w:r>
    </w:p>
    <w:p w14:paraId="1D439B79" w14:textId="77777777" w:rsidR="00900521" w:rsidRDefault="00900521" w:rsidP="00947525">
      <w:pPr>
        <w:pStyle w:val="Prrafodelista"/>
        <w:widowControl w:val="0"/>
        <w:spacing w:before="240" w:after="60"/>
        <w:ind w:left="284"/>
        <w:contextualSpacing/>
        <w:jc w:val="both"/>
        <w:outlineLvl w:val="2"/>
        <w:rPr>
          <w:rFonts w:ascii="Tahoma" w:hAnsi="Tahoma" w:cs="Tahoma"/>
        </w:rPr>
      </w:pPr>
    </w:p>
    <w:p w14:paraId="1D439B7A" w14:textId="77777777" w:rsidR="007F5322" w:rsidRPr="00B900A1" w:rsidRDefault="007F5322" w:rsidP="007F5322">
      <w:pPr>
        <w:pStyle w:val="Prrafodelista"/>
        <w:widowControl w:val="0"/>
        <w:numPr>
          <w:ilvl w:val="0"/>
          <w:numId w:val="1"/>
        </w:numPr>
        <w:spacing w:before="240" w:after="60"/>
        <w:ind w:left="284" w:hanging="284"/>
        <w:contextualSpacing/>
        <w:jc w:val="both"/>
        <w:outlineLvl w:val="2"/>
        <w:rPr>
          <w:rFonts w:ascii="Tahoma" w:hAnsi="Tahoma" w:cs="Tahoma"/>
          <w:b/>
          <w:lang w:eastAsia="es-CR"/>
        </w:rPr>
      </w:pPr>
      <w:r w:rsidRPr="009F3610">
        <w:rPr>
          <w:rFonts w:ascii="Tahoma" w:hAnsi="Tahoma" w:cs="Tahoma"/>
          <w:b/>
          <w:lang w:eastAsia="es-CR"/>
        </w:rPr>
        <w:t xml:space="preserve">En el punto </w:t>
      </w:r>
      <w:r>
        <w:rPr>
          <w:rFonts w:ascii="Tahoma" w:hAnsi="Tahoma" w:cs="Tahoma"/>
          <w:b/>
          <w:lang w:eastAsia="es-CR"/>
        </w:rPr>
        <w:t>6.</w:t>
      </w:r>
      <w:r w:rsidR="00E77181">
        <w:rPr>
          <w:rFonts w:ascii="Tahoma" w:hAnsi="Tahoma" w:cs="Tahoma"/>
          <w:b/>
          <w:lang w:eastAsia="es-CR"/>
        </w:rPr>
        <w:t>11</w:t>
      </w:r>
      <w:r w:rsidRPr="00050018">
        <w:rPr>
          <w:rFonts w:ascii="Tahoma" w:hAnsi="Tahoma" w:cs="Tahoma"/>
          <w:b/>
          <w:lang w:eastAsia="es-CR"/>
        </w:rPr>
        <w:t xml:space="preserve"> </w:t>
      </w:r>
      <w:r w:rsidRPr="009F3610">
        <w:rPr>
          <w:rFonts w:ascii="Tahoma" w:hAnsi="Tahoma" w:cs="Tahoma"/>
          <w:b/>
          <w:lang w:eastAsia="es-CR"/>
        </w:rPr>
        <w:t>del cartel</w:t>
      </w:r>
      <w:r>
        <w:rPr>
          <w:rFonts w:ascii="Tahoma" w:hAnsi="Tahoma" w:cs="Tahoma"/>
          <w:b/>
          <w:lang w:eastAsia="es-CR"/>
        </w:rPr>
        <w:t xml:space="preserve">, referente a </w:t>
      </w:r>
      <w:r w:rsidR="0051134F">
        <w:rPr>
          <w:rFonts w:ascii="Tahoma" w:hAnsi="Tahoma" w:cs="Tahoma"/>
          <w:b/>
          <w:lang w:eastAsia="es-CR"/>
        </w:rPr>
        <w:t>los PLANES DE TRABAJO</w:t>
      </w:r>
      <w:r>
        <w:rPr>
          <w:rFonts w:ascii="Tahoma" w:hAnsi="Tahoma" w:cs="Tahoma"/>
          <w:b/>
          <w:lang w:eastAsia="es-CR"/>
        </w:rPr>
        <w:t xml:space="preserve">, </w:t>
      </w:r>
      <w:r w:rsidRPr="00050018">
        <w:rPr>
          <w:rFonts w:ascii="Tahoma" w:hAnsi="Tahoma" w:cs="Tahoma"/>
          <w:b/>
          <w:lang w:eastAsia="es-CR"/>
        </w:rPr>
        <w:t>se aclara lo siguiente</w:t>
      </w:r>
      <w:r>
        <w:rPr>
          <w:rFonts w:ascii="Tahoma" w:hAnsi="Tahoma" w:cs="Tahoma"/>
          <w:b/>
          <w:lang w:eastAsia="es-CR"/>
        </w:rPr>
        <w:t>:</w:t>
      </w:r>
    </w:p>
    <w:p w14:paraId="1D439B7B" w14:textId="77777777" w:rsidR="007F5322" w:rsidRPr="007F5322" w:rsidRDefault="007F5322" w:rsidP="007F5322">
      <w:pPr>
        <w:pStyle w:val="Prrafodelista"/>
        <w:widowControl w:val="0"/>
        <w:spacing w:before="240" w:after="60"/>
        <w:ind w:left="284"/>
        <w:contextualSpacing/>
        <w:jc w:val="both"/>
        <w:outlineLvl w:val="2"/>
        <w:rPr>
          <w:rFonts w:ascii="Tahoma" w:hAnsi="Tahoma" w:cs="Tahoma"/>
        </w:rPr>
      </w:pPr>
      <w:r>
        <w:rPr>
          <w:rFonts w:ascii="Tahoma" w:hAnsi="Tahoma" w:cs="Tahoma"/>
        </w:rPr>
        <w:t>D</w:t>
      </w:r>
      <w:r w:rsidRPr="007F5322">
        <w:rPr>
          <w:rFonts w:ascii="Tahoma" w:hAnsi="Tahoma" w:cs="Tahoma"/>
        </w:rPr>
        <w:t>e igua</w:t>
      </w:r>
      <w:r>
        <w:rPr>
          <w:rFonts w:ascii="Tahoma" w:hAnsi="Tahoma" w:cs="Tahoma"/>
        </w:rPr>
        <w:t>l forma que se solicita al Ofer</w:t>
      </w:r>
      <w:r w:rsidRPr="007F5322">
        <w:rPr>
          <w:rFonts w:ascii="Tahoma" w:hAnsi="Tahoma" w:cs="Tahoma"/>
        </w:rPr>
        <w:t xml:space="preserve">ente el PLAN </w:t>
      </w:r>
      <w:r>
        <w:rPr>
          <w:rFonts w:ascii="Tahoma" w:hAnsi="Tahoma" w:cs="Tahoma"/>
        </w:rPr>
        <w:t xml:space="preserve">GENERAL </w:t>
      </w:r>
      <w:r w:rsidRPr="007F5322">
        <w:rPr>
          <w:rFonts w:ascii="Tahoma" w:hAnsi="Tahoma" w:cs="Tahoma"/>
        </w:rPr>
        <w:t>DE TRABAJO del punto anterior 9.10, e</w:t>
      </w:r>
      <w:r w:rsidR="00CF6E56">
        <w:rPr>
          <w:rFonts w:ascii="Tahoma" w:hAnsi="Tahoma" w:cs="Tahoma"/>
        </w:rPr>
        <w:t>l</w:t>
      </w:r>
      <w:r w:rsidRPr="007F5322">
        <w:rPr>
          <w:rFonts w:ascii="Tahoma" w:hAnsi="Tahoma" w:cs="Tahoma"/>
        </w:rPr>
        <w:t xml:space="preserve"> PLAN ESPECÍFICO DE TRABAJO</w:t>
      </w:r>
      <w:r w:rsidR="00E013C1">
        <w:rPr>
          <w:rFonts w:ascii="Tahoma" w:hAnsi="Tahoma" w:cs="Tahoma"/>
        </w:rPr>
        <w:t xml:space="preserve"> del punto 9.11</w:t>
      </w:r>
      <w:r w:rsidRPr="007F5322">
        <w:rPr>
          <w:rFonts w:ascii="Tahoma" w:hAnsi="Tahoma" w:cs="Tahoma"/>
        </w:rPr>
        <w:t xml:space="preserve"> también debe ser presentado por el Oferente, por tanto ambos </w:t>
      </w:r>
      <w:r>
        <w:rPr>
          <w:rFonts w:ascii="Tahoma" w:hAnsi="Tahoma" w:cs="Tahoma"/>
        </w:rPr>
        <w:t xml:space="preserve">planes </w:t>
      </w:r>
      <w:r w:rsidRPr="007F5322">
        <w:rPr>
          <w:rFonts w:ascii="Tahoma" w:hAnsi="Tahoma" w:cs="Tahoma"/>
        </w:rPr>
        <w:t>se deben incluir dentro de la oferta</w:t>
      </w:r>
      <w:r w:rsidR="0021628F">
        <w:rPr>
          <w:rFonts w:ascii="Tahoma" w:hAnsi="Tahoma" w:cs="Tahoma"/>
        </w:rPr>
        <w:t xml:space="preserve">, tal como se indica en el punto 2.4 de </w:t>
      </w:r>
      <w:r w:rsidR="00B67605">
        <w:rPr>
          <w:rFonts w:ascii="Tahoma" w:hAnsi="Tahoma" w:cs="Tahoma"/>
        </w:rPr>
        <w:t>A</w:t>
      </w:r>
      <w:r w:rsidR="0021628F">
        <w:rPr>
          <w:rFonts w:ascii="Tahoma" w:hAnsi="Tahoma" w:cs="Tahoma"/>
        </w:rPr>
        <w:t>dmisibilidad.</w:t>
      </w:r>
    </w:p>
    <w:p w14:paraId="1D439B7D" w14:textId="77777777" w:rsidR="00B640C2" w:rsidRPr="00721328" w:rsidRDefault="00B640C2" w:rsidP="00B640C2">
      <w:pPr>
        <w:pStyle w:val="Prrafodelista"/>
        <w:widowControl w:val="0"/>
        <w:spacing w:before="240" w:after="60"/>
        <w:ind w:left="284"/>
        <w:contextualSpacing/>
        <w:jc w:val="both"/>
        <w:outlineLvl w:val="2"/>
        <w:rPr>
          <w:rFonts w:ascii="Tahoma" w:hAnsi="Tahoma" w:cs="Tahoma"/>
        </w:rPr>
      </w:pPr>
    </w:p>
    <w:p w14:paraId="1D439B7E" w14:textId="77777777" w:rsidR="00262D64" w:rsidRPr="00B900A1" w:rsidRDefault="00262D64" w:rsidP="0009316A">
      <w:pPr>
        <w:pStyle w:val="Prrafodelista"/>
        <w:widowControl w:val="0"/>
        <w:numPr>
          <w:ilvl w:val="0"/>
          <w:numId w:val="1"/>
        </w:numPr>
        <w:spacing w:before="240" w:after="60"/>
        <w:ind w:left="426" w:hanging="426"/>
        <w:contextualSpacing/>
        <w:jc w:val="both"/>
        <w:outlineLvl w:val="2"/>
        <w:rPr>
          <w:rFonts w:ascii="Tahoma" w:hAnsi="Tahoma" w:cs="Tahoma"/>
          <w:b/>
          <w:lang w:eastAsia="es-CR"/>
        </w:rPr>
      </w:pPr>
      <w:r w:rsidRPr="009F3610">
        <w:rPr>
          <w:rFonts w:ascii="Tahoma" w:hAnsi="Tahoma" w:cs="Tahoma"/>
          <w:b/>
          <w:lang w:eastAsia="es-CR"/>
        </w:rPr>
        <w:t xml:space="preserve">En el </w:t>
      </w:r>
      <w:r w:rsidRPr="00900521">
        <w:rPr>
          <w:rFonts w:ascii="Tahoma" w:hAnsi="Tahoma" w:cs="Tahoma"/>
          <w:b/>
          <w:lang w:eastAsia="es-CR"/>
        </w:rPr>
        <w:t xml:space="preserve">punto </w:t>
      </w:r>
      <w:r w:rsidRPr="00900521">
        <w:rPr>
          <w:rFonts w:ascii="Tahoma" w:hAnsi="Tahoma" w:cs="Tahoma"/>
          <w:b/>
        </w:rPr>
        <w:t>8.</w:t>
      </w:r>
      <w:r>
        <w:rPr>
          <w:rFonts w:ascii="Tahoma" w:hAnsi="Tahoma" w:cs="Tahoma"/>
          <w:b/>
        </w:rPr>
        <w:t xml:space="preserve">6 </w:t>
      </w:r>
      <w:r w:rsidRPr="00900521">
        <w:rPr>
          <w:rFonts w:ascii="Tahoma" w:hAnsi="Tahoma" w:cs="Tahoma"/>
          <w:b/>
          <w:lang w:eastAsia="es-CR"/>
        </w:rPr>
        <w:t>del</w:t>
      </w:r>
      <w:r w:rsidRPr="009F3610">
        <w:rPr>
          <w:rFonts w:ascii="Tahoma" w:hAnsi="Tahoma" w:cs="Tahoma"/>
          <w:b/>
          <w:lang w:eastAsia="es-CR"/>
        </w:rPr>
        <w:t xml:space="preserve"> cartel</w:t>
      </w:r>
      <w:r>
        <w:rPr>
          <w:rFonts w:ascii="Tahoma" w:hAnsi="Tahoma" w:cs="Tahoma"/>
          <w:b/>
          <w:lang w:eastAsia="es-CR"/>
        </w:rPr>
        <w:t xml:space="preserve">, referente al mantenimiento y limpieza de las armas, </w:t>
      </w:r>
      <w:r w:rsidRPr="00050018">
        <w:rPr>
          <w:rFonts w:ascii="Tahoma" w:hAnsi="Tahoma" w:cs="Tahoma"/>
          <w:b/>
          <w:lang w:eastAsia="es-CR"/>
        </w:rPr>
        <w:t>se aclara lo siguiente</w:t>
      </w:r>
      <w:r>
        <w:rPr>
          <w:rFonts w:ascii="Tahoma" w:hAnsi="Tahoma" w:cs="Tahoma"/>
          <w:b/>
          <w:lang w:eastAsia="es-CR"/>
        </w:rPr>
        <w:t>:</w:t>
      </w:r>
    </w:p>
    <w:p w14:paraId="1D439B7F" w14:textId="77777777" w:rsidR="00262D64" w:rsidRDefault="00262D64" w:rsidP="004075E7">
      <w:pPr>
        <w:pStyle w:val="Prrafodelista"/>
        <w:widowControl w:val="0"/>
        <w:spacing w:before="240" w:after="60"/>
        <w:ind w:left="426"/>
        <w:contextualSpacing/>
        <w:jc w:val="both"/>
        <w:outlineLvl w:val="2"/>
        <w:rPr>
          <w:rFonts w:ascii="Tahoma" w:hAnsi="Tahoma" w:cs="Tahoma"/>
        </w:rPr>
      </w:pPr>
      <w:r>
        <w:rPr>
          <w:rFonts w:ascii="Tahoma" w:hAnsi="Tahoma" w:cs="Tahoma"/>
        </w:rPr>
        <w:t>E</w:t>
      </w:r>
      <w:r w:rsidRPr="007D2E70">
        <w:rPr>
          <w:rFonts w:ascii="Tahoma" w:hAnsi="Tahoma" w:cs="Tahoma"/>
        </w:rPr>
        <w:t>l mantenimiento limpieza de armas se debe realizar como  mínimo cada cuatro meses durante el contrato.</w:t>
      </w:r>
    </w:p>
    <w:p w14:paraId="1D439B80" w14:textId="77777777" w:rsidR="00262D64" w:rsidRPr="007D2E70" w:rsidRDefault="00262D64" w:rsidP="00262D64">
      <w:pPr>
        <w:pStyle w:val="Prrafodelista"/>
        <w:widowControl w:val="0"/>
        <w:spacing w:before="240" w:after="60"/>
        <w:ind w:left="284"/>
        <w:contextualSpacing/>
        <w:jc w:val="both"/>
        <w:outlineLvl w:val="2"/>
        <w:rPr>
          <w:rFonts w:ascii="Tahoma" w:hAnsi="Tahoma" w:cs="Tahoma"/>
        </w:rPr>
      </w:pPr>
    </w:p>
    <w:p w14:paraId="1D439B81" w14:textId="77777777" w:rsidR="00422BC6" w:rsidRDefault="00422BC6" w:rsidP="001A7D0E">
      <w:pPr>
        <w:pStyle w:val="Prrafodelista"/>
        <w:widowControl w:val="0"/>
        <w:numPr>
          <w:ilvl w:val="0"/>
          <w:numId w:val="1"/>
        </w:numPr>
        <w:spacing w:before="240" w:after="60"/>
        <w:ind w:left="426" w:hanging="426"/>
        <w:contextualSpacing/>
        <w:jc w:val="both"/>
        <w:outlineLvl w:val="2"/>
        <w:rPr>
          <w:rFonts w:ascii="Tahoma" w:hAnsi="Tahoma" w:cs="Tahoma"/>
          <w:b/>
          <w:lang w:eastAsia="es-CR"/>
        </w:rPr>
      </w:pPr>
      <w:r w:rsidRPr="009F3610">
        <w:rPr>
          <w:rFonts w:ascii="Tahoma" w:hAnsi="Tahoma" w:cs="Tahoma"/>
          <w:b/>
          <w:lang w:eastAsia="es-CR"/>
        </w:rPr>
        <w:t xml:space="preserve">En el </w:t>
      </w:r>
      <w:r w:rsidRPr="00900521">
        <w:rPr>
          <w:rFonts w:ascii="Tahoma" w:hAnsi="Tahoma" w:cs="Tahoma"/>
          <w:b/>
          <w:lang w:eastAsia="es-CR"/>
        </w:rPr>
        <w:t xml:space="preserve">punto </w:t>
      </w:r>
      <w:r w:rsidRPr="00900521">
        <w:rPr>
          <w:rFonts w:ascii="Tahoma" w:hAnsi="Tahoma" w:cs="Tahoma"/>
          <w:b/>
        </w:rPr>
        <w:t>8.</w:t>
      </w:r>
      <w:r>
        <w:rPr>
          <w:rFonts w:ascii="Tahoma" w:hAnsi="Tahoma" w:cs="Tahoma"/>
          <w:b/>
        </w:rPr>
        <w:t xml:space="preserve">14 </w:t>
      </w:r>
      <w:r w:rsidRPr="00900521">
        <w:rPr>
          <w:rFonts w:ascii="Tahoma" w:hAnsi="Tahoma" w:cs="Tahoma"/>
          <w:b/>
          <w:lang w:eastAsia="es-CR"/>
        </w:rPr>
        <w:t>del</w:t>
      </w:r>
      <w:r w:rsidRPr="009F3610">
        <w:rPr>
          <w:rFonts w:ascii="Tahoma" w:hAnsi="Tahoma" w:cs="Tahoma"/>
          <w:b/>
          <w:lang w:eastAsia="es-CR"/>
        </w:rPr>
        <w:t xml:space="preserve"> cartel</w:t>
      </w:r>
      <w:r>
        <w:rPr>
          <w:rFonts w:ascii="Tahoma" w:hAnsi="Tahoma" w:cs="Tahoma"/>
          <w:b/>
          <w:lang w:eastAsia="es-CR"/>
        </w:rPr>
        <w:t xml:space="preserve">, </w:t>
      </w:r>
      <w:r w:rsidRPr="00050018">
        <w:rPr>
          <w:rFonts w:ascii="Tahoma" w:hAnsi="Tahoma" w:cs="Tahoma"/>
          <w:b/>
          <w:lang w:eastAsia="es-CR"/>
        </w:rPr>
        <w:t>se aclara lo siguiente</w:t>
      </w:r>
      <w:r>
        <w:rPr>
          <w:rFonts w:ascii="Tahoma" w:hAnsi="Tahoma" w:cs="Tahoma"/>
          <w:b/>
          <w:lang w:eastAsia="es-CR"/>
        </w:rPr>
        <w:t>:</w:t>
      </w:r>
    </w:p>
    <w:p w14:paraId="1D439B82" w14:textId="77777777" w:rsidR="00422BC6" w:rsidRPr="00422BC6" w:rsidRDefault="00422BC6" w:rsidP="004F7A04">
      <w:pPr>
        <w:pStyle w:val="Prrafodelista"/>
        <w:widowControl w:val="0"/>
        <w:spacing w:before="240" w:after="60"/>
        <w:ind w:left="426"/>
        <w:contextualSpacing/>
        <w:jc w:val="both"/>
        <w:outlineLvl w:val="2"/>
        <w:rPr>
          <w:rFonts w:ascii="Tahoma" w:hAnsi="Tahoma" w:cs="Tahoma"/>
        </w:rPr>
      </w:pPr>
      <w:r w:rsidRPr="00422BC6">
        <w:rPr>
          <w:rFonts w:ascii="Tahoma" w:hAnsi="Tahoma" w:cs="Tahoma"/>
        </w:rPr>
        <w:t>Al final del punto 8.14 en la referencia dada se debe leer correctamente punto 8.17.1.3</w:t>
      </w:r>
      <w:r>
        <w:rPr>
          <w:rFonts w:ascii="Tahoma" w:hAnsi="Tahoma" w:cs="Tahoma"/>
        </w:rPr>
        <w:t>.</w:t>
      </w:r>
    </w:p>
    <w:p w14:paraId="1D439B83" w14:textId="77777777" w:rsidR="00422BC6" w:rsidRPr="00422BC6" w:rsidRDefault="00422BC6" w:rsidP="00422BC6">
      <w:pPr>
        <w:pStyle w:val="Prrafodelista"/>
        <w:widowControl w:val="0"/>
        <w:spacing w:before="240" w:after="60"/>
        <w:ind w:left="284"/>
        <w:contextualSpacing/>
        <w:jc w:val="both"/>
        <w:outlineLvl w:val="2"/>
        <w:rPr>
          <w:rFonts w:ascii="Tahoma" w:hAnsi="Tahoma" w:cs="Tahoma"/>
          <w:b/>
          <w:lang w:val="es-ES" w:eastAsia="es-CR"/>
        </w:rPr>
      </w:pPr>
    </w:p>
    <w:p w14:paraId="1D439B84" w14:textId="77777777" w:rsidR="00900521" w:rsidRPr="00B900A1" w:rsidRDefault="00900521" w:rsidP="001A7D0E">
      <w:pPr>
        <w:pStyle w:val="Prrafodelista"/>
        <w:widowControl w:val="0"/>
        <w:numPr>
          <w:ilvl w:val="0"/>
          <w:numId w:val="1"/>
        </w:numPr>
        <w:spacing w:before="240" w:after="60"/>
        <w:ind w:left="426" w:hanging="426"/>
        <w:contextualSpacing/>
        <w:jc w:val="both"/>
        <w:outlineLvl w:val="2"/>
        <w:rPr>
          <w:rFonts w:ascii="Tahoma" w:hAnsi="Tahoma" w:cs="Tahoma"/>
          <w:b/>
          <w:lang w:eastAsia="es-CR"/>
        </w:rPr>
      </w:pPr>
      <w:r w:rsidRPr="009F3610">
        <w:rPr>
          <w:rFonts w:ascii="Tahoma" w:hAnsi="Tahoma" w:cs="Tahoma"/>
          <w:b/>
          <w:lang w:eastAsia="es-CR"/>
        </w:rPr>
        <w:t xml:space="preserve">En el </w:t>
      </w:r>
      <w:r w:rsidRPr="00900521">
        <w:rPr>
          <w:rFonts w:ascii="Tahoma" w:hAnsi="Tahoma" w:cs="Tahoma"/>
          <w:b/>
          <w:lang w:eastAsia="es-CR"/>
        </w:rPr>
        <w:t xml:space="preserve">punto </w:t>
      </w:r>
      <w:r w:rsidRPr="00900521">
        <w:rPr>
          <w:rFonts w:ascii="Tahoma" w:hAnsi="Tahoma" w:cs="Tahoma"/>
          <w:b/>
        </w:rPr>
        <w:t>8.17.1.2</w:t>
      </w:r>
      <w:r>
        <w:rPr>
          <w:rFonts w:ascii="Tahoma" w:hAnsi="Tahoma" w:cs="Tahoma"/>
          <w:b/>
        </w:rPr>
        <w:t xml:space="preserve"> </w:t>
      </w:r>
      <w:r w:rsidRPr="00900521">
        <w:rPr>
          <w:rFonts w:ascii="Tahoma" w:hAnsi="Tahoma" w:cs="Tahoma"/>
          <w:b/>
          <w:lang w:eastAsia="es-CR"/>
        </w:rPr>
        <w:t>del</w:t>
      </w:r>
      <w:r w:rsidRPr="009F3610">
        <w:rPr>
          <w:rFonts w:ascii="Tahoma" w:hAnsi="Tahoma" w:cs="Tahoma"/>
          <w:b/>
          <w:lang w:eastAsia="es-CR"/>
        </w:rPr>
        <w:t xml:space="preserve"> cartel</w:t>
      </w:r>
      <w:r>
        <w:rPr>
          <w:rFonts w:ascii="Tahoma" w:hAnsi="Tahoma" w:cs="Tahoma"/>
          <w:b/>
          <w:lang w:eastAsia="es-CR"/>
        </w:rPr>
        <w:t xml:space="preserve">, </w:t>
      </w:r>
      <w:r w:rsidRPr="00050018">
        <w:rPr>
          <w:rFonts w:ascii="Tahoma" w:hAnsi="Tahoma" w:cs="Tahoma"/>
          <w:b/>
          <w:lang w:eastAsia="es-CR"/>
        </w:rPr>
        <w:t>se aclara lo siguiente</w:t>
      </w:r>
      <w:r>
        <w:rPr>
          <w:rFonts w:ascii="Tahoma" w:hAnsi="Tahoma" w:cs="Tahoma"/>
          <w:b/>
          <w:lang w:eastAsia="es-CR"/>
        </w:rPr>
        <w:t>:</w:t>
      </w:r>
    </w:p>
    <w:p w14:paraId="1D439B85" w14:textId="77777777" w:rsidR="00900521" w:rsidRDefault="00F63DE4" w:rsidP="004F7A04">
      <w:pPr>
        <w:pStyle w:val="Prrafodelista"/>
        <w:widowControl w:val="0"/>
        <w:spacing w:before="240" w:after="60"/>
        <w:ind w:left="426"/>
        <w:contextualSpacing/>
        <w:jc w:val="both"/>
        <w:outlineLvl w:val="2"/>
        <w:rPr>
          <w:rFonts w:ascii="Tahoma" w:hAnsi="Tahoma" w:cs="Tahoma"/>
        </w:rPr>
      </w:pPr>
      <w:r>
        <w:rPr>
          <w:rFonts w:ascii="Tahoma" w:hAnsi="Tahoma" w:cs="Tahoma"/>
        </w:rPr>
        <w:t>Q</w:t>
      </w:r>
      <w:r w:rsidR="00900521" w:rsidRPr="00900521">
        <w:rPr>
          <w:rFonts w:ascii="Tahoma" w:hAnsi="Tahoma" w:cs="Tahoma"/>
        </w:rPr>
        <w:t>ue la sanci</w:t>
      </w:r>
      <w:r w:rsidR="00900521">
        <w:rPr>
          <w:rFonts w:ascii="Tahoma" w:hAnsi="Tahoma" w:cs="Tahoma"/>
        </w:rPr>
        <w:t xml:space="preserve">ón establecida en </w:t>
      </w:r>
      <w:r w:rsidR="00900521" w:rsidRPr="00900521">
        <w:rPr>
          <w:rFonts w:ascii="Tahoma" w:hAnsi="Tahoma" w:cs="Tahoma"/>
        </w:rPr>
        <w:t>el punto 8.17.1.2, aplica por cada oficial, no por puesto</w:t>
      </w:r>
      <w:r w:rsidR="00900521">
        <w:rPr>
          <w:rFonts w:ascii="Tahoma" w:hAnsi="Tahoma" w:cs="Tahoma"/>
        </w:rPr>
        <w:t>.</w:t>
      </w:r>
    </w:p>
    <w:p w14:paraId="1D439B86" w14:textId="77777777" w:rsidR="007D2E70" w:rsidRDefault="007D2E70" w:rsidP="00900521">
      <w:pPr>
        <w:pStyle w:val="Prrafodelista"/>
        <w:widowControl w:val="0"/>
        <w:spacing w:before="240" w:after="60"/>
        <w:ind w:left="284"/>
        <w:contextualSpacing/>
        <w:jc w:val="both"/>
        <w:outlineLvl w:val="2"/>
        <w:rPr>
          <w:rFonts w:ascii="Tahoma" w:hAnsi="Tahoma" w:cs="Tahoma"/>
        </w:rPr>
      </w:pPr>
    </w:p>
    <w:p w14:paraId="1D439B87" w14:textId="77777777" w:rsidR="00B41CF0" w:rsidRPr="00B900A1" w:rsidRDefault="00B41CF0" w:rsidP="001A7D0E">
      <w:pPr>
        <w:pStyle w:val="Prrafodelista"/>
        <w:widowControl w:val="0"/>
        <w:numPr>
          <w:ilvl w:val="0"/>
          <w:numId w:val="1"/>
        </w:numPr>
        <w:spacing w:before="240" w:after="60"/>
        <w:ind w:left="426" w:hanging="426"/>
        <w:contextualSpacing/>
        <w:jc w:val="both"/>
        <w:outlineLvl w:val="2"/>
        <w:rPr>
          <w:rFonts w:ascii="Tahoma" w:hAnsi="Tahoma" w:cs="Tahoma"/>
          <w:b/>
          <w:lang w:eastAsia="es-CR"/>
        </w:rPr>
      </w:pPr>
      <w:r w:rsidRPr="009F3610">
        <w:rPr>
          <w:rFonts w:ascii="Tahoma" w:hAnsi="Tahoma" w:cs="Tahoma"/>
          <w:b/>
          <w:lang w:eastAsia="es-CR"/>
        </w:rPr>
        <w:t xml:space="preserve">En el punto </w:t>
      </w:r>
      <w:r>
        <w:rPr>
          <w:rFonts w:ascii="Tahoma" w:hAnsi="Tahoma" w:cs="Tahoma"/>
          <w:b/>
          <w:lang w:eastAsia="es-CR"/>
        </w:rPr>
        <w:t>8.22</w:t>
      </w:r>
      <w:r w:rsidRPr="00050018">
        <w:rPr>
          <w:rFonts w:ascii="Tahoma" w:hAnsi="Tahoma" w:cs="Tahoma"/>
          <w:b/>
          <w:lang w:eastAsia="es-CR"/>
        </w:rPr>
        <w:t xml:space="preserve"> </w:t>
      </w:r>
      <w:r w:rsidRPr="009F3610">
        <w:rPr>
          <w:rFonts w:ascii="Tahoma" w:hAnsi="Tahoma" w:cs="Tahoma"/>
          <w:b/>
          <w:lang w:eastAsia="es-CR"/>
        </w:rPr>
        <w:t>del cartel</w:t>
      </w:r>
      <w:r>
        <w:rPr>
          <w:rFonts w:ascii="Tahoma" w:hAnsi="Tahoma" w:cs="Tahoma"/>
          <w:b/>
          <w:lang w:eastAsia="es-CR"/>
        </w:rPr>
        <w:t xml:space="preserve">, referente a la Póliza de Responsabilidad Civil, </w:t>
      </w:r>
      <w:r w:rsidRPr="00050018">
        <w:rPr>
          <w:rFonts w:ascii="Tahoma" w:hAnsi="Tahoma" w:cs="Tahoma"/>
          <w:b/>
          <w:lang w:eastAsia="es-CR"/>
        </w:rPr>
        <w:t>se aclara lo siguiente</w:t>
      </w:r>
      <w:r>
        <w:rPr>
          <w:rFonts w:ascii="Tahoma" w:hAnsi="Tahoma" w:cs="Tahoma"/>
          <w:b/>
          <w:lang w:eastAsia="es-CR"/>
        </w:rPr>
        <w:t>:</w:t>
      </w:r>
    </w:p>
    <w:p w14:paraId="1D439B88" w14:textId="7B141A9F" w:rsidR="00B41CF0" w:rsidRDefault="00B41CF0" w:rsidP="004F7A04">
      <w:pPr>
        <w:spacing w:after="0" w:line="240" w:lineRule="auto"/>
        <w:ind w:left="426"/>
        <w:jc w:val="both"/>
        <w:rPr>
          <w:rFonts w:ascii="Tahoma" w:hAnsi="Tahoma" w:cs="Tahoma"/>
        </w:rPr>
      </w:pPr>
      <w:r w:rsidRPr="00DB0FD7">
        <w:rPr>
          <w:rFonts w:ascii="Tahoma" w:hAnsi="Tahoma" w:cs="Tahoma"/>
        </w:rPr>
        <w:t>La póliza no debe ser exc</w:t>
      </w:r>
      <w:r>
        <w:rPr>
          <w:rFonts w:ascii="Tahoma" w:hAnsi="Tahoma" w:cs="Tahoma"/>
        </w:rPr>
        <w:t>l</w:t>
      </w:r>
      <w:r w:rsidRPr="00DB0FD7">
        <w:rPr>
          <w:rFonts w:ascii="Tahoma" w:hAnsi="Tahoma" w:cs="Tahoma"/>
        </w:rPr>
        <w:t>usiva</w:t>
      </w:r>
      <w:r>
        <w:rPr>
          <w:rFonts w:ascii="Tahoma" w:hAnsi="Tahoma" w:cs="Tahoma"/>
        </w:rPr>
        <w:t xml:space="preserve"> para</w:t>
      </w:r>
      <w:r w:rsidRPr="00DB0FD7">
        <w:rPr>
          <w:rFonts w:ascii="Tahoma" w:hAnsi="Tahoma" w:cs="Tahoma"/>
        </w:rPr>
        <w:t xml:space="preserve"> esta contratación;</w:t>
      </w:r>
      <w:r>
        <w:rPr>
          <w:rFonts w:ascii="Tahoma" w:hAnsi="Tahoma" w:cs="Tahoma"/>
        </w:rPr>
        <w:t xml:space="preserve"> </w:t>
      </w:r>
      <w:r w:rsidRPr="00DB0FD7">
        <w:rPr>
          <w:rFonts w:ascii="Tahoma" w:hAnsi="Tahoma" w:cs="Tahoma"/>
        </w:rPr>
        <w:t>pero se debe hacer constar mediante la documentación solicitada, la existencia de la póliza mínima</w:t>
      </w:r>
      <w:r w:rsidR="00F321F3">
        <w:rPr>
          <w:rFonts w:ascii="Tahoma" w:hAnsi="Tahoma" w:cs="Tahoma"/>
        </w:rPr>
        <w:t xml:space="preserve"> y que esta contratación esté incluida en la misma</w:t>
      </w:r>
      <w:r>
        <w:rPr>
          <w:rFonts w:ascii="Tahoma" w:hAnsi="Tahoma" w:cs="Tahoma"/>
        </w:rPr>
        <w:t>.</w:t>
      </w:r>
    </w:p>
    <w:p w14:paraId="1D439B89" w14:textId="77777777" w:rsidR="00DB0FD7" w:rsidRPr="00EF3A8E" w:rsidRDefault="00EF3A8E" w:rsidP="00EF3A8E">
      <w:pPr>
        <w:pStyle w:val="Prrafodelista"/>
        <w:widowControl w:val="0"/>
        <w:numPr>
          <w:ilvl w:val="0"/>
          <w:numId w:val="1"/>
        </w:numPr>
        <w:spacing w:before="240" w:after="60"/>
        <w:ind w:left="426" w:hanging="426"/>
        <w:contextualSpacing/>
        <w:jc w:val="both"/>
        <w:outlineLvl w:val="2"/>
        <w:rPr>
          <w:rFonts w:ascii="Tahoma" w:hAnsi="Tahoma" w:cs="Tahoma"/>
        </w:rPr>
      </w:pPr>
      <w:r w:rsidRPr="00EF3A8E">
        <w:rPr>
          <w:rFonts w:ascii="Tahoma" w:hAnsi="Tahoma" w:cs="Tahoma"/>
        </w:rPr>
        <w:t>Se adjunta el cartel actualizado con las aclaraciones y modificaciones indicadas en la presente Fe de Erratas.</w:t>
      </w:r>
    </w:p>
    <w:p w14:paraId="1D439B8A" w14:textId="77777777" w:rsidR="00EF3A8E" w:rsidRDefault="00EF3A8E" w:rsidP="00EF3A8E">
      <w:pPr>
        <w:pStyle w:val="Prrafodelista"/>
        <w:widowControl w:val="0"/>
        <w:spacing w:before="240" w:after="60"/>
        <w:ind w:left="426"/>
        <w:contextualSpacing/>
        <w:jc w:val="both"/>
        <w:outlineLvl w:val="2"/>
        <w:rPr>
          <w:rFonts w:cs="Tahoma"/>
          <w:lang w:val="es-ES_tradnl"/>
        </w:rPr>
      </w:pPr>
    </w:p>
    <w:p w14:paraId="1D439B8B" w14:textId="77777777" w:rsidR="009F3610" w:rsidRPr="00D70C88" w:rsidRDefault="009F3610" w:rsidP="00D70C88">
      <w:pPr>
        <w:spacing w:after="0" w:line="240" w:lineRule="auto"/>
        <w:ind w:left="426"/>
        <w:jc w:val="both"/>
        <w:rPr>
          <w:rFonts w:ascii="Tahoma" w:hAnsi="Tahoma" w:cs="Tahoma"/>
        </w:rPr>
      </w:pPr>
      <w:r w:rsidRPr="00D70C88">
        <w:rPr>
          <w:rFonts w:ascii="Tahoma" w:hAnsi="Tahoma" w:cs="Tahoma"/>
        </w:rPr>
        <w:t>Todo lo demás permanece invariable.-</w:t>
      </w:r>
    </w:p>
    <w:p w14:paraId="1D439B8C" w14:textId="77777777" w:rsidR="009F3610" w:rsidRDefault="009F3610" w:rsidP="00883557">
      <w:pPr>
        <w:pStyle w:val="Piedepgina"/>
        <w:ind w:left="360"/>
        <w:rPr>
          <w:rFonts w:cs="Tahoma"/>
          <w:lang w:val="es-ES_tradnl"/>
        </w:rPr>
      </w:pPr>
    </w:p>
    <w:p w14:paraId="1D439B8D" w14:textId="77777777" w:rsidR="009F3610" w:rsidRDefault="009F3610" w:rsidP="00883557">
      <w:pPr>
        <w:pStyle w:val="Piedepgina"/>
        <w:ind w:left="360"/>
        <w:rPr>
          <w:rFonts w:cs="Tahoma"/>
          <w:lang w:val="es-ES_tradnl"/>
        </w:rPr>
      </w:pPr>
    </w:p>
    <w:p w14:paraId="1D439B8E" w14:textId="77777777" w:rsidR="009F3610" w:rsidRPr="001628DA" w:rsidRDefault="00D70C88" w:rsidP="00883557">
      <w:pPr>
        <w:rPr>
          <w:rFonts w:ascii="Tahoma" w:hAnsi="Tahoma" w:cs="Tahoma"/>
          <w:b/>
          <w:snapToGrid w:val="0"/>
        </w:rPr>
      </w:pPr>
      <w:r>
        <w:rPr>
          <w:rFonts w:ascii="Tahoma" w:hAnsi="Tahoma" w:cs="Tahoma"/>
          <w:b/>
          <w:snapToGrid w:val="0"/>
        </w:rPr>
        <w:t xml:space="preserve">06 de marzo </w:t>
      </w:r>
      <w:r w:rsidR="001628DA">
        <w:rPr>
          <w:rFonts w:ascii="Tahoma" w:hAnsi="Tahoma" w:cs="Tahoma"/>
          <w:b/>
          <w:snapToGrid w:val="0"/>
        </w:rPr>
        <w:t>del 201</w:t>
      </w:r>
      <w:r>
        <w:rPr>
          <w:rFonts w:ascii="Tahoma" w:hAnsi="Tahoma" w:cs="Tahoma"/>
          <w:b/>
          <w:snapToGrid w:val="0"/>
        </w:rPr>
        <w:t>5</w:t>
      </w:r>
    </w:p>
    <w:p w14:paraId="1D439B8F" w14:textId="77777777" w:rsidR="009F3610" w:rsidRPr="00857A13" w:rsidRDefault="009F3610" w:rsidP="00883557">
      <w:pPr>
        <w:pStyle w:val="Prrafodelista"/>
        <w:tabs>
          <w:tab w:val="left" w:pos="7088"/>
          <w:tab w:val="left" w:pos="8505"/>
        </w:tabs>
        <w:spacing w:before="72" w:after="100" w:afterAutospacing="1"/>
        <w:ind w:left="360" w:right="-45"/>
        <w:contextualSpacing/>
        <w:rPr>
          <w:rFonts w:ascii="Tahoma" w:hAnsi="Tahoma" w:cs="Tahoma"/>
        </w:rPr>
      </w:pPr>
    </w:p>
    <w:p w14:paraId="1D439B90" w14:textId="5673EF85" w:rsidR="009F3610" w:rsidRPr="005C5823" w:rsidRDefault="005C5823" w:rsidP="00883557">
      <w:pPr>
        <w:pStyle w:val="Prrafodelista"/>
        <w:tabs>
          <w:tab w:val="left" w:pos="7088"/>
          <w:tab w:val="left" w:pos="8505"/>
        </w:tabs>
        <w:spacing w:before="72" w:after="100" w:afterAutospacing="1"/>
        <w:ind w:left="360" w:right="-45"/>
        <w:contextualSpacing/>
        <w:rPr>
          <w:rFonts w:ascii="Tahoma" w:hAnsi="Tahoma" w:cs="Tahoma"/>
          <w:i/>
        </w:rPr>
      </w:pPr>
      <w:r w:rsidRPr="005C5823">
        <w:rPr>
          <w:rFonts w:ascii="Tahoma" w:hAnsi="Tahoma" w:cs="Tahoma"/>
          <w:i/>
        </w:rPr>
        <w:t>Original firmado</w:t>
      </w:r>
    </w:p>
    <w:p w14:paraId="1D439B91" w14:textId="77777777" w:rsidR="009F3610" w:rsidRPr="001628DA" w:rsidRDefault="009F3610" w:rsidP="00883557">
      <w:pPr>
        <w:tabs>
          <w:tab w:val="left" w:pos="7088"/>
          <w:tab w:val="left" w:pos="8505"/>
        </w:tabs>
        <w:spacing w:before="72" w:after="100" w:afterAutospacing="1"/>
        <w:ind w:right="-45"/>
        <w:contextualSpacing/>
        <w:rPr>
          <w:rFonts w:ascii="Tahoma" w:hAnsi="Tahoma" w:cs="Tahoma"/>
          <w:b/>
          <w:lang w:val="es-ES_tradnl" w:eastAsia="es-ES"/>
        </w:rPr>
      </w:pPr>
      <w:r w:rsidRPr="001628DA">
        <w:rPr>
          <w:rFonts w:ascii="Tahoma" w:hAnsi="Tahoma" w:cs="Tahoma"/>
          <w:b/>
          <w:lang w:val="es-ES_tradnl" w:eastAsia="es-ES"/>
        </w:rPr>
        <w:t>José A. Rodríguez C., Director</w:t>
      </w:r>
    </w:p>
    <w:p w14:paraId="1D439B94" w14:textId="0500F6C5" w:rsidR="009F3610" w:rsidRPr="00857A13" w:rsidRDefault="009F3610" w:rsidP="00DA6084">
      <w:pPr>
        <w:tabs>
          <w:tab w:val="left" w:pos="7088"/>
          <w:tab w:val="left" w:pos="8505"/>
        </w:tabs>
        <w:spacing w:before="72" w:after="100" w:afterAutospacing="1"/>
        <w:ind w:right="-45"/>
        <w:contextualSpacing/>
        <w:rPr>
          <w:rFonts w:ascii="Tahoma" w:hAnsi="Tahoma" w:cs="Tahoma"/>
        </w:rPr>
      </w:pPr>
      <w:r w:rsidRPr="001628DA">
        <w:rPr>
          <w:rFonts w:ascii="Tahoma" w:hAnsi="Tahoma" w:cs="Tahoma"/>
          <w:b/>
          <w:lang w:val="es-ES_tradnl" w:eastAsia="es-ES"/>
        </w:rPr>
        <w:t>División Administrativa</w:t>
      </w:r>
    </w:p>
    <w:p w14:paraId="1D439B95" w14:textId="77777777" w:rsidR="00136E8E" w:rsidRDefault="00136E8E">
      <w:bookmarkStart w:id="0" w:name="_GoBack"/>
      <w:bookmarkEnd w:id="0"/>
    </w:p>
    <w:sectPr w:rsidR="00136E8E">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39B98" w14:textId="77777777" w:rsidR="002E38AA" w:rsidRDefault="002E38AA" w:rsidP="009F3610">
      <w:pPr>
        <w:spacing w:after="0" w:line="240" w:lineRule="auto"/>
      </w:pPr>
      <w:r>
        <w:separator/>
      </w:r>
    </w:p>
  </w:endnote>
  <w:endnote w:type="continuationSeparator" w:id="0">
    <w:p w14:paraId="1D439B99" w14:textId="77777777" w:rsidR="002E38AA" w:rsidRDefault="002E38AA" w:rsidP="009F3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39B9D" w14:textId="77777777" w:rsidR="00C30EE7" w:rsidRDefault="00C30E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161505"/>
      <w:docPartObj>
        <w:docPartGallery w:val="Page Numbers (Bottom of Page)"/>
        <w:docPartUnique/>
      </w:docPartObj>
    </w:sdtPr>
    <w:sdtEndPr/>
    <w:sdtContent>
      <w:p w14:paraId="1D439B9E" w14:textId="77777777" w:rsidR="00C30EE7" w:rsidRDefault="00C30EE7">
        <w:pPr>
          <w:pStyle w:val="Piedepgina"/>
          <w:jc w:val="center"/>
        </w:pPr>
        <w:r>
          <w:fldChar w:fldCharType="begin"/>
        </w:r>
        <w:r>
          <w:instrText>PAGE   \* MERGEFORMAT</w:instrText>
        </w:r>
        <w:r>
          <w:fldChar w:fldCharType="separate"/>
        </w:r>
        <w:r w:rsidR="005C5823" w:rsidRPr="005C5823">
          <w:rPr>
            <w:noProof/>
            <w:lang w:val="es-ES"/>
          </w:rPr>
          <w:t>3</w:t>
        </w:r>
        <w:r>
          <w:fldChar w:fldCharType="end"/>
        </w:r>
      </w:p>
    </w:sdtContent>
  </w:sdt>
  <w:p w14:paraId="1D439B9F" w14:textId="77777777" w:rsidR="00C30EE7" w:rsidRDefault="00C30EE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39BA1" w14:textId="77777777" w:rsidR="00C30EE7" w:rsidRDefault="00C30E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39B96" w14:textId="77777777" w:rsidR="002E38AA" w:rsidRDefault="002E38AA" w:rsidP="009F3610">
      <w:pPr>
        <w:spacing w:after="0" w:line="240" w:lineRule="auto"/>
      </w:pPr>
      <w:r>
        <w:separator/>
      </w:r>
    </w:p>
  </w:footnote>
  <w:footnote w:type="continuationSeparator" w:id="0">
    <w:p w14:paraId="1D439B97" w14:textId="77777777" w:rsidR="002E38AA" w:rsidRDefault="002E38AA" w:rsidP="009F3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39B9A" w14:textId="77777777" w:rsidR="00C30EE7" w:rsidRDefault="00C30E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39B9B" w14:textId="77777777" w:rsidR="009F3610" w:rsidRDefault="009F3610" w:rsidP="009F3610">
    <w:pPr>
      <w:pStyle w:val="Encabezado"/>
      <w:jc w:val="center"/>
    </w:pPr>
    <w:r>
      <w:rPr>
        <w:noProof/>
        <w:lang w:eastAsia="es-CR"/>
      </w:rPr>
      <w:drawing>
        <wp:inline distT="0" distB="0" distL="0" distR="0" wp14:anchorId="1D439BA2" wp14:editId="1D439BA3">
          <wp:extent cx="1590039" cy="493749"/>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606" cy="494857"/>
                  </a:xfrm>
                  <a:prstGeom prst="rect">
                    <a:avLst/>
                  </a:prstGeom>
                  <a:noFill/>
                  <a:ln>
                    <a:noFill/>
                  </a:ln>
                </pic:spPr>
              </pic:pic>
            </a:graphicData>
          </a:graphic>
        </wp:inline>
      </w:drawing>
    </w:r>
  </w:p>
  <w:p w14:paraId="1D439B9C" w14:textId="77777777" w:rsidR="009F3610" w:rsidRDefault="009F3610" w:rsidP="009F3610">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39BA0" w14:textId="77777777" w:rsidR="00C30EE7" w:rsidRDefault="00C30E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63B5E"/>
    <w:multiLevelType w:val="hybridMultilevel"/>
    <w:tmpl w:val="95AC7862"/>
    <w:lvl w:ilvl="0" w:tplc="8A4050B4">
      <w:start w:val="1"/>
      <w:numFmt w:val="decimal"/>
      <w:lvlText w:val="%1."/>
      <w:lvlJc w:val="left"/>
      <w:pPr>
        <w:ind w:left="720" w:hanging="360"/>
      </w:pPr>
      <w:rPr>
        <w:rFonts w:ascii="Tahoma" w:hAnsi="Tahoma" w:cs="Tahoma"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48830F33"/>
    <w:multiLevelType w:val="hybridMultilevel"/>
    <w:tmpl w:val="5BF05BF6"/>
    <w:lvl w:ilvl="0" w:tplc="43FCAAB2">
      <w:start w:val="1"/>
      <w:numFmt w:val="decimal"/>
      <w:lvlText w:val="%1."/>
      <w:lvlJc w:val="left"/>
      <w:pPr>
        <w:ind w:left="1428" w:hanging="360"/>
      </w:pPr>
      <w:rPr>
        <w:b/>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10"/>
    <w:rsid w:val="00007A76"/>
    <w:rsid w:val="0003247D"/>
    <w:rsid w:val="00032500"/>
    <w:rsid w:val="00050018"/>
    <w:rsid w:val="00052ED8"/>
    <w:rsid w:val="000535FD"/>
    <w:rsid w:val="00066F72"/>
    <w:rsid w:val="000754B6"/>
    <w:rsid w:val="00090018"/>
    <w:rsid w:val="0009316A"/>
    <w:rsid w:val="000D4D19"/>
    <w:rsid w:val="000E1F19"/>
    <w:rsid w:val="000F7690"/>
    <w:rsid w:val="0010040F"/>
    <w:rsid w:val="0010106F"/>
    <w:rsid w:val="001046DD"/>
    <w:rsid w:val="0011173C"/>
    <w:rsid w:val="00121268"/>
    <w:rsid w:val="00136E8E"/>
    <w:rsid w:val="00152420"/>
    <w:rsid w:val="00155ED0"/>
    <w:rsid w:val="001564BD"/>
    <w:rsid w:val="001628DA"/>
    <w:rsid w:val="00175912"/>
    <w:rsid w:val="001A3D7E"/>
    <w:rsid w:val="001A7D0E"/>
    <w:rsid w:val="001C3D0A"/>
    <w:rsid w:val="001E4132"/>
    <w:rsid w:val="001F32C9"/>
    <w:rsid w:val="00210F23"/>
    <w:rsid w:val="00215148"/>
    <w:rsid w:val="002157F6"/>
    <w:rsid w:val="0021628F"/>
    <w:rsid w:val="00223094"/>
    <w:rsid w:val="00236D0F"/>
    <w:rsid w:val="00240430"/>
    <w:rsid w:val="00244546"/>
    <w:rsid w:val="00262D64"/>
    <w:rsid w:val="00271244"/>
    <w:rsid w:val="00286F63"/>
    <w:rsid w:val="00293286"/>
    <w:rsid w:val="00294D4B"/>
    <w:rsid w:val="002C1757"/>
    <w:rsid w:val="002D5C3A"/>
    <w:rsid w:val="002E38AA"/>
    <w:rsid w:val="00321478"/>
    <w:rsid w:val="0035598C"/>
    <w:rsid w:val="003727A3"/>
    <w:rsid w:val="00376673"/>
    <w:rsid w:val="003A07D1"/>
    <w:rsid w:val="003D098D"/>
    <w:rsid w:val="003E2223"/>
    <w:rsid w:val="003F2D78"/>
    <w:rsid w:val="004024D2"/>
    <w:rsid w:val="004075E7"/>
    <w:rsid w:val="004160F5"/>
    <w:rsid w:val="00422BC6"/>
    <w:rsid w:val="00427556"/>
    <w:rsid w:val="00477889"/>
    <w:rsid w:val="004F17B7"/>
    <w:rsid w:val="004F72DA"/>
    <w:rsid w:val="004F7A04"/>
    <w:rsid w:val="0051134F"/>
    <w:rsid w:val="00514404"/>
    <w:rsid w:val="00535F6E"/>
    <w:rsid w:val="00573367"/>
    <w:rsid w:val="00575CD1"/>
    <w:rsid w:val="005926B5"/>
    <w:rsid w:val="005A0B93"/>
    <w:rsid w:val="005A3126"/>
    <w:rsid w:val="005B4EF6"/>
    <w:rsid w:val="005B5B84"/>
    <w:rsid w:val="005C5823"/>
    <w:rsid w:val="005E7B00"/>
    <w:rsid w:val="005F0F6F"/>
    <w:rsid w:val="00600B00"/>
    <w:rsid w:val="00630F6D"/>
    <w:rsid w:val="00633521"/>
    <w:rsid w:val="00640F2F"/>
    <w:rsid w:val="006551F4"/>
    <w:rsid w:val="00683BB7"/>
    <w:rsid w:val="006A4A60"/>
    <w:rsid w:val="006B1532"/>
    <w:rsid w:val="006D2C7E"/>
    <w:rsid w:val="00721328"/>
    <w:rsid w:val="007258EA"/>
    <w:rsid w:val="00727C32"/>
    <w:rsid w:val="00743493"/>
    <w:rsid w:val="007912B0"/>
    <w:rsid w:val="007A39E4"/>
    <w:rsid w:val="007B4F2B"/>
    <w:rsid w:val="007B5723"/>
    <w:rsid w:val="007C38DE"/>
    <w:rsid w:val="007D2E70"/>
    <w:rsid w:val="007D3C75"/>
    <w:rsid w:val="007F5322"/>
    <w:rsid w:val="00806E0A"/>
    <w:rsid w:val="0081706D"/>
    <w:rsid w:val="0082438B"/>
    <w:rsid w:val="00847A9B"/>
    <w:rsid w:val="00873C86"/>
    <w:rsid w:val="00883557"/>
    <w:rsid w:val="008A2FEB"/>
    <w:rsid w:val="008A3C0C"/>
    <w:rsid w:val="008C4475"/>
    <w:rsid w:val="008D14E4"/>
    <w:rsid w:val="008D3CD0"/>
    <w:rsid w:val="008F5CCA"/>
    <w:rsid w:val="00900521"/>
    <w:rsid w:val="00907065"/>
    <w:rsid w:val="00947525"/>
    <w:rsid w:val="009A131F"/>
    <w:rsid w:val="009A592A"/>
    <w:rsid w:val="009B44E4"/>
    <w:rsid w:val="009B7620"/>
    <w:rsid w:val="009C0759"/>
    <w:rsid w:val="009C0F79"/>
    <w:rsid w:val="009C576C"/>
    <w:rsid w:val="009D1DC4"/>
    <w:rsid w:val="009F3610"/>
    <w:rsid w:val="00A10B9D"/>
    <w:rsid w:val="00A414CF"/>
    <w:rsid w:val="00A67169"/>
    <w:rsid w:val="00A776E1"/>
    <w:rsid w:val="00A813DE"/>
    <w:rsid w:val="00A87F44"/>
    <w:rsid w:val="00A91397"/>
    <w:rsid w:val="00AB2EB0"/>
    <w:rsid w:val="00B162F0"/>
    <w:rsid w:val="00B41CF0"/>
    <w:rsid w:val="00B479E8"/>
    <w:rsid w:val="00B640C2"/>
    <w:rsid w:val="00B66D44"/>
    <w:rsid w:val="00B67605"/>
    <w:rsid w:val="00B74DCB"/>
    <w:rsid w:val="00B900A1"/>
    <w:rsid w:val="00B946D9"/>
    <w:rsid w:val="00BD343C"/>
    <w:rsid w:val="00BF2C85"/>
    <w:rsid w:val="00C30EE7"/>
    <w:rsid w:val="00C55041"/>
    <w:rsid w:val="00C76CD8"/>
    <w:rsid w:val="00CC14BE"/>
    <w:rsid w:val="00CD0979"/>
    <w:rsid w:val="00CF6E56"/>
    <w:rsid w:val="00D01458"/>
    <w:rsid w:val="00D070E2"/>
    <w:rsid w:val="00D33EC3"/>
    <w:rsid w:val="00D44CE9"/>
    <w:rsid w:val="00D46181"/>
    <w:rsid w:val="00D51863"/>
    <w:rsid w:val="00D52FA0"/>
    <w:rsid w:val="00D54374"/>
    <w:rsid w:val="00D70C88"/>
    <w:rsid w:val="00D77A0D"/>
    <w:rsid w:val="00D80052"/>
    <w:rsid w:val="00D931B8"/>
    <w:rsid w:val="00D945D6"/>
    <w:rsid w:val="00DA1245"/>
    <w:rsid w:val="00DA6084"/>
    <w:rsid w:val="00DB0FD7"/>
    <w:rsid w:val="00DB4000"/>
    <w:rsid w:val="00DE2755"/>
    <w:rsid w:val="00DE67F0"/>
    <w:rsid w:val="00E013C1"/>
    <w:rsid w:val="00E11887"/>
    <w:rsid w:val="00E17BBF"/>
    <w:rsid w:val="00E32476"/>
    <w:rsid w:val="00E51D94"/>
    <w:rsid w:val="00E54A4C"/>
    <w:rsid w:val="00E77181"/>
    <w:rsid w:val="00E86364"/>
    <w:rsid w:val="00E97854"/>
    <w:rsid w:val="00EB14C4"/>
    <w:rsid w:val="00EE1610"/>
    <w:rsid w:val="00EF3A8E"/>
    <w:rsid w:val="00EF6335"/>
    <w:rsid w:val="00F1744C"/>
    <w:rsid w:val="00F2225D"/>
    <w:rsid w:val="00F321F3"/>
    <w:rsid w:val="00F607E5"/>
    <w:rsid w:val="00F63DE4"/>
    <w:rsid w:val="00F849C1"/>
    <w:rsid w:val="00F8704E"/>
    <w:rsid w:val="00FD0AC8"/>
    <w:rsid w:val="00FF4F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6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3610"/>
    <w:pPr>
      <w:spacing w:after="0" w:line="240" w:lineRule="auto"/>
      <w:ind w:left="720"/>
    </w:pPr>
    <w:rPr>
      <w:rFonts w:ascii="Calibri" w:hAnsi="Calibri" w:cs="Times New Roman"/>
    </w:rPr>
  </w:style>
  <w:style w:type="paragraph" w:styleId="Encabezado">
    <w:name w:val="header"/>
    <w:basedOn w:val="Normal"/>
    <w:link w:val="EncabezadoCar"/>
    <w:uiPriority w:val="99"/>
    <w:unhideWhenUsed/>
    <w:rsid w:val="009F36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3610"/>
  </w:style>
  <w:style w:type="paragraph" w:styleId="Piedepgina">
    <w:name w:val="footer"/>
    <w:basedOn w:val="Normal"/>
    <w:link w:val="PiedepginaCar"/>
    <w:uiPriority w:val="99"/>
    <w:unhideWhenUsed/>
    <w:rsid w:val="009F36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3610"/>
  </w:style>
  <w:style w:type="paragraph" w:styleId="Textodeglobo">
    <w:name w:val="Balloon Text"/>
    <w:basedOn w:val="Normal"/>
    <w:link w:val="TextodegloboCar"/>
    <w:uiPriority w:val="99"/>
    <w:semiHidden/>
    <w:unhideWhenUsed/>
    <w:rsid w:val="009F36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3610"/>
    <w:rPr>
      <w:rFonts w:ascii="Tahoma" w:hAnsi="Tahoma" w:cs="Tahoma"/>
      <w:sz w:val="16"/>
      <w:szCs w:val="16"/>
    </w:rPr>
  </w:style>
  <w:style w:type="paragraph" w:styleId="Sangradetextonormal">
    <w:name w:val="Body Text Indent"/>
    <w:basedOn w:val="Normal"/>
    <w:link w:val="SangradetextonormalCar"/>
    <w:rsid w:val="009F3610"/>
    <w:pPr>
      <w:spacing w:after="120" w:line="480" w:lineRule="auto"/>
    </w:pPr>
    <w:rPr>
      <w:rFonts w:ascii="Times New Roman" w:eastAsia="MS Mincho"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9F3610"/>
    <w:rPr>
      <w:rFonts w:ascii="Times New Roman" w:eastAsia="MS Mincho" w:hAnsi="Times New Roman" w:cs="Times New Roman"/>
      <w:sz w:val="24"/>
      <w:szCs w:val="24"/>
      <w:lang w:val="es-ES" w:eastAsia="es-ES"/>
    </w:rPr>
  </w:style>
  <w:style w:type="paragraph" w:styleId="Textonotapie">
    <w:name w:val="footnote text"/>
    <w:basedOn w:val="Normal"/>
    <w:link w:val="TextonotapieCar"/>
    <w:uiPriority w:val="99"/>
    <w:semiHidden/>
    <w:rsid w:val="00422BC6"/>
    <w:pPr>
      <w:spacing w:after="0" w:line="240" w:lineRule="auto"/>
    </w:pPr>
    <w:rPr>
      <w:rFonts w:ascii="Times New Roman" w:eastAsia="MS Mincho"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422BC6"/>
    <w:rPr>
      <w:rFonts w:ascii="Times New Roman" w:eastAsia="MS Mincho" w:hAnsi="Times New Roman" w:cs="Times New Roman"/>
      <w:sz w:val="20"/>
      <w:szCs w:val="20"/>
      <w:lang w:val="es-ES" w:eastAsia="es-ES"/>
    </w:rPr>
  </w:style>
  <w:style w:type="character" w:styleId="Refdenotaalpie">
    <w:name w:val="footnote reference"/>
    <w:basedOn w:val="Fuentedeprrafopredeter"/>
    <w:uiPriority w:val="99"/>
    <w:semiHidden/>
    <w:rsid w:val="00C550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6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3610"/>
    <w:pPr>
      <w:spacing w:after="0" w:line="240" w:lineRule="auto"/>
      <w:ind w:left="720"/>
    </w:pPr>
    <w:rPr>
      <w:rFonts w:ascii="Calibri" w:hAnsi="Calibri" w:cs="Times New Roman"/>
    </w:rPr>
  </w:style>
  <w:style w:type="paragraph" w:styleId="Encabezado">
    <w:name w:val="header"/>
    <w:basedOn w:val="Normal"/>
    <w:link w:val="EncabezadoCar"/>
    <w:uiPriority w:val="99"/>
    <w:unhideWhenUsed/>
    <w:rsid w:val="009F36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3610"/>
  </w:style>
  <w:style w:type="paragraph" w:styleId="Piedepgina">
    <w:name w:val="footer"/>
    <w:basedOn w:val="Normal"/>
    <w:link w:val="PiedepginaCar"/>
    <w:uiPriority w:val="99"/>
    <w:unhideWhenUsed/>
    <w:rsid w:val="009F36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3610"/>
  </w:style>
  <w:style w:type="paragraph" w:styleId="Textodeglobo">
    <w:name w:val="Balloon Text"/>
    <w:basedOn w:val="Normal"/>
    <w:link w:val="TextodegloboCar"/>
    <w:uiPriority w:val="99"/>
    <w:semiHidden/>
    <w:unhideWhenUsed/>
    <w:rsid w:val="009F36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3610"/>
    <w:rPr>
      <w:rFonts w:ascii="Tahoma" w:hAnsi="Tahoma" w:cs="Tahoma"/>
      <w:sz w:val="16"/>
      <w:szCs w:val="16"/>
    </w:rPr>
  </w:style>
  <w:style w:type="paragraph" w:styleId="Sangradetextonormal">
    <w:name w:val="Body Text Indent"/>
    <w:basedOn w:val="Normal"/>
    <w:link w:val="SangradetextonormalCar"/>
    <w:rsid w:val="009F3610"/>
    <w:pPr>
      <w:spacing w:after="120" w:line="480" w:lineRule="auto"/>
    </w:pPr>
    <w:rPr>
      <w:rFonts w:ascii="Times New Roman" w:eastAsia="MS Mincho"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9F3610"/>
    <w:rPr>
      <w:rFonts w:ascii="Times New Roman" w:eastAsia="MS Mincho" w:hAnsi="Times New Roman" w:cs="Times New Roman"/>
      <w:sz w:val="24"/>
      <w:szCs w:val="24"/>
      <w:lang w:val="es-ES" w:eastAsia="es-ES"/>
    </w:rPr>
  </w:style>
  <w:style w:type="paragraph" w:styleId="Textonotapie">
    <w:name w:val="footnote text"/>
    <w:basedOn w:val="Normal"/>
    <w:link w:val="TextonotapieCar"/>
    <w:uiPriority w:val="99"/>
    <w:semiHidden/>
    <w:rsid w:val="00422BC6"/>
    <w:pPr>
      <w:spacing w:after="0" w:line="240" w:lineRule="auto"/>
    </w:pPr>
    <w:rPr>
      <w:rFonts w:ascii="Times New Roman" w:eastAsia="MS Mincho"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422BC6"/>
    <w:rPr>
      <w:rFonts w:ascii="Times New Roman" w:eastAsia="MS Mincho" w:hAnsi="Times New Roman" w:cs="Times New Roman"/>
      <w:sz w:val="20"/>
      <w:szCs w:val="20"/>
      <w:lang w:val="es-ES" w:eastAsia="es-ES"/>
    </w:rPr>
  </w:style>
  <w:style w:type="character" w:styleId="Refdenotaalpie">
    <w:name w:val="footnote reference"/>
    <w:basedOn w:val="Fuentedeprrafopredeter"/>
    <w:uiPriority w:val="99"/>
    <w:semiHidden/>
    <w:rsid w:val="00C550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FE DE ERRATAS Servicio de Seguridad</DescripcionCartel>
    <FechaPublicacionDocumento xmlns="f339ac9f-4011-41be-9edd-aa0ec2505ec2" xsi:nil="true"/>
    <Entidad xmlns="f339ac9f-4011-41be-9edd-aa0ec2505ec2">BCCR</Entidad>
    <TipoContenido xmlns="8a0a4788-06ca-437b-bfc6-ffe2f4a28eed" xsi:nil="true"/>
    <FechaApertura xmlns="f339ac9f-4011-41be-9edd-aa0ec2505ec2" xsi:nil="true"/>
    <HoraApertura xmlns="f339ac9f-4011-41be-9edd-aa0ec2505ec2" xsi:nil="true"/>
    <AnexosCartel xmlns="f339ac9f-4011-41be-9edd-aa0ec2505ec2">Fe de Erratas</AnexosCartel>
    <Anhio xmlns="f339ac9f-4011-41be-9edd-aa0ec2505ec2">2015</Anhio>
    <ContenidoMultilineaHTML xmlns="b9fc4df0-8f56-46e7-b005-54afe0044df7">&lt;p&gt;​FE DE ERRATAS Servicio de Seguridad​&lt;br&gt;&lt;/p&gt;</ContenidoMultilineaHTML>
  </documentManagement>
</p:properties>
</file>

<file path=customXml/itemProps1.xml><?xml version="1.0" encoding="utf-8"?>
<ds:datastoreItem xmlns:ds="http://schemas.openxmlformats.org/officeDocument/2006/customXml" ds:itemID="{3C566AE0-6535-4D12-87ED-2F7DF8372B9A}"/>
</file>

<file path=customXml/itemProps2.xml><?xml version="1.0" encoding="utf-8"?>
<ds:datastoreItem xmlns:ds="http://schemas.openxmlformats.org/officeDocument/2006/customXml" ds:itemID="{3CB770C0-2644-4BDD-882C-FB3FBB1BBB56}"/>
</file>

<file path=customXml/itemProps3.xml><?xml version="1.0" encoding="utf-8"?>
<ds:datastoreItem xmlns:ds="http://schemas.openxmlformats.org/officeDocument/2006/customXml" ds:itemID="{95D39101-4408-410B-AD1B-02BF2BB2E058}"/>
</file>

<file path=docProps/app.xml><?xml version="1.0" encoding="utf-8"?>
<Properties xmlns="http://schemas.openxmlformats.org/officeDocument/2006/extended-properties" xmlns:vt="http://schemas.openxmlformats.org/officeDocument/2006/docPropsVTypes">
  <Template>Normal</Template>
  <TotalTime>318</TotalTime>
  <Pages>3</Pages>
  <Words>1146</Words>
  <Characters>6303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 DE ERRATAS 2014LN-000009-BCCR Servicio de Seguridad </dc:title>
  <dc:creator>UGALDE DIAZ ZAHYRA</dc:creator>
  <cp:lastModifiedBy>UGALDE DIAZ ZAHYRA</cp:lastModifiedBy>
  <cp:revision>177</cp:revision>
  <cp:lastPrinted>2015-03-11T16:04:00Z</cp:lastPrinted>
  <dcterms:created xsi:type="dcterms:W3CDTF">2015-03-04T20:50:00Z</dcterms:created>
  <dcterms:modified xsi:type="dcterms:W3CDTF">2015-03-11T16:15:00Z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1200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