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B94" w:rsidRDefault="008D5B94" w:rsidP="008D5B94">
      <w:pPr>
        <w:pStyle w:val="Piedepgina"/>
        <w:widowControl w:val="0"/>
        <w:tabs>
          <w:tab w:val="clear" w:pos="8640"/>
        </w:tabs>
        <w:jc w:val="center"/>
        <w:rPr>
          <w:b/>
          <w:sz w:val="24"/>
          <w:szCs w:val="24"/>
        </w:rPr>
      </w:pPr>
      <w:r>
        <w:rPr>
          <w:b/>
          <w:sz w:val="24"/>
          <w:szCs w:val="24"/>
        </w:rPr>
        <w:t>VENTA</w:t>
      </w:r>
    </w:p>
    <w:p w:rsidR="008D5B94" w:rsidRPr="00CD5DAD" w:rsidRDefault="008D5B94" w:rsidP="008D5B94">
      <w:pPr>
        <w:pStyle w:val="Piedepgina"/>
        <w:widowControl w:val="0"/>
        <w:tabs>
          <w:tab w:val="clear" w:pos="8640"/>
        </w:tabs>
        <w:jc w:val="center"/>
        <w:rPr>
          <w:b/>
          <w:sz w:val="24"/>
          <w:szCs w:val="24"/>
        </w:rPr>
      </w:pPr>
    </w:p>
    <w:p w:rsidR="008D5B94" w:rsidRDefault="008D5B94" w:rsidP="008D5B94">
      <w:pPr>
        <w:pStyle w:val="Piedepgina"/>
        <w:tabs>
          <w:tab w:val="clear" w:pos="8640"/>
        </w:tabs>
        <w:jc w:val="center"/>
        <w:rPr>
          <w:rFonts w:cs="Tahoma"/>
          <w:b/>
          <w:bCs/>
          <w:sz w:val="24"/>
          <w:szCs w:val="24"/>
        </w:rPr>
      </w:pPr>
      <w:r>
        <w:rPr>
          <w:rFonts w:cs="Tahoma"/>
          <w:b/>
          <w:bCs/>
          <w:sz w:val="24"/>
          <w:szCs w:val="24"/>
        </w:rPr>
        <w:t>201</w:t>
      </w:r>
      <w:r w:rsidR="007D1732">
        <w:rPr>
          <w:rFonts w:cs="Tahoma"/>
          <w:b/>
          <w:bCs/>
          <w:sz w:val="24"/>
          <w:szCs w:val="24"/>
        </w:rPr>
        <w:t>5</w:t>
      </w:r>
      <w:r>
        <w:rPr>
          <w:rFonts w:cs="Tahoma"/>
          <w:b/>
          <w:bCs/>
          <w:sz w:val="24"/>
          <w:szCs w:val="24"/>
        </w:rPr>
        <w:t>VE-00000</w:t>
      </w:r>
      <w:r w:rsidR="007D1732">
        <w:rPr>
          <w:rFonts w:cs="Tahoma"/>
          <w:b/>
          <w:bCs/>
          <w:sz w:val="24"/>
          <w:szCs w:val="24"/>
        </w:rPr>
        <w:t>1</w:t>
      </w:r>
      <w:r>
        <w:rPr>
          <w:rFonts w:cs="Tahoma"/>
          <w:b/>
          <w:bCs/>
          <w:sz w:val="24"/>
          <w:szCs w:val="24"/>
        </w:rPr>
        <w:t>-BCCR</w:t>
      </w:r>
      <w:r w:rsidRPr="00F746A7">
        <w:rPr>
          <w:rFonts w:cs="Tahoma"/>
          <w:b/>
          <w:bCs/>
          <w:sz w:val="24"/>
          <w:szCs w:val="24"/>
        </w:rPr>
        <w:t xml:space="preserve"> </w:t>
      </w:r>
    </w:p>
    <w:p w:rsidR="008D5B94" w:rsidRDefault="008D5B94" w:rsidP="008D5B94">
      <w:pPr>
        <w:pStyle w:val="Piedepgina"/>
        <w:tabs>
          <w:tab w:val="clear" w:pos="8640"/>
        </w:tabs>
        <w:jc w:val="center"/>
        <w:rPr>
          <w:rFonts w:cs="Tahoma"/>
          <w:b/>
          <w:bCs/>
          <w:sz w:val="24"/>
          <w:szCs w:val="24"/>
        </w:rPr>
      </w:pPr>
    </w:p>
    <w:p w:rsidR="008D5B94" w:rsidRDefault="008D5B94" w:rsidP="008D5B94">
      <w:pPr>
        <w:pStyle w:val="Piedepgina"/>
        <w:tabs>
          <w:tab w:val="clear" w:pos="8640"/>
        </w:tabs>
        <w:jc w:val="center"/>
        <w:rPr>
          <w:rFonts w:cs="Tahoma"/>
          <w:b/>
          <w:bCs/>
          <w:sz w:val="24"/>
          <w:szCs w:val="24"/>
        </w:rPr>
      </w:pPr>
      <w:r w:rsidRPr="008D5B94">
        <w:rPr>
          <w:rFonts w:cs="Tahoma"/>
          <w:b/>
          <w:bCs/>
          <w:sz w:val="24"/>
          <w:szCs w:val="24"/>
        </w:rPr>
        <w:t xml:space="preserve">VENTA DE MATERIAL EN MONEDAS DESMONETIZADAS POR EL </w:t>
      </w:r>
    </w:p>
    <w:p w:rsidR="008D5B94" w:rsidRPr="002C2887" w:rsidRDefault="008D5B94" w:rsidP="008D5B94">
      <w:pPr>
        <w:pStyle w:val="Piedepgina"/>
        <w:tabs>
          <w:tab w:val="clear" w:pos="8640"/>
        </w:tabs>
        <w:jc w:val="center"/>
        <w:rPr>
          <w:rFonts w:cs="Tahoma"/>
          <w:b/>
          <w:bCs/>
          <w:sz w:val="24"/>
          <w:szCs w:val="24"/>
        </w:rPr>
      </w:pPr>
      <w:r w:rsidRPr="008D5B94">
        <w:rPr>
          <w:rFonts w:cs="Tahoma"/>
          <w:b/>
          <w:bCs/>
          <w:sz w:val="24"/>
          <w:szCs w:val="24"/>
        </w:rPr>
        <w:t>BANCO CENTRAL DE COSTA RICA PARA SER FUNDIDAS</w:t>
      </w:r>
    </w:p>
    <w:p w:rsidR="000E05EB" w:rsidRDefault="008D5B94" w:rsidP="00D518BC">
      <w:pPr>
        <w:pStyle w:val="Ttulo1"/>
        <w:numPr>
          <w:ilvl w:val="0"/>
          <w:numId w:val="0"/>
        </w:numPr>
        <w:spacing w:before="100" w:beforeAutospacing="1"/>
        <w:ind w:right="49"/>
        <w:rPr>
          <w:rFonts w:ascii="Arial" w:hAnsi="Arial" w:cs="Arial"/>
          <w:b w:val="0"/>
          <w:color w:val="auto"/>
          <w:sz w:val="22"/>
          <w:szCs w:val="22"/>
          <w:lang w:val="es-MX"/>
        </w:rPr>
      </w:pPr>
      <w:r w:rsidRPr="004B4F5B">
        <w:rPr>
          <w:b w:val="0"/>
          <w:color w:val="auto"/>
          <w:sz w:val="22"/>
          <w:szCs w:val="22"/>
        </w:rPr>
        <w:t xml:space="preserve">El Departamento de Proveeduría del Banco Central de Costa Rica (BCCR) le invita a presentar cotización por escrito para la venta de </w:t>
      </w:r>
      <w:r w:rsidR="00A90142">
        <w:rPr>
          <w:b w:val="0"/>
          <w:color w:val="auto"/>
          <w:sz w:val="22"/>
          <w:szCs w:val="22"/>
        </w:rPr>
        <w:t>material en monedas desmonetizadas</w:t>
      </w:r>
      <w:r w:rsidRPr="004B4F5B">
        <w:rPr>
          <w:b w:val="0"/>
          <w:color w:val="auto"/>
          <w:sz w:val="22"/>
          <w:szCs w:val="22"/>
        </w:rPr>
        <w:t xml:space="preserve">, hasta las </w:t>
      </w:r>
      <w:r w:rsidRPr="004B4F5B">
        <w:rPr>
          <w:color w:val="auto"/>
          <w:sz w:val="22"/>
          <w:szCs w:val="22"/>
        </w:rPr>
        <w:t>1</w:t>
      </w:r>
      <w:r>
        <w:rPr>
          <w:color w:val="auto"/>
          <w:sz w:val="22"/>
          <w:szCs w:val="22"/>
        </w:rPr>
        <w:t>0</w:t>
      </w:r>
      <w:r w:rsidRPr="004B4F5B">
        <w:rPr>
          <w:color w:val="auto"/>
          <w:sz w:val="22"/>
          <w:szCs w:val="22"/>
        </w:rPr>
        <w:t xml:space="preserve">:00 horas del día </w:t>
      </w:r>
      <w:r w:rsidR="00EC03DD">
        <w:rPr>
          <w:color w:val="auto"/>
          <w:sz w:val="22"/>
          <w:szCs w:val="22"/>
        </w:rPr>
        <w:t xml:space="preserve">3 </w:t>
      </w:r>
      <w:r w:rsidRPr="004B4F5B">
        <w:rPr>
          <w:color w:val="auto"/>
          <w:sz w:val="22"/>
          <w:szCs w:val="22"/>
        </w:rPr>
        <w:t xml:space="preserve">de </w:t>
      </w:r>
      <w:r w:rsidR="00EC03DD">
        <w:rPr>
          <w:color w:val="auto"/>
          <w:sz w:val="22"/>
          <w:szCs w:val="22"/>
        </w:rPr>
        <w:t xml:space="preserve">marzo </w:t>
      </w:r>
      <w:r w:rsidR="00B34E97">
        <w:rPr>
          <w:color w:val="auto"/>
          <w:sz w:val="22"/>
          <w:szCs w:val="22"/>
        </w:rPr>
        <w:t>de 2015</w:t>
      </w:r>
      <w:r w:rsidRPr="004B4F5B">
        <w:rPr>
          <w:b w:val="0"/>
          <w:color w:val="auto"/>
          <w:sz w:val="22"/>
          <w:szCs w:val="22"/>
        </w:rPr>
        <w:t xml:space="preserve">, </w:t>
      </w:r>
      <w:r w:rsidRPr="004B4F5B">
        <w:rPr>
          <w:rFonts w:ascii="Arial" w:hAnsi="Arial" w:cs="Arial"/>
          <w:b w:val="0"/>
          <w:color w:val="auto"/>
          <w:sz w:val="22"/>
          <w:szCs w:val="22"/>
        </w:rPr>
        <w:t>ubicado en el primer piso del Edificio Principal, avenida central y primera, calles 2 y 4</w:t>
      </w:r>
      <w:r>
        <w:rPr>
          <w:rFonts w:ascii="Arial" w:hAnsi="Arial" w:cs="Arial"/>
          <w:b w:val="0"/>
          <w:color w:val="auto"/>
          <w:sz w:val="22"/>
          <w:szCs w:val="22"/>
        </w:rPr>
        <w:t>,</w:t>
      </w:r>
      <w:r w:rsidRPr="004B4F5B">
        <w:rPr>
          <w:rFonts w:ascii="Arial" w:hAnsi="Arial" w:cs="Arial"/>
          <w:b w:val="0"/>
          <w:color w:val="auto"/>
          <w:sz w:val="22"/>
          <w:szCs w:val="22"/>
        </w:rPr>
        <w:t xml:space="preserve"> según reloj marcador de la Proveeduría, con sujeción a los requisitos y demás condiciones que se detallan en el presente cartel, según el siguiente requerimiento</w:t>
      </w:r>
      <w:r w:rsidRPr="004B4F5B">
        <w:rPr>
          <w:rFonts w:ascii="Arial" w:hAnsi="Arial" w:cs="Arial"/>
          <w:b w:val="0"/>
          <w:color w:val="auto"/>
          <w:sz w:val="22"/>
          <w:szCs w:val="22"/>
          <w:lang w:val="es-MX"/>
        </w:rPr>
        <w:t>:</w:t>
      </w:r>
    </w:p>
    <w:p w:rsidR="00D518BC" w:rsidRPr="00D518BC" w:rsidRDefault="00D518BC" w:rsidP="00D518BC">
      <w:pPr>
        <w:rPr>
          <w:lang w:val="es-MX" w:eastAsia="es-ES"/>
        </w:rPr>
      </w:pPr>
    </w:p>
    <w:p w:rsidR="00082AD0" w:rsidRDefault="00DF2508" w:rsidP="00082AD0">
      <w:pPr>
        <w:widowControl w:val="0"/>
        <w:spacing w:after="120"/>
        <w:jc w:val="both"/>
        <w:rPr>
          <w:rFonts w:cs="Tahoma"/>
          <w:b/>
          <w:lang w:val="pt-BR"/>
        </w:rPr>
      </w:pPr>
      <w:r>
        <w:rPr>
          <w:rFonts w:cs="Tahoma"/>
          <w:b/>
          <w:lang w:val="pt-BR"/>
        </w:rPr>
        <w:t>RENGLÓN</w:t>
      </w:r>
      <w:r w:rsidR="00082AD0">
        <w:rPr>
          <w:rFonts w:cs="Tahoma"/>
          <w:b/>
          <w:lang w:val="pt-BR"/>
        </w:rPr>
        <w:t xml:space="preserve"> ÚNIC</w:t>
      </w:r>
      <w:r>
        <w:rPr>
          <w:rFonts w:cs="Tahoma"/>
          <w:b/>
          <w:lang w:val="pt-BR"/>
        </w:rPr>
        <w:t>O</w:t>
      </w:r>
      <w:r w:rsidR="00082AD0">
        <w:rPr>
          <w:rFonts w:cs="Tahoma"/>
          <w:b/>
          <w:lang w:val="pt-BR"/>
        </w:rPr>
        <w:t>: VENTA DE MATERIAL E</w:t>
      </w:r>
      <w:r w:rsidR="00D518BC">
        <w:rPr>
          <w:rFonts w:cs="Tahoma"/>
          <w:b/>
          <w:lang w:val="pt-BR"/>
        </w:rPr>
        <w:t>N</w:t>
      </w:r>
      <w:r w:rsidR="00082AD0">
        <w:rPr>
          <w:rFonts w:cs="Tahoma"/>
          <w:b/>
          <w:lang w:val="pt-BR"/>
        </w:rPr>
        <w:t xml:space="preserve"> MONEDAS DESMONETIZADAS</w:t>
      </w:r>
    </w:p>
    <w:p w:rsidR="00D518BC" w:rsidRPr="00D518BC" w:rsidRDefault="00D518BC" w:rsidP="00082AD0">
      <w:pPr>
        <w:widowControl w:val="0"/>
        <w:spacing w:after="120"/>
        <w:jc w:val="both"/>
        <w:rPr>
          <w:rFonts w:cs="Tahoma"/>
          <w:lang w:val="pt-BR"/>
        </w:rPr>
      </w:pPr>
      <w:r w:rsidRPr="00D518BC">
        <w:rPr>
          <w:rFonts w:cs="Tahoma"/>
          <w:lang w:val="pt-BR"/>
        </w:rPr>
        <w:t xml:space="preserve">La línea está conformada por </w:t>
      </w:r>
      <w:proofErr w:type="spellStart"/>
      <w:r w:rsidRPr="00D518BC">
        <w:rPr>
          <w:rFonts w:cs="Tahoma"/>
          <w:lang w:val="pt-BR"/>
        </w:rPr>
        <w:t>lo</w:t>
      </w:r>
      <w:proofErr w:type="spellEnd"/>
      <w:r w:rsidRPr="00D518BC">
        <w:rPr>
          <w:rFonts w:cs="Tahoma"/>
          <w:lang w:val="pt-BR"/>
        </w:rPr>
        <w:t xml:space="preserve"> </w:t>
      </w:r>
      <w:proofErr w:type="spellStart"/>
      <w:r w:rsidRPr="00D518BC">
        <w:rPr>
          <w:rFonts w:cs="Tahoma"/>
          <w:lang w:val="pt-BR"/>
        </w:rPr>
        <w:t>siguiente</w:t>
      </w:r>
      <w:proofErr w:type="spellEnd"/>
      <w:r w:rsidRPr="00D518BC">
        <w:rPr>
          <w:rFonts w:cs="Tahoma"/>
          <w:lang w:val="pt-BR"/>
        </w:rPr>
        <w:t>:</w:t>
      </w:r>
    </w:p>
    <w:p w:rsidR="000E05EB" w:rsidRDefault="00A62D7A" w:rsidP="00257D6C">
      <w:pPr>
        <w:pStyle w:val="Prrafodelista"/>
        <w:widowControl w:val="0"/>
        <w:numPr>
          <w:ilvl w:val="0"/>
          <w:numId w:val="16"/>
        </w:numPr>
        <w:spacing w:after="120"/>
        <w:ind w:left="426" w:hanging="426"/>
        <w:jc w:val="both"/>
        <w:rPr>
          <w:rFonts w:cs="Tahoma"/>
          <w:b/>
          <w:lang w:val="pt-BR"/>
        </w:rPr>
      </w:pPr>
      <w:proofErr w:type="spellStart"/>
      <w:r>
        <w:rPr>
          <w:rFonts w:cs="Tahoma"/>
          <w:b/>
          <w:lang w:val="pt-BR"/>
        </w:rPr>
        <w:t>Moneda</w:t>
      </w:r>
      <w:proofErr w:type="spellEnd"/>
      <w:r>
        <w:rPr>
          <w:rFonts w:cs="Tahoma"/>
          <w:b/>
          <w:lang w:val="pt-BR"/>
        </w:rPr>
        <w:t xml:space="preserve"> </w:t>
      </w:r>
      <w:proofErr w:type="spellStart"/>
      <w:r>
        <w:rPr>
          <w:rFonts w:cs="Tahoma"/>
          <w:b/>
          <w:lang w:val="pt-BR"/>
        </w:rPr>
        <w:t>conmemorativa</w:t>
      </w:r>
      <w:proofErr w:type="spellEnd"/>
      <w:r>
        <w:rPr>
          <w:rFonts w:cs="Tahoma"/>
          <w:b/>
          <w:lang w:val="pt-BR"/>
        </w:rPr>
        <w:t xml:space="preserve"> de ¢500</w:t>
      </w:r>
    </w:p>
    <w:p w:rsidR="00A62D7A" w:rsidRPr="00A62D7A" w:rsidRDefault="00894E01" w:rsidP="00257D6C">
      <w:pPr>
        <w:pStyle w:val="Prrafodelista"/>
        <w:widowControl w:val="0"/>
        <w:spacing w:after="120"/>
        <w:ind w:left="218"/>
        <w:jc w:val="center"/>
        <w:rPr>
          <w:rFonts w:cs="Tahoma"/>
          <w:b/>
          <w:lang w:val="pt-BR"/>
        </w:rPr>
      </w:pPr>
      <w:r w:rsidRPr="00894E01">
        <w:rPr>
          <w:noProof/>
          <w:lang w:eastAsia="es-CR"/>
        </w:rPr>
        <w:drawing>
          <wp:inline distT="0" distB="0" distL="0" distR="0" wp14:anchorId="6628F64A" wp14:editId="4C7D5624">
            <wp:extent cx="6095371" cy="1400175"/>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0985" cy="1403762"/>
                    </a:xfrm>
                    <a:prstGeom prst="rect">
                      <a:avLst/>
                    </a:prstGeom>
                    <a:noFill/>
                    <a:ln>
                      <a:noFill/>
                    </a:ln>
                  </pic:spPr>
                </pic:pic>
              </a:graphicData>
            </a:graphic>
          </wp:inline>
        </w:drawing>
      </w:r>
    </w:p>
    <w:p w:rsidR="00A62D7A" w:rsidRDefault="00A62D7A" w:rsidP="00257D6C">
      <w:pPr>
        <w:pStyle w:val="Prrafodelista"/>
        <w:widowControl w:val="0"/>
        <w:numPr>
          <w:ilvl w:val="0"/>
          <w:numId w:val="16"/>
        </w:numPr>
        <w:spacing w:after="120"/>
        <w:ind w:left="426"/>
        <w:jc w:val="both"/>
        <w:rPr>
          <w:rFonts w:cs="Tahoma"/>
          <w:b/>
          <w:lang w:val="pt-BR"/>
        </w:rPr>
      </w:pPr>
      <w:proofErr w:type="spellStart"/>
      <w:r>
        <w:rPr>
          <w:rFonts w:cs="Tahoma"/>
          <w:b/>
          <w:lang w:val="pt-BR"/>
        </w:rPr>
        <w:t>Otras</w:t>
      </w:r>
      <w:proofErr w:type="spellEnd"/>
      <w:r>
        <w:rPr>
          <w:rFonts w:cs="Tahoma"/>
          <w:b/>
          <w:lang w:val="pt-BR"/>
        </w:rPr>
        <w:t xml:space="preserve"> </w:t>
      </w:r>
      <w:proofErr w:type="spellStart"/>
      <w:r>
        <w:rPr>
          <w:rFonts w:cs="Tahoma"/>
          <w:b/>
          <w:lang w:val="pt-BR"/>
        </w:rPr>
        <w:t>monedas</w:t>
      </w:r>
      <w:proofErr w:type="spellEnd"/>
    </w:p>
    <w:p w:rsidR="00A62D7A" w:rsidRDefault="00903C72" w:rsidP="00257D6C">
      <w:pPr>
        <w:pStyle w:val="Prrafodelista"/>
        <w:widowControl w:val="0"/>
        <w:tabs>
          <w:tab w:val="left" w:pos="142"/>
        </w:tabs>
        <w:spacing w:after="120"/>
        <w:ind w:left="218"/>
        <w:jc w:val="center"/>
        <w:rPr>
          <w:rFonts w:cs="Tahoma"/>
          <w:b/>
          <w:lang w:val="pt-BR"/>
        </w:rPr>
      </w:pPr>
      <w:r w:rsidRPr="00903C72">
        <w:rPr>
          <w:noProof/>
          <w:lang w:eastAsia="es-CR"/>
        </w:rPr>
        <w:drawing>
          <wp:inline distT="0" distB="0" distL="0" distR="0" wp14:anchorId="7F5E8B13" wp14:editId="690A5C99">
            <wp:extent cx="6096000" cy="2222064"/>
            <wp:effectExtent l="0" t="0" r="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8070" cy="2222819"/>
                    </a:xfrm>
                    <a:prstGeom prst="rect">
                      <a:avLst/>
                    </a:prstGeom>
                    <a:noFill/>
                    <a:ln>
                      <a:noFill/>
                    </a:ln>
                  </pic:spPr>
                </pic:pic>
              </a:graphicData>
            </a:graphic>
          </wp:inline>
        </w:drawing>
      </w:r>
    </w:p>
    <w:p w:rsidR="00903C72" w:rsidRPr="00A62D7A" w:rsidRDefault="00903C72" w:rsidP="00A62D7A">
      <w:pPr>
        <w:pStyle w:val="Prrafodelista"/>
        <w:widowControl w:val="0"/>
        <w:tabs>
          <w:tab w:val="left" w:pos="142"/>
        </w:tabs>
        <w:spacing w:after="120"/>
        <w:ind w:left="218"/>
        <w:jc w:val="both"/>
        <w:rPr>
          <w:rFonts w:cs="Tahoma"/>
          <w:b/>
          <w:lang w:val="pt-BR"/>
        </w:rPr>
      </w:pPr>
      <w:r w:rsidRPr="00903C72">
        <w:rPr>
          <w:noProof/>
          <w:lang w:eastAsia="es-CR"/>
        </w:rPr>
        <w:drawing>
          <wp:inline distT="0" distB="0" distL="0" distR="0" wp14:anchorId="4D8F4DCC" wp14:editId="0DA85A63">
            <wp:extent cx="6096000" cy="19285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9680" cy="196771"/>
                    </a:xfrm>
                    <a:prstGeom prst="rect">
                      <a:avLst/>
                    </a:prstGeom>
                    <a:noFill/>
                    <a:ln>
                      <a:noFill/>
                    </a:ln>
                  </pic:spPr>
                </pic:pic>
              </a:graphicData>
            </a:graphic>
          </wp:inline>
        </w:drawing>
      </w:r>
    </w:p>
    <w:p w:rsidR="000E05EB" w:rsidRDefault="00A62D7A" w:rsidP="00A62D7A">
      <w:pPr>
        <w:jc w:val="both"/>
        <w:rPr>
          <w:rFonts w:cs="Tahoma"/>
        </w:rPr>
      </w:pPr>
      <w:r w:rsidRPr="00A62D7A">
        <w:rPr>
          <w:rFonts w:cs="Tahoma"/>
        </w:rPr>
        <w:t>(*): Los pesos indicados</w:t>
      </w:r>
      <w:r w:rsidR="004A5087">
        <w:rPr>
          <w:rFonts w:cs="Tahoma"/>
        </w:rPr>
        <w:t xml:space="preserve"> en kilos</w:t>
      </w:r>
      <w:r w:rsidRPr="00A62D7A">
        <w:rPr>
          <w:rFonts w:cs="Tahoma"/>
        </w:rPr>
        <w:t xml:space="preserve"> corresponden a la fecha del avalúo</w:t>
      </w:r>
      <w:r w:rsidR="004A5087">
        <w:rPr>
          <w:rFonts w:cs="Tahoma"/>
        </w:rPr>
        <w:t>, s</w:t>
      </w:r>
      <w:r w:rsidRPr="00A62D7A">
        <w:rPr>
          <w:rFonts w:cs="Tahoma"/>
        </w:rPr>
        <w:t xml:space="preserve">in embargo </w:t>
      </w:r>
      <w:r>
        <w:rPr>
          <w:rFonts w:cs="Tahoma"/>
        </w:rPr>
        <w:t>al momento de la adjudi</w:t>
      </w:r>
      <w:r w:rsidR="00962CAD">
        <w:rPr>
          <w:rFonts w:cs="Tahoma"/>
        </w:rPr>
        <w:t>c</w:t>
      </w:r>
      <w:r>
        <w:rPr>
          <w:rFonts w:cs="Tahoma"/>
        </w:rPr>
        <w:t xml:space="preserve">ación, </w:t>
      </w:r>
      <w:r w:rsidRPr="00A62D7A">
        <w:rPr>
          <w:rFonts w:cs="Tahoma"/>
        </w:rPr>
        <w:t>éstos podrían aumentar.</w:t>
      </w:r>
    </w:p>
    <w:p w:rsidR="00A62D7A" w:rsidRDefault="00A62D7A" w:rsidP="000E05EB"/>
    <w:p w:rsidR="00A90142" w:rsidRPr="00903C72" w:rsidRDefault="000E05EB" w:rsidP="008D5B94">
      <w:pPr>
        <w:jc w:val="both"/>
        <w:rPr>
          <w:rFonts w:cs="Tahoma"/>
          <w:b/>
          <w:sz w:val="18"/>
          <w:szCs w:val="18"/>
        </w:rPr>
      </w:pPr>
      <w:r w:rsidRPr="00903C72">
        <w:rPr>
          <w:rFonts w:cs="Tahoma"/>
          <w:b/>
          <w:sz w:val="18"/>
          <w:szCs w:val="18"/>
        </w:rPr>
        <w:t>S</w:t>
      </w:r>
      <w:r w:rsidR="00A90142" w:rsidRPr="00903C72">
        <w:rPr>
          <w:rFonts w:cs="Tahoma"/>
          <w:b/>
          <w:sz w:val="18"/>
          <w:szCs w:val="18"/>
        </w:rPr>
        <w:t xml:space="preserve">egún Avalúo Administrativo ATSJO-AVA-155-2014 DEL </w:t>
      </w:r>
      <w:r w:rsidR="00997440" w:rsidRPr="00903C72">
        <w:rPr>
          <w:rFonts w:cs="Tahoma"/>
          <w:b/>
          <w:sz w:val="18"/>
          <w:szCs w:val="18"/>
        </w:rPr>
        <w:t>11</w:t>
      </w:r>
      <w:r w:rsidR="00A90142" w:rsidRPr="00903C72">
        <w:rPr>
          <w:rFonts w:cs="Tahoma"/>
          <w:b/>
          <w:sz w:val="18"/>
          <w:szCs w:val="18"/>
        </w:rPr>
        <w:t>-0</w:t>
      </w:r>
      <w:r w:rsidR="00997440" w:rsidRPr="00903C72">
        <w:rPr>
          <w:rFonts w:cs="Tahoma"/>
          <w:b/>
          <w:sz w:val="18"/>
          <w:szCs w:val="18"/>
        </w:rPr>
        <w:t>8</w:t>
      </w:r>
      <w:r w:rsidR="00A90142" w:rsidRPr="00903C72">
        <w:rPr>
          <w:rFonts w:cs="Tahoma"/>
          <w:b/>
          <w:sz w:val="18"/>
          <w:szCs w:val="18"/>
        </w:rPr>
        <w:t>-14, de la Administración Tributaria de San José Oeste, Área de Valoraciones Administrativas, Ministerio de Hacienda.</w:t>
      </w:r>
    </w:p>
    <w:p w:rsidR="00A90142" w:rsidRPr="007476AD" w:rsidRDefault="00A62D7A" w:rsidP="008D5B94">
      <w:pPr>
        <w:jc w:val="both"/>
        <w:rPr>
          <w:rFonts w:cs="Tahoma"/>
          <w:b/>
        </w:rPr>
      </w:pPr>
      <w:r>
        <w:rPr>
          <w:rFonts w:cs="Tahoma"/>
          <w:b/>
        </w:rPr>
        <w:t xml:space="preserve"> </w:t>
      </w:r>
    </w:p>
    <w:p w:rsidR="008D5C17" w:rsidRDefault="008D5C17" w:rsidP="008D5B94">
      <w:pPr>
        <w:numPr>
          <w:ilvl w:val="0"/>
          <w:numId w:val="1"/>
        </w:numPr>
        <w:ind w:left="360"/>
        <w:jc w:val="center"/>
        <w:rPr>
          <w:rFonts w:cs="Tahoma"/>
          <w:b/>
        </w:rPr>
      </w:pPr>
      <w:r>
        <w:rPr>
          <w:rFonts w:cs="Tahoma"/>
          <w:b/>
        </w:rPr>
        <w:t>ESPECIFICACIONES</w:t>
      </w:r>
    </w:p>
    <w:p w:rsidR="008D5C17" w:rsidRDefault="008D5C17" w:rsidP="008D5C17">
      <w:pPr>
        <w:jc w:val="center"/>
        <w:rPr>
          <w:rFonts w:cs="Tahoma"/>
          <w:b/>
        </w:rPr>
      </w:pPr>
    </w:p>
    <w:p w:rsidR="00D73667" w:rsidRDefault="006A4FCE" w:rsidP="001828A8">
      <w:pPr>
        <w:pStyle w:val="Prrafodelista"/>
        <w:numPr>
          <w:ilvl w:val="1"/>
          <w:numId w:val="10"/>
        </w:numPr>
        <w:ind w:left="567" w:hanging="567"/>
        <w:contextualSpacing/>
        <w:jc w:val="both"/>
        <w:rPr>
          <w:rFonts w:cs="Tahoma"/>
          <w:bCs/>
        </w:rPr>
      </w:pPr>
      <w:r>
        <w:rPr>
          <w:rFonts w:cs="Tahoma"/>
          <w:bCs/>
        </w:rPr>
        <w:t xml:space="preserve">El </w:t>
      </w:r>
      <w:r w:rsidR="00973C6B">
        <w:rPr>
          <w:rFonts w:cs="Tahoma"/>
          <w:bCs/>
        </w:rPr>
        <w:t>oferente</w:t>
      </w:r>
      <w:r w:rsidR="00973C6B" w:rsidRPr="008D5C17">
        <w:rPr>
          <w:rFonts w:cs="Tahoma"/>
          <w:bCs/>
        </w:rPr>
        <w:t xml:space="preserve"> </w:t>
      </w:r>
      <w:r w:rsidR="008D5C17" w:rsidRPr="008D5C17">
        <w:rPr>
          <w:rFonts w:cs="Tahoma"/>
          <w:bCs/>
        </w:rPr>
        <w:t xml:space="preserve">se compromete a comprar la totalidad del material de las monedas para </w:t>
      </w:r>
      <w:r w:rsidR="004672DA">
        <w:rPr>
          <w:rFonts w:cs="Tahoma"/>
          <w:bCs/>
        </w:rPr>
        <w:t>fundir</w:t>
      </w:r>
      <w:r w:rsidR="008D5C17" w:rsidRPr="008D5C17">
        <w:rPr>
          <w:rFonts w:cs="Tahoma"/>
          <w:bCs/>
        </w:rPr>
        <w:t xml:space="preserve"> que disponga el BCCR</w:t>
      </w:r>
      <w:r w:rsidR="00A62D7A">
        <w:rPr>
          <w:rFonts w:cs="Tahoma"/>
          <w:bCs/>
        </w:rPr>
        <w:t xml:space="preserve"> al momento de la adjudicación</w:t>
      </w:r>
      <w:r w:rsidR="008D5C17" w:rsidRPr="008D5C17">
        <w:rPr>
          <w:rFonts w:cs="Tahoma"/>
          <w:bCs/>
        </w:rPr>
        <w:t xml:space="preserve">. </w:t>
      </w:r>
    </w:p>
    <w:p w:rsidR="00D73667" w:rsidRDefault="00D73667" w:rsidP="00D73667">
      <w:pPr>
        <w:pStyle w:val="Prrafodelista"/>
        <w:ind w:left="567"/>
        <w:contextualSpacing/>
        <w:jc w:val="both"/>
        <w:rPr>
          <w:rFonts w:cs="Tahoma"/>
          <w:bCs/>
        </w:rPr>
      </w:pPr>
    </w:p>
    <w:p w:rsidR="001828A8" w:rsidRDefault="008D5C17" w:rsidP="001828A8">
      <w:pPr>
        <w:pStyle w:val="Prrafodelista"/>
        <w:numPr>
          <w:ilvl w:val="1"/>
          <w:numId w:val="10"/>
        </w:numPr>
        <w:ind w:left="567" w:hanging="567"/>
        <w:contextualSpacing/>
        <w:jc w:val="both"/>
        <w:rPr>
          <w:rFonts w:cs="Tahoma"/>
          <w:bCs/>
        </w:rPr>
      </w:pPr>
      <w:r w:rsidRPr="008D5C17">
        <w:rPr>
          <w:rFonts w:cs="Tahoma"/>
          <w:bCs/>
        </w:rPr>
        <w:t xml:space="preserve">Previo a disponer o hacer uso de ese material, el </w:t>
      </w:r>
      <w:r w:rsidR="00973C6B">
        <w:rPr>
          <w:rFonts w:cs="Tahoma"/>
          <w:bCs/>
        </w:rPr>
        <w:t>contratista</w:t>
      </w:r>
      <w:r w:rsidR="00973C6B" w:rsidRPr="008D5C17">
        <w:rPr>
          <w:rFonts w:cs="Tahoma"/>
          <w:bCs/>
        </w:rPr>
        <w:t xml:space="preserve"> </w:t>
      </w:r>
      <w:r w:rsidRPr="008D5C17">
        <w:rPr>
          <w:rFonts w:cs="Tahoma"/>
          <w:bCs/>
        </w:rPr>
        <w:t>tiene la obligación de fundirlo.</w:t>
      </w:r>
    </w:p>
    <w:p w:rsidR="001828A8" w:rsidRDefault="001828A8" w:rsidP="001828A8">
      <w:pPr>
        <w:pStyle w:val="Prrafodelista"/>
        <w:ind w:left="567"/>
        <w:contextualSpacing/>
        <w:jc w:val="both"/>
        <w:rPr>
          <w:rFonts w:cs="Tahoma"/>
          <w:bCs/>
        </w:rPr>
      </w:pPr>
    </w:p>
    <w:p w:rsidR="001828A8" w:rsidRPr="00A62D7A" w:rsidRDefault="006A4FCE" w:rsidP="001828A8">
      <w:pPr>
        <w:pStyle w:val="Prrafodelista"/>
        <w:numPr>
          <w:ilvl w:val="1"/>
          <w:numId w:val="10"/>
        </w:numPr>
        <w:ind w:left="567" w:hanging="567"/>
        <w:contextualSpacing/>
        <w:jc w:val="both"/>
        <w:rPr>
          <w:rFonts w:cs="Tahoma"/>
          <w:bCs/>
        </w:rPr>
      </w:pPr>
      <w:r>
        <w:rPr>
          <w:rFonts w:cs="Tahoma"/>
          <w:bCs/>
        </w:rPr>
        <w:t>El contratista</w:t>
      </w:r>
      <w:r w:rsidR="001828A8" w:rsidRPr="00A62D7A">
        <w:rPr>
          <w:rFonts w:cs="Tahoma"/>
          <w:bCs/>
        </w:rPr>
        <w:t xml:space="preserve"> deberá previo al proceso de fundición del material cuando se realice fuera del territorio nacional, inutilizar la totalidad de las monedas correspondientes, para la cual podrá utilizar mecanismos como mutilación, ondulación, doblez o perforación de las monedas, actividad que deberá desarrollarse en territorio nacional, dentro de la jornada laboral del BCCR y bajo la fiscalización de funcionarios de la Tesorería del BCCR  y de la Auditoría Interna cuando esta considere oportuna su participación. En caso de que la fundición se realice en el territorio nacional, no se requiere que el material sea previamente mutilado, ondulado, doblado o perforado, aunque si deben observarse el resto de condiciones establecidas en el cartel.</w:t>
      </w:r>
    </w:p>
    <w:p w:rsidR="001828A8" w:rsidRPr="001828A8" w:rsidRDefault="001828A8" w:rsidP="001828A8">
      <w:pPr>
        <w:pStyle w:val="Prrafodelista"/>
        <w:rPr>
          <w:rFonts w:cs="Tahoma"/>
          <w:bCs/>
          <w:iCs/>
          <w:sz w:val="18"/>
          <w:szCs w:val="18"/>
        </w:rPr>
      </w:pPr>
    </w:p>
    <w:p w:rsidR="001828A8" w:rsidRPr="00A62D7A" w:rsidRDefault="006A4FCE" w:rsidP="001828A8">
      <w:pPr>
        <w:pStyle w:val="Prrafodelista"/>
        <w:numPr>
          <w:ilvl w:val="1"/>
          <w:numId w:val="10"/>
        </w:numPr>
        <w:ind w:left="567" w:hanging="567"/>
        <w:contextualSpacing/>
        <w:jc w:val="both"/>
        <w:rPr>
          <w:rFonts w:cs="Tahoma"/>
          <w:bCs/>
        </w:rPr>
      </w:pPr>
      <w:r>
        <w:rPr>
          <w:rFonts w:cs="Tahoma"/>
          <w:bCs/>
        </w:rPr>
        <w:t xml:space="preserve">El </w:t>
      </w:r>
      <w:r w:rsidR="00973C6B">
        <w:rPr>
          <w:rFonts w:cs="Tahoma"/>
          <w:bCs/>
        </w:rPr>
        <w:t xml:space="preserve">oferente </w:t>
      </w:r>
      <w:r w:rsidR="00DA3539" w:rsidRPr="00A62D7A">
        <w:rPr>
          <w:rFonts w:cs="Tahoma"/>
          <w:bCs/>
        </w:rPr>
        <w:t xml:space="preserve">deberá presentar en su oferta al menos </w:t>
      </w:r>
      <w:r w:rsidR="00A62D7A" w:rsidRPr="00A62D7A">
        <w:rPr>
          <w:rFonts w:cs="Tahoma"/>
          <w:bCs/>
        </w:rPr>
        <w:t>una</w:t>
      </w:r>
      <w:r w:rsidR="00DA3539" w:rsidRPr="00A62D7A">
        <w:rPr>
          <w:rFonts w:cs="Tahoma"/>
          <w:bCs/>
        </w:rPr>
        <w:t xml:space="preserve"> referencia de trabajos que haya </w:t>
      </w:r>
      <w:r w:rsidR="00A62D7A" w:rsidRPr="00A62D7A">
        <w:rPr>
          <w:rFonts w:cs="Tahoma"/>
          <w:bCs/>
        </w:rPr>
        <w:t>realizado durante los últimos 60</w:t>
      </w:r>
      <w:r w:rsidR="00DA3539" w:rsidRPr="00A62D7A">
        <w:rPr>
          <w:rFonts w:cs="Tahoma"/>
          <w:bCs/>
        </w:rPr>
        <w:t xml:space="preserve"> meses relacionados con la mutilación, ondulación, dobles, perforación o fundición, preferiblemente de monedas o de metales similares, lo cual debe detallarse. Asimismo, deberá detallar los medios y recursos de los cuales dispone para realizar la mutilación, ondulación, dobles o perforación, así como la fundición del material.</w:t>
      </w:r>
    </w:p>
    <w:p w:rsidR="001828A8" w:rsidRPr="001828A8" w:rsidRDefault="001828A8" w:rsidP="001828A8">
      <w:pPr>
        <w:pStyle w:val="Prrafodelista"/>
        <w:rPr>
          <w:sz w:val="18"/>
          <w:szCs w:val="18"/>
        </w:rPr>
      </w:pPr>
    </w:p>
    <w:p w:rsidR="001828A8" w:rsidRPr="001828A8" w:rsidRDefault="006A4FCE" w:rsidP="001828A8">
      <w:pPr>
        <w:pStyle w:val="Prrafodelista"/>
        <w:numPr>
          <w:ilvl w:val="1"/>
          <w:numId w:val="10"/>
        </w:numPr>
        <w:ind w:left="567" w:hanging="567"/>
        <w:contextualSpacing/>
        <w:jc w:val="both"/>
        <w:rPr>
          <w:rFonts w:cs="Tahoma"/>
          <w:bCs/>
        </w:rPr>
      </w:pPr>
      <w:r>
        <w:rPr>
          <w:rFonts w:cs="Tahoma"/>
          <w:bCs/>
        </w:rPr>
        <w:t xml:space="preserve">El </w:t>
      </w:r>
      <w:r w:rsidR="00973C6B">
        <w:rPr>
          <w:rFonts w:cs="Tahoma"/>
          <w:bCs/>
        </w:rPr>
        <w:t>oferente</w:t>
      </w:r>
      <w:r w:rsidR="00973C6B" w:rsidRPr="001828A8">
        <w:rPr>
          <w:rFonts w:cs="Tahoma"/>
          <w:bCs/>
        </w:rPr>
        <w:t xml:space="preserve"> </w:t>
      </w:r>
      <w:r w:rsidR="001828A8" w:rsidRPr="001828A8">
        <w:rPr>
          <w:rFonts w:cs="Tahoma"/>
          <w:bCs/>
        </w:rPr>
        <w:t xml:space="preserve">deberá indicar en su oferta el nombre y la dirección exacta del lugar donde se efectuará el proceso de mutilación, ondulación, dobles o perforación del material, así como los datos de la entidad o empresa que efectuará la fundición </w:t>
      </w:r>
      <w:r w:rsidR="00D73667">
        <w:rPr>
          <w:rFonts w:cs="Tahoma"/>
          <w:bCs/>
        </w:rPr>
        <w:t xml:space="preserve">de </w:t>
      </w:r>
      <w:r w:rsidR="001828A8" w:rsidRPr="001828A8">
        <w:rPr>
          <w:rFonts w:cs="Tahoma"/>
          <w:bCs/>
        </w:rPr>
        <w:t>este material en caso de ser adjudicado</w:t>
      </w:r>
      <w:r w:rsidR="00D73667">
        <w:rPr>
          <w:rFonts w:cs="Tahoma"/>
          <w:bCs/>
        </w:rPr>
        <w:t>,</w:t>
      </w:r>
      <w:r w:rsidR="001828A8" w:rsidRPr="001828A8">
        <w:rPr>
          <w:rFonts w:cs="Tahoma"/>
          <w:bCs/>
        </w:rPr>
        <w:t xml:space="preserve"> tanto local como internacionalmente.  Además, debe garantizar que las instalaciones en las cuales se realizará el citado proceso  cumpla con los siguientes aspectos: Seguridad privada las 24 horas, controles de acceso con su respectiva bitácora, paredes de concreto, circuito cerrado de televisión (CCTV) y sistema de alarma.  Debe indicar colindantes, perímetros de seguridad y protección, así como el tiempo en días que se conservan las grabaciones del CCTV.</w:t>
      </w:r>
    </w:p>
    <w:p w:rsidR="001828A8" w:rsidRPr="001828A8" w:rsidRDefault="001828A8" w:rsidP="001828A8">
      <w:pPr>
        <w:ind w:left="284"/>
        <w:jc w:val="both"/>
        <w:rPr>
          <w:rFonts w:cs="Tahoma"/>
          <w:bCs/>
        </w:rPr>
      </w:pPr>
    </w:p>
    <w:p w:rsidR="001828A8" w:rsidRPr="001828A8" w:rsidRDefault="001828A8" w:rsidP="001828A8">
      <w:pPr>
        <w:ind w:left="567"/>
        <w:jc w:val="both"/>
        <w:rPr>
          <w:rFonts w:cs="Tahoma"/>
          <w:bCs/>
        </w:rPr>
      </w:pPr>
      <w:r w:rsidRPr="001828A8">
        <w:rPr>
          <w:rFonts w:cs="Tahoma"/>
          <w:bCs/>
        </w:rPr>
        <w:t>Además, se consideran deseables otros mecanismos como</w:t>
      </w:r>
      <w:r w:rsidR="00D73667">
        <w:rPr>
          <w:rFonts w:cs="Tahoma"/>
          <w:bCs/>
        </w:rPr>
        <w:t>,</w:t>
      </w:r>
      <w:r w:rsidRPr="001828A8">
        <w:rPr>
          <w:rFonts w:cs="Tahoma"/>
          <w:bCs/>
        </w:rPr>
        <w:t xml:space="preserve"> pero no limitado a: luz infrarroja, adecuada iluminación, sensores de impacto, estructuras metálicas, pisos de alto impacto o bien indicar cualquier otro que se proponga. </w:t>
      </w:r>
    </w:p>
    <w:p w:rsidR="001828A8" w:rsidRPr="001828A8" w:rsidRDefault="001828A8" w:rsidP="001828A8">
      <w:pPr>
        <w:ind w:left="284"/>
        <w:jc w:val="both"/>
        <w:rPr>
          <w:rFonts w:cs="Tahoma"/>
          <w:bCs/>
        </w:rPr>
      </w:pPr>
    </w:p>
    <w:p w:rsidR="001828A8" w:rsidRPr="001828A8" w:rsidRDefault="001828A8" w:rsidP="001828A8">
      <w:pPr>
        <w:ind w:left="567"/>
        <w:jc w:val="both"/>
        <w:rPr>
          <w:rFonts w:cs="Tahoma"/>
          <w:bCs/>
        </w:rPr>
      </w:pPr>
      <w:r w:rsidRPr="001828A8">
        <w:rPr>
          <w:rFonts w:cs="Tahoma"/>
          <w:bCs/>
        </w:rPr>
        <w:t xml:space="preserve">El </w:t>
      </w:r>
      <w:r w:rsidR="00973C6B">
        <w:rPr>
          <w:rFonts w:cs="Tahoma"/>
          <w:bCs/>
        </w:rPr>
        <w:t>Encargado General de la Contratación (EGC)</w:t>
      </w:r>
      <w:r w:rsidRPr="001828A8">
        <w:rPr>
          <w:rFonts w:cs="Tahoma"/>
          <w:bCs/>
        </w:rPr>
        <w:t xml:space="preserve"> se reserva el derecho de revisar si los aspectos de seguridad que indique el oferente reúnen las condiciones requeridas.</w:t>
      </w:r>
    </w:p>
    <w:p w:rsidR="00DA3539" w:rsidRPr="00EA5197" w:rsidRDefault="00DA3539" w:rsidP="007A7374">
      <w:pPr>
        <w:pStyle w:val="Prrafodelista"/>
        <w:ind w:left="567"/>
        <w:contextualSpacing/>
        <w:jc w:val="both"/>
        <w:rPr>
          <w:rFonts w:cs="Tahoma"/>
          <w:bCs/>
          <w:highlight w:val="yellow"/>
        </w:rPr>
      </w:pPr>
    </w:p>
    <w:p w:rsidR="00181761" w:rsidRPr="00737864" w:rsidRDefault="00181761" w:rsidP="00737864">
      <w:pPr>
        <w:pStyle w:val="Prrafodelista"/>
        <w:numPr>
          <w:ilvl w:val="1"/>
          <w:numId w:val="10"/>
        </w:numPr>
        <w:ind w:left="567" w:hanging="567"/>
        <w:contextualSpacing/>
        <w:jc w:val="both"/>
        <w:rPr>
          <w:rFonts w:cs="Tahoma"/>
          <w:bCs/>
        </w:rPr>
      </w:pPr>
      <w:r w:rsidRPr="004672DA">
        <w:rPr>
          <w:rFonts w:cs="Tahoma"/>
        </w:rPr>
        <w:t>El contratista deberá pesar, empacar y embalar el material de las monedas desmonetizadas para mutilar, ondular, doblar, perforar y fundir en las bodegas que mantiene el BCCR, ubicadas contiguo al Auto Mercado en el cruce entre Tibás y Moravia,</w:t>
      </w:r>
      <w:r w:rsidRPr="004672DA">
        <w:rPr>
          <w:rFonts w:cs="Tahoma"/>
          <w:color w:val="FF0000"/>
        </w:rPr>
        <w:t xml:space="preserve"> </w:t>
      </w:r>
      <w:r w:rsidRPr="004672DA">
        <w:rPr>
          <w:rFonts w:cs="Tahoma"/>
        </w:rPr>
        <w:t>de manera que permita a los funcionarios designados por el BCCR verificar cada una de las distintas etapas (previas y durante el proceso de entrega) bajo las cuales se realizará la entrega del material vendido. De tal acto se levantará un acta firmada por las partes involucradas, al menos por el órgano fiscalizador que designe BCCR y un representante de la empresa adjudicataria y en la cual se deje constancia de</w:t>
      </w:r>
      <w:r w:rsidR="00D73667">
        <w:rPr>
          <w:rFonts w:cs="Tahoma"/>
        </w:rPr>
        <w:t>l peso total por tipo de moneda y que será el documento oficial para determinar el precio total que debe cancelar el adjudicatario.</w:t>
      </w:r>
    </w:p>
    <w:p w:rsidR="00737864" w:rsidRPr="00737864" w:rsidRDefault="00737864" w:rsidP="00737864">
      <w:pPr>
        <w:pStyle w:val="Prrafodelista"/>
        <w:ind w:left="567"/>
        <w:contextualSpacing/>
        <w:jc w:val="both"/>
        <w:rPr>
          <w:rFonts w:cs="Tahoma"/>
          <w:bCs/>
        </w:rPr>
      </w:pPr>
    </w:p>
    <w:p w:rsidR="00DA3539" w:rsidRDefault="00181761" w:rsidP="00DA3539">
      <w:pPr>
        <w:pStyle w:val="Prrafodelista"/>
        <w:numPr>
          <w:ilvl w:val="1"/>
          <w:numId w:val="10"/>
        </w:numPr>
        <w:ind w:left="567" w:hanging="567"/>
        <w:contextualSpacing/>
        <w:jc w:val="both"/>
        <w:rPr>
          <w:rFonts w:cs="Tahoma"/>
        </w:rPr>
      </w:pPr>
      <w:r w:rsidRPr="004672DA">
        <w:rPr>
          <w:rFonts w:cs="Tahoma"/>
        </w:rPr>
        <w:t xml:space="preserve">El contratista deberá destacar los operarios que considere oportuno para atender eficientemente las labores de empaque del material, previa coordinación y formulación por escrito ante el </w:t>
      </w:r>
      <w:r w:rsidR="00737864">
        <w:rPr>
          <w:rFonts w:cs="Tahoma"/>
        </w:rPr>
        <w:t>EGC</w:t>
      </w:r>
      <w:r w:rsidRPr="004672DA">
        <w:rPr>
          <w:rFonts w:cs="Tahoma"/>
        </w:rPr>
        <w:t>.</w:t>
      </w:r>
    </w:p>
    <w:p w:rsidR="00DA3539" w:rsidRPr="00DA3539" w:rsidRDefault="00DA3539" w:rsidP="00DA3539">
      <w:pPr>
        <w:pStyle w:val="Prrafodelista"/>
        <w:rPr>
          <w:rFonts w:cs="Tahoma"/>
          <w:bCs/>
          <w:iCs/>
          <w:sz w:val="18"/>
          <w:szCs w:val="18"/>
        </w:rPr>
      </w:pPr>
    </w:p>
    <w:p w:rsidR="00181761" w:rsidRPr="00DA3539" w:rsidRDefault="00DA3539" w:rsidP="00DA3539">
      <w:pPr>
        <w:pStyle w:val="Prrafodelista"/>
        <w:numPr>
          <w:ilvl w:val="1"/>
          <w:numId w:val="10"/>
        </w:numPr>
        <w:ind w:left="567" w:hanging="567"/>
        <w:contextualSpacing/>
        <w:jc w:val="both"/>
        <w:rPr>
          <w:rFonts w:cs="Tahoma"/>
        </w:rPr>
      </w:pPr>
      <w:r>
        <w:rPr>
          <w:rFonts w:cs="Tahoma"/>
        </w:rPr>
        <w:t>El contratista</w:t>
      </w:r>
      <w:r w:rsidRPr="00DA3539">
        <w:rPr>
          <w:rFonts w:cs="Tahoma"/>
        </w:rPr>
        <w:t xml:space="preserve"> deberá considerar que el transporte del material de las monedas desmonetizadas, desde las instalaciones del </w:t>
      </w:r>
      <w:r w:rsidR="0048307B">
        <w:rPr>
          <w:rFonts w:cs="Tahoma"/>
        </w:rPr>
        <w:t>BCCR</w:t>
      </w:r>
      <w:r w:rsidRPr="00DA3539">
        <w:rPr>
          <w:rFonts w:cs="Tahoma"/>
        </w:rPr>
        <w:t xml:space="preserve">, ubicadas contiguo al Auto Mercado en el cruce entre Tibás y Moravia hasta las instalaciones físicas donde serán </w:t>
      </w:r>
      <w:r w:rsidR="00D73667">
        <w:rPr>
          <w:rFonts w:cs="Tahoma"/>
        </w:rPr>
        <w:t>mutiladas, onduladas, dobladas o perforadas,</w:t>
      </w:r>
      <w:r w:rsidRPr="00DA3539">
        <w:rPr>
          <w:rFonts w:cs="Tahoma"/>
        </w:rPr>
        <w:t xml:space="preserve"> deberá ser escoltado y custodiado por una empresa de seguridad autorizada por el Ministerio de Seguridad Pública, aspecto que será corroborado por el </w:t>
      </w:r>
      <w:r w:rsidR="0048307B">
        <w:rPr>
          <w:rFonts w:cs="Tahoma"/>
        </w:rPr>
        <w:t>EGC</w:t>
      </w:r>
      <w:r w:rsidRPr="00DA3539">
        <w:rPr>
          <w:rFonts w:cs="Tahoma"/>
        </w:rPr>
        <w:t xml:space="preserve"> en coordinación con el Departamento de Servicios Institucionales del </w:t>
      </w:r>
      <w:r w:rsidR="0048307B">
        <w:rPr>
          <w:rFonts w:cs="Tahoma"/>
        </w:rPr>
        <w:t>BCCR</w:t>
      </w:r>
      <w:r w:rsidRPr="00DA3539">
        <w:rPr>
          <w:rFonts w:cs="Tahoma"/>
        </w:rPr>
        <w:t>.</w:t>
      </w:r>
      <w:r>
        <w:rPr>
          <w:rFonts w:cs="Tahoma"/>
        </w:rPr>
        <w:t xml:space="preserve">  </w:t>
      </w:r>
    </w:p>
    <w:p w:rsidR="00181761" w:rsidRPr="00181761" w:rsidRDefault="00181761" w:rsidP="00181761">
      <w:pPr>
        <w:pStyle w:val="Prrafodelista"/>
        <w:rPr>
          <w:rFonts w:cs="Tahoma"/>
          <w:bCs/>
          <w:highlight w:val="yellow"/>
        </w:rPr>
      </w:pPr>
    </w:p>
    <w:p w:rsidR="00181761" w:rsidRPr="004672DA" w:rsidRDefault="00D73667" w:rsidP="00181761">
      <w:pPr>
        <w:pStyle w:val="Prrafodelista"/>
        <w:numPr>
          <w:ilvl w:val="1"/>
          <w:numId w:val="10"/>
        </w:numPr>
        <w:ind w:left="567" w:hanging="567"/>
        <w:contextualSpacing/>
        <w:jc w:val="both"/>
        <w:rPr>
          <w:rFonts w:cs="Tahoma"/>
          <w:bCs/>
        </w:rPr>
      </w:pPr>
      <w:r>
        <w:rPr>
          <w:rFonts w:cs="Tahoma"/>
          <w:bCs/>
        </w:rPr>
        <w:t>Para el traslado de las monedas deberá</w:t>
      </w:r>
      <w:r w:rsidR="008B6139">
        <w:rPr>
          <w:rFonts w:cs="Tahoma"/>
          <w:bCs/>
        </w:rPr>
        <w:t>n</w:t>
      </w:r>
      <w:r>
        <w:rPr>
          <w:rFonts w:cs="Tahoma"/>
          <w:bCs/>
        </w:rPr>
        <w:t xml:space="preserve"> utilizarse </w:t>
      </w:r>
      <w:r w:rsidR="00181761" w:rsidRPr="004672DA">
        <w:rPr>
          <w:rFonts w:cs="Tahoma"/>
          <w:bCs/>
        </w:rPr>
        <w:t xml:space="preserve">camiones </w:t>
      </w:r>
      <w:r>
        <w:rPr>
          <w:rFonts w:cs="Tahoma"/>
          <w:bCs/>
        </w:rPr>
        <w:t>especialmente adaptados para el transporte de valores</w:t>
      </w:r>
      <w:r w:rsidR="00082AD0">
        <w:rPr>
          <w:rFonts w:cs="Tahoma"/>
          <w:bCs/>
        </w:rPr>
        <w:t xml:space="preserve"> por aspecto del peso</w:t>
      </w:r>
      <w:r>
        <w:rPr>
          <w:rFonts w:cs="Tahoma"/>
          <w:bCs/>
        </w:rPr>
        <w:t xml:space="preserve">, de </w:t>
      </w:r>
      <w:r w:rsidR="00082AD0">
        <w:rPr>
          <w:rFonts w:cs="Tahoma"/>
          <w:bCs/>
        </w:rPr>
        <w:t xml:space="preserve">igual </w:t>
      </w:r>
      <w:r>
        <w:rPr>
          <w:rFonts w:cs="Tahoma"/>
          <w:bCs/>
        </w:rPr>
        <w:t xml:space="preserve">forma que permitan ser </w:t>
      </w:r>
      <w:r w:rsidR="00181761" w:rsidRPr="004672DA">
        <w:rPr>
          <w:rFonts w:cs="Tahoma"/>
          <w:bCs/>
        </w:rPr>
        <w:t>marchamados por parte de los funcionarios del BCCR, quienes validarán a su llegada al lugar donde se efectúe la inutilización de las monedas, el número de marchamo y su inviolabilidad.</w:t>
      </w:r>
    </w:p>
    <w:p w:rsidR="00181761" w:rsidRDefault="00181761" w:rsidP="00181761">
      <w:pPr>
        <w:pStyle w:val="Prrafodelista"/>
        <w:ind w:left="567"/>
        <w:contextualSpacing/>
        <w:jc w:val="both"/>
        <w:rPr>
          <w:rFonts w:cs="Tahoma"/>
          <w:bCs/>
        </w:rPr>
      </w:pPr>
    </w:p>
    <w:p w:rsidR="00A44BF7" w:rsidRPr="004672DA" w:rsidRDefault="00A44BF7" w:rsidP="00A44BF7">
      <w:pPr>
        <w:pStyle w:val="Prrafodelista"/>
        <w:numPr>
          <w:ilvl w:val="1"/>
          <w:numId w:val="10"/>
        </w:numPr>
        <w:ind w:left="567" w:hanging="567"/>
        <w:contextualSpacing/>
        <w:jc w:val="both"/>
        <w:rPr>
          <w:rFonts w:cs="Tahoma"/>
          <w:bCs/>
        </w:rPr>
      </w:pPr>
      <w:r w:rsidRPr="004672DA">
        <w:rPr>
          <w:rFonts w:cs="Tahoma"/>
          <w:bCs/>
        </w:rPr>
        <w:t>El contratista es responsable de la veracidad de la información suministrada respecto al personal, vehículos, etc., que utilice en las distintas fases del proceso de contratación. Además, autoriza expresamente al BCCR a investigar, ante quien se considere pertinente, sobre la información proporcionada o sobre la que a juicio del BCCR se requiera para los fines pertinentes a la contratación.</w:t>
      </w:r>
    </w:p>
    <w:p w:rsidR="00A44BF7" w:rsidRPr="00615181" w:rsidRDefault="00A44BF7" w:rsidP="00A44BF7">
      <w:pPr>
        <w:widowControl w:val="0"/>
        <w:spacing w:after="120"/>
        <w:jc w:val="both"/>
        <w:rPr>
          <w:rFonts w:cs="Tahoma"/>
          <w:bCs/>
        </w:rPr>
      </w:pPr>
    </w:p>
    <w:p w:rsidR="006003EB" w:rsidRDefault="0042469A" w:rsidP="006003EB">
      <w:pPr>
        <w:pStyle w:val="Prrafodelista"/>
        <w:numPr>
          <w:ilvl w:val="1"/>
          <w:numId w:val="10"/>
        </w:numPr>
        <w:ind w:left="567" w:hanging="567"/>
        <w:contextualSpacing/>
        <w:jc w:val="both"/>
        <w:rPr>
          <w:rFonts w:cs="Tahoma"/>
        </w:rPr>
      </w:pPr>
      <w:r w:rsidRPr="00A62D7A">
        <w:rPr>
          <w:rFonts w:cs="Tahoma"/>
        </w:rPr>
        <w:t xml:space="preserve">El </w:t>
      </w:r>
      <w:r w:rsidRPr="00A62D7A">
        <w:rPr>
          <w:rFonts w:cs="Tahoma"/>
          <w:bCs/>
        </w:rPr>
        <w:t>contratista</w:t>
      </w:r>
      <w:r w:rsidRPr="00A62D7A">
        <w:rPr>
          <w:rFonts w:cs="Tahoma"/>
        </w:rPr>
        <w:t xml:space="preserve"> deberá remitir en sobre cerrado y con carácter confidencial (al menos diez días hábiles antes de efectuar el retiro del material adjudicado), al Director del</w:t>
      </w:r>
      <w:r w:rsidR="009974D6" w:rsidRPr="00A62D7A">
        <w:rPr>
          <w:rFonts w:cs="Tahoma"/>
        </w:rPr>
        <w:t xml:space="preserve"> Departamento de Servicios Institucionales del </w:t>
      </w:r>
      <w:r w:rsidR="0048307B">
        <w:rPr>
          <w:rFonts w:cs="Tahoma"/>
        </w:rPr>
        <w:t>BCCR</w:t>
      </w:r>
      <w:r w:rsidRPr="00A62D7A">
        <w:rPr>
          <w:rFonts w:cs="Tahoma"/>
        </w:rPr>
        <w:t>, el</w:t>
      </w:r>
      <w:r w:rsidRPr="009974D6">
        <w:rPr>
          <w:rFonts w:cs="Tahoma"/>
        </w:rPr>
        <w:t xml:space="preserve"> protocolo de seguridad que utilizará para el traslado del material adjudicado de monedas desmonetizadas para fundir desde las bodegas del BCCR a las instalaciones donde se realizará el proceso de mutilación, ondulación, doblado, perforado y eventualmente la empresa fundidora designada. El Departamento de</w:t>
      </w:r>
      <w:r w:rsidR="0048307B">
        <w:rPr>
          <w:rFonts w:cs="Tahoma"/>
        </w:rPr>
        <w:t xml:space="preserve"> Servicios Institucionales del </w:t>
      </w:r>
      <w:r w:rsidRPr="009974D6">
        <w:rPr>
          <w:rFonts w:cs="Tahoma"/>
        </w:rPr>
        <w:t xml:space="preserve">BCCR, se reserva el derecho de efectuar por su propia cuenta, el seguimiento y controles que considere procedentes a fin de verificar durante el proceso de traslado, el protocolo indicado por el </w:t>
      </w:r>
      <w:r w:rsidRPr="009974D6">
        <w:rPr>
          <w:rFonts w:cs="Tahoma"/>
          <w:bCs/>
        </w:rPr>
        <w:t>contratista</w:t>
      </w:r>
      <w:r w:rsidRPr="009974D6">
        <w:rPr>
          <w:rFonts w:cs="Tahoma"/>
        </w:rPr>
        <w:t xml:space="preserve">. </w:t>
      </w:r>
    </w:p>
    <w:p w:rsidR="006003EB" w:rsidRPr="006003EB" w:rsidRDefault="006003EB" w:rsidP="006003EB">
      <w:pPr>
        <w:pStyle w:val="Prrafodelista"/>
        <w:rPr>
          <w:sz w:val="18"/>
          <w:szCs w:val="18"/>
        </w:rPr>
      </w:pPr>
    </w:p>
    <w:p w:rsidR="006003EB" w:rsidRPr="006003EB" w:rsidRDefault="006003EB" w:rsidP="006003EB">
      <w:pPr>
        <w:pStyle w:val="Prrafodelista"/>
        <w:numPr>
          <w:ilvl w:val="1"/>
          <w:numId w:val="10"/>
        </w:numPr>
        <w:ind w:left="567" w:hanging="567"/>
        <w:contextualSpacing/>
        <w:jc w:val="both"/>
        <w:rPr>
          <w:rFonts w:cs="Tahoma"/>
        </w:rPr>
      </w:pPr>
      <w:r w:rsidRPr="006003EB">
        <w:rPr>
          <w:rFonts w:cs="Tahoma"/>
        </w:rPr>
        <w:t xml:space="preserve">El contratista deberá iniciar el proceso de mutilación, ondulación, dobles o perforación del material recibido,  a más tardar 10 días hábiles posteriores a la fecha en que pagó el material.  Asimismo, una vez retirado cada lote de monedas del </w:t>
      </w:r>
      <w:r w:rsidR="0048307B">
        <w:rPr>
          <w:rFonts w:cs="Tahoma"/>
        </w:rPr>
        <w:t>BCCR</w:t>
      </w:r>
      <w:r w:rsidRPr="006003EB">
        <w:rPr>
          <w:rFonts w:cs="Tahoma"/>
        </w:rPr>
        <w:t>, dispondrá de un plazo de 5 días hábiles para mutilarlas, ondularlas, doblarlas o perforarlas. En caso de que el material sea fundido en territorio nacional, sin que antes haya sido mutilado, ondulado, doblado o perforado, correrán los mismos plazos antes señalados para el inicio de la fundición del material (10 días</w:t>
      </w:r>
      <w:r w:rsidR="0048307B">
        <w:rPr>
          <w:rFonts w:cs="Tahoma"/>
        </w:rPr>
        <w:t xml:space="preserve"> hábiles</w:t>
      </w:r>
      <w:r w:rsidRPr="006003EB">
        <w:rPr>
          <w:rFonts w:cs="Tahoma"/>
        </w:rPr>
        <w:t>) como para concluir la fundición de cada entrega (5 días</w:t>
      </w:r>
      <w:r w:rsidR="0048307B">
        <w:rPr>
          <w:rFonts w:cs="Tahoma"/>
        </w:rPr>
        <w:t xml:space="preserve"> hábiles</w:t>
      </w:r>
      <w:r w:rsidRPr="006003EB">
        <w:rPr>
          <w:rFonts w:cs="Tahoma"/>
        </w:rPr>
        <w:t>).</w:t>
      </w:r>
    </w:p>
    <w:p w:rsidR="006003EB" w:rsidRPr="006003EB" w:rsidRDefault="006003EB" w:rsidP="006003EB">
      <w:pPr>
        <w:ind w:left="284"/>
        <w:jc w:val="both"/>
        <w:rPr>
          <w:rFonts w:cs="Tahoma"/>
        </w:rPr>
      </w:pPr>
    </w:p>
    <w:p w:rsidR="008D5C17" w:rsidRDefault="006003EB" w:rsidP="00945BA1">
      <w:pPr>
        <w:ind w:left="567"/>
        <w:jc w:val="both"/>
        <w:rPr>
          <w:rFonts w:cs="Tahoma"/>
        </w:rPr>
      </w:pPr>
      <w:r w:rsidRPr="00A62D7A">
        <w:rPr>
          <w:rFonts w:cs="Tahoma"/>
        </w:rPr>
        <w:t>Además, la contratista deberá concluir la mutilación, ondulación, dobles, perforación, así como la fundición de la totalidad del material resultante, en un plazo máximo de 6 meses, contados a partir de la fecha en que pagó el material, indistintamente de que esta se realice local o internacionalmente.</w:t>
      </w:r>
      <w:r w:rsidRPr="006003EB">
        <w:rPr>
          <w:rFonts w:cs="Tahoma"/>
        </w:rPr>
        <w:t xml:space="preserve"> </w:t>
      </w:r>
    </w:p>
    <w:p w:rsidR="00945BA1" w:rsidRPr="00945BA1" w:rsidRDefault="00945BA1" w:rsidP="00945BA1">
      <w:pPr>
        <w:ind w:left="567"/>
        <w:jc w:val="both"/>
        <w:rPr>
          <w:rFonts w:cs="Tahoma"/>
        </w:rPr>
      </w:pPr>
    </w:p>
    <w:p w:rsidR="008D5C17" w:rsidRDefault="008D5C17" w:rsidP="00945BA1">
      <w:pPr>
        <w:pStyle w:val="Prrafodelista"/>
        <w:numPr>
          <w:ilvl w:val="1"/>
          <w:numId w:val="10"/>
        </w:numPr>
        <w:ind w:left="567" w:hanging="567"/>
        <w:contextualSpacing/>
        <w:jc w:val="both"/>
        <w:rPr>
          <w:rFonts w:cs="Tahoma"/>
        </w:rPr>
      </w:pPr>
      <w:r w:rsidRPr="009974D6">
        <w:rPr>
          <w:rFonts w:cs="Tahoma"/>
          <w:bCs/>
        </w:rPr>
        <w:t xml:space="preserve">Cualquiera de los mecanismos antes citados, deben desfigurar la apariencia de las monedas, de manera que no puedan volver a utilizarse como medio de pago. El </w:t>
      </w:r>
      <w:r w:rsidR="00EA5197" w:rsidRPr="009974D6">
        <w:rPr>
          <w:rFonts w:cs="Tahoma"/>
          <w:bCs/>
        </w:rPr>
        <w:t>contratista</w:t>
      </w:r>
      <w:r w:rsidRPr="009974D6">
        <w:rPr>
          <w:rFonts w:cs="Tahoma"/>
          <w:bCs/>
        </w:rPr>
        <w:t xml:space="preserve"> deberá entregar al </w:t>
      </w:r>
      <w:r w:rsidR="00181761" w:rsidRPr="009974D6">
        <w:rPr>
          <w:rFonts w:cs="Tahoma"/>
          <w:bCs/>
        </w:rPr>
        <w:t>EGC</w:t>
      </w:r>
      <w:r w:rsidRPr="009974D6">
        <w:rPr>
          <w:rFonts w:cs="Tahoma"/>
          <w:bCs/>
        </w:rPr>
        <w:t xml:space="preserve"> un acta o certificación rendida ante Notario Público, en la cual haga constar el mecanismo que utilizó para </w:t>
      </w:r>
      <w:r w:rsidR="009974D6" w:rsidRPr="009974D6">
        <w:rPr>
          <w:rFonts w:cs="Tahoma"/>
          <w:bCs/>
        </w:rPr>
        <w:t xml:space="preserve">la inutilización de las monedas, así como la </w:t>
      </w:r>
      <w:r w:rsidR="00E14E5F" w:rsidRPr="009974D6">
        <w:rPr>
          <w:rFonts w:cs="Tahoma"/>
        </w:rPr>
        <w:t>certifica</w:t>
      </w:r>
      <w:r w:rsidR="009974D6" w:rsidRPr="009974D6">
        <w:rPr>
          <w:rFonts w:cs="Tahoma"/>
        </w:rPr>
        <w:t>ción d</w:t>
      </w:r>
      <w:r w:rsidR="00E14E5F" w:rsidRPr="009974D6">
        <w:rPr>
          <w:rFonts w:cs="Tahoma"/>
        </w:rPr>
        <w:t>el peso por tipo de moneda.</w:t>
      </w:r>
      <w:r w:rsidR="006A4FCE">
        <w:rPr>
          <w:rFonts w:cs="Tahoma"/>
        </w:rPr>
        <w:t xml:space="preserve">  Dicha acta no será necesaria en caso de que la fundición se realice dentro del territorio nacional.</w:t>
      </w:r>
    </w:p>
    <w:p w:rsidR="00945BA1" w:rsidRPr="00945BA1" w:rsidRDefault="00945BA1" w:rsidP="00945BA1">
      <w:pPr>
        <w:pStyle w:val="Prrafodelista"/>
        <w:ind w:left="567"/>
        <w:contextualSpacing/>
        <w:jc w:val="both"/>
        <w:rPr>
          <w:rFonts w:cs="Tahoma"/>
        </w:rPr>
      </w:pPr>
    </w:p>
    <w:p w:rsidR="008D5C17" w:rsidRPr="00945BA1" w:rsidRDefault="008B6139" w:rsidP="00945BA1">
      <w:pPr>
        <w:pStyle w:val="Prrafodelista"/>
        <w:numPr>
          <w:ilvl w:val="1"/>
          <w:numId w:val="10"/>
        </w:numPr>
        <w:ind w:left="567" w:hanging="567"/>
        <w:contextualSpacing/>
        <w:jc w:val="both"/>
        <w:rPr>
          <w:rFonts w:cs="Tahoma"/>
          <w:bCs/>
        </w:rPr>
      </w:pPr>
      <w:r>
        <w:rPr>
          <w:rFonts w:cs="Tahoma"/>
          <w:bCs/>
        </w:rPr>
        <w:t>Independientemente de que la fundición se realice dentro o fuera del territorio nacional, p</w:t>
      </w:r>
      <w:r w:rsidR="008D5C17">
        <w:rPr>
          <w:rFonts w:cs="Tahoma"/>
          <w:bCs/>
        </w:rPr>
        <w:t>odrá</w:t>
      </w:r>
      <w:r w:rsidR="008D5C17" w:rsidRPr="00B31B73">
        <w:rPr>
          <w:rFonts w:cs="Tahoma"/>
          <w:bCs/>
        </w:rPr>
        <w:t xml:space="preserve"> </w:t>
      </w:r>
      <w:r w:rsidR="008D5C17">
        <w:rPr>
          <w:rFonts w:cs="Tahoma"/>
          <w:bCs/>
        </w:rPr>
        <w:t xml:space="preserve">ser </w:t>
      </w:r>
      <w:r w:rsidR="008D5C17" w:rsidRPr="00B31B73">
        <w:rPr>
          <w:rFonts w:cs="Tahoma"/>
          <w:bCs/>
        </w:rPr>
        <w:t xml:space="preserve">fiscalizada por funcionarios </w:t>
      </w:r>
      <w:r w:rsidR="00EA5197" w:rsidRPr="00B31B73">
        <w:rPr>
          <w:rFonts w:cs="Tahoma"/>
          <w:bCs/>
        </w:rPr>
        <w:t>de</w:t>
      </w:r>
      <w:r w:rsidR="00EA5197">
        <w:rPr>
          <w:rFonts w:cs="Tahoma"/>
          <w:bCs/>
        </w:rPr>
        <w:t>l Departamento de</w:t>
      </w:r>
      <w:r w:rsidR="00EA5197" w:rsidRPr="00B31B73">
        <w:rPr>
          <w:rFonts w:cs="Tahoma"/>
          <w:bCs/>
        </w:rPr>
        <w:t xml:space="preserve"> Tesorería</w:t>
      </w:r>
      <w:r w:rsidR="008D5C17">
        <w:rPr>
          <w:rFonts w:cs="Tahoma"/>
          <w:bCs/>
        </w:rPr>
        <w:t xml:space="preserve"> o por </w:t>
      </w:r>
      <w:r w:rsidR="008D5C17" w:rsidRPr="00B31B73">
        <w:rPr>
          <w:rFonts w:cs="Tahoma"/>
          <w:bCs/>
        </w:rPr>
        <w:t>la Auditoría Interna</w:t>
      </w:r>
      <w:r w:rsidR="008D5C17">
        <w:rPr>
          <w:rFonts w:cs="Tahoma"/>
          <w:bCs/>
        </w:rPr>
        <w:t xml:space="preserve"> si lo considera pertinente</w:t>
      </w:r>
      <w:r w:rsidR="008D5C17" w:rsidRPr="00B31B73">
        <w:rPr>
          <w:rFonts w:cs="Tahoma"/>
          <w:bCs/>
        </w:rPr>
        <w:t xml:space="preserve">. </w:t>
      </w:r>
      <w:r w:rsidR="008D5C17">
        <w:rPr>
          <w:rFonts w:cs="Tahoma"/>
          <w:bCs/>
        </w:rPr>
        <w:t>E</w:t>
      </w:r>
      <w:r w:rsidR="008D5C17" w:rsidRPr="00B31B73">
        <w:rPr>
          <w:rFonts w:cs="Tahoma"/>
          <w:bCs/>
        </w:rPr>
        <w:t xml:space="preserve">l </w:t>
      </w:r>
      <w:r w:rsidR="00EA5197">
        <w:rPr>
          <w:rFonts w:cs="Tahoma"/>
          <w:bCs/>
        </w:rPr>
        <w:t>contratista</w:t>
      </w:r>
      <w:r w:rsidR="008D5C17">
        <w:rPr>
          <w:rFonts w:cs="Tahoma"/>
          <w:bCs/>
        </w:rPr>
        <w:t xml:space="preserve"> </w:t>
      </w:r>
      <w:r w:rsidR="008D5C17" w:rsidRPr="00B31B73">
        <w:rPr>
          <w:rFonts w:cs="Tahoma"/>
          <w:bCs/>
        </w:rPr>
        <w:t xml:space="preserve">deberá entregar al </w:t>
      </w:r>
      <w:r w:rsidR="00EA5197">
        <w:rPr>
          <w:rFonts w:cs="Tahoma"/>
          <w:bCs/>
        </w:rPr>
        <w:t>EGC</w:t>
      </w:r>
      <w:r w:rsidR="008D5C17" w:rsidRPr="00B31B73">
        <w:rPr>
          <w:rFonts w:cs="Tahoma"/>
          <w:bCs/>
        </w:rPr>
        <w:t xml:space="preserve"> un </w:t>
      </w:r>
      <w:r w:rsidR="009974D6">
        <w:rPr>
          <w:rFonts w:cs="Tahoma"/>
        </w:rPr>
        <w:t>acta</w:t>
      </w:r>
      <w:r w:rsidR="009974D6" w:rsidRPr="00615181">
        <w:rPr>
          <w:rFonts w:cs="Tahoma"/>
        </w:rPr>
        <w:t xml:space="preserve"> que confirme que la fundición del material se realizó, indicando</w:t>
      </w:r>
      <w:r w:rsidR="009974D6">
        <w:rPr>
          <w:rFonts w:cs="Tahoma"/>
        </w:rPr>
        <w:t xml:space="preserve"> fecha, sitio, testigos, peso del material de previo a su fundición  y cualquier otro</w:t>
      </w:r>
      <w:r w:rsidR="009974D6" w:rsidRPr="00615181">
        <w:rPr>
          <w:rFonts w:cs="Tahoma"/>
        </w:rPr>
        <w:t xml:space="preserve"> aspecto</w:t>
      </w:r>
      <w:r w:rsidR="009974D6">
        <w:rPr>
          <w:rFonts w:cs="Tahoma"/>
        </w:rPr>
        <w:t xml:space="preserve"> que valide dicha fundición</w:t>
      </w:r>
      <w:r w:rsidR="009974D6" w:rsidRPr="00615181">
        <w:rPr>
          <w:rFonts w:cs="Tahoma"/>
        </w:rPr>
        <w:t>. La fundición del material objeto de la presente contratación deberá como mínimo ser certificada por un Notario Público</w:t>
      </w:r>
      <w:r w:rsidR="009974D6">
        <w:rPr>
          <w:rFonts w:cs="Tahoma"/>
        </w:rPr>
        <w:t>,</w:t>
      </w:r>
      <w:r w:rsidR="009974D6" w:rsidRPr="00615181">
        <w:rPr>
          <w:rFonts w:cs="Tahoma"/>
        </w:rPr>
        <w:t xml:space="preserve"> dando fe de que la misma se realizó según lo solicitado. Además</w:t>
      </w:r>
      <w:r w:rsidR="009974D6">
        <w:rPr>
          <w:rFonts w:cs="Tahoma"/>
        </w:rPr>
        <w:t>,</w:t>
      </w:r>
      <w:r w:rsidR="009974D6" w:rsidRPr="00615181">
        <w:rPr>
          <w:rFonts w:cs="Tahoma"/>
        </w:rPr>
        <w:t xml:space="preserve"> en caso que dicha fundición se realice en el exterior, la certificación notarial y el acta del proceso de fundición del material deberán cumplir con todos los trámites consulares en el Consulado de Costa Rica y en el Ministerio de Relaciones Exteriores y Culto de la República de Costa Rica</w:t>
      </w:r>
      <w:r w:rsidR="009974D6">
        <w:rPr>
          <w:rFonts w:cs="Tahoma"/>
        </w:rPr>
        <w:t>.</w:t>
      </w:r>
    </w:p>
    <w:p w:rsidR="00945BA1" w:rsidRPr="00945BA1" w:rsidRDefault="00945BA1" w:rsidP="00945BA1">
      <w:pPr>
        <w:contextualSpacing/>
        <w:jc w:val="both"/>
        <w:rPr>
          <w:rFonts w:cs="Tahoma"/>
          <w:bCs/>
        </w:rPr>
      </w:pPr>
    </w:p>
    <w:p w:rsidR="008B6139" w:rsidRDefault="008B6139" w:rsidP="008B6139">
      <w:pPr>
        <w:pStyle w:val="Prrafodelista"/>
        <w:numPr>
          <w:ilvl w:val="1"/>
          <w:numId w:val="10"/>
        </w:numPr>
        <w:ind w:left="567" w:hanging="567"/>
        <w:contextualSpacing/>
        <w:jc w:val="both"/>
        <w:rPr>
          <w:rFonts w:cs="Tahoma"/>
        </w:rPr>
      </w:pPr>
      <w:r>
        <w:rPr>
          <w:rFonts w:cs="Tahoma"/>
        </w:rPr>
        <w:t>D</w:t>
      </w:r>
      <w:r w:rsidRPr="00615181">
        <w:rPr>
          <w:rFonts w:cs="Tahoma"/>
        </w:rPr>
        <w:t>entro</w:t>
      </w:r>
      <w:r>
        <w:rPr>
          <w:rFonts w:cs="Tahoma"/>
        </w:rPr>
        <w:t xml:space="preserve"> </w:t>
      </w:r>
      <w:r w:rsidRPr="00615181">
        <w:rPr>
          <w:rFonts w:cs="Tahoma"/>
        </w:rPr>
        <w:t>de los 30 días hábiles siguientes a que se haya realizado la fundición de todo el material, sea en Costa Rica o en el exterior</w:t>
      </w:r>
      <w:r>
        <w:rPr>
          <w:rFonts w:cs="Tahoma"/>
        </w:rPr>
        <w:t>,</w:t>
      </w:r>
      <w:r w:rsidRPr="00615181">
        <w:rPr>
          <w:rFonts w:cs="Tahoma"/>
        </w:rPr>
        <w:t xml:space="preserve"> </w:t>
      </w:r>
      <w:r>
        <w:rPr>
          <w:rFonts w:cs="Tahoma"/>
        </w:rPr>
        <w:t>e</w:t>
      </w:r>
      <w:r w:rsidRPr="00615181">
        <w:rPr>
          <w:rFonts w:cs="Tahoma"/>
        </w:rPr>
        <w:t xml:space="preserve">l </w:t>
      </w:r>
      <w:r>
        <w:rPr>
          <w:rFonts w:cs="Tahoma"/>
        </w:rPr>
        <w:t>contratista</w:t>
      </w:r>
      <w:r w:rsidRPr="00615181">
        <w:rPr>
          <w:rFonts w:cs="Tahoma"/>
        </w:rPr>
        <w:t xml:space="preserve"> deberá entregar </w:t>
      </w:r>
      <w:r>
        <w:rPr>
          <w:rFonts w:cs="Tahoma"/>
        </w:rPr>
        <w:t>e</w:t>
      </w:r>
      <w:r w:rsidRPr="00615181">
        <w:rPr>
          <w:rFonts w:cs="Tahoma"/>
        </w:rPr>
        <w:t xml:space="preserve">l </w:t>
      </w:r>
      <w:r>
        <w:rPr>
          <w:rFonts w:cs="Tahoma"/>
        </w:rPr>
        <w:t>acta</w:t>
      </w:r>
      <w:r w:rsidRPr="00615181">
        <w:rPr>
          <w:rFonts w:cs="Tahoma"/>
        </w:rPr>
        <w:t xml:space="preserve"> </w:t>
      </w:r>
      <w:r>
        <w:rPr>
          <w:rFonts w:cs="Tahoma"/>
        </w:rPr>
        <w:t xml:space="preserve">en la que </w:t>
      </w:r>
      <w:r w:rsidRPr="00615181">
        <w:rPr>
          <w:rFonts w:cs="Tahoma"/>
        </w:rPr>
        <w:t>conste la fundición de</w:t>
      </w:r>
      <w:r>
        <w:rPr>
          <w:rFonts w:cs="Tahoma"/>
        </w:rPr>
        <w:t>l material vendido y entregado.</w:t>
      </w:r>
    </w:p>
    <w:p w:rsidR="006E00C6" w:rsidRPr="006E00C6" w:rsidRDefault="006E00C6" w:rsidP="006E00C6">
      <w:pPr>
        <w:contextualSpacing/>
        <w:jc w:val="both"/>
        <w:rPr>
          <w:rFonts w:cs="Tahoma"/>
        </w:rPr>
      </w:pPr>
    </w:p>
    <w:p w:rsidR="008D5C17" w:rsidRDefault="008D5C17" w:rsidP="00E14E5F">
      <w:pPr>
        <w:pStyle w:val="Prrafodelista"/>
        <w:numPr>
          <w:ilvl w:val="1"/>
          <w:numId w:val="10"/>
        </w:numPr>
        <w:ind w:left="567" w:hanging="567"/>
        <w:contextualSpacing/>
        <w:jc w:val="both"/>
        <w:rPr>
          <w:rFonts w:cs="Tahoma"/>
        </w:rPr>
      </w:pPr>
      <w:r w:rsidRPr="00615181">
        <w:rPr>
          <w:rFonts w:cs="Tahoma"/>
        </w:rPr>
        <w:t>En</w:t>
      </w:r>
      <w:r>
        <w:rPr>
          <w:rFonts w:cs="Tahoma"/>
        </w:rPr>
        <w:t xml:space="preserve"> </w:t>
      </w:r>
      <w:r w:rsidRPr="00615181">
        <w:rPr>
          <w:rFonts w:cs="Tahoma"/>
        </w:rPr>
        <w:t>los casos en que proceda</w:t>
      </w:r>
      <w:r>
        <w:rPr>
          <w:rFonts w:cs="Tahoma"/>
        </w:rPr>
        <w:t>, e</w:t>
      </w:r>
      <w:r w:rsidRPr="00615181">
        <w:rPr>
          <w:rFonts w:cs="Tahoma"/>
        </w:rPr>
        <w:t xml:space="preserve">l </w:t>
      </w:r>
      <w:r w:rsidR="00E14E5F">
        <w:rPr>
          <w:rFonts w:cs="Tahoma"/>
          <w:bCs/>
        </w:rPr>
        <w:t>contratista</w:t>
      </w:r>
      <w:r w:rsidRPr="00615181">
        <w:rPr>
          <w:rFonts w:cs="Tahoma"/>
        </w:rPr>
        <w:t xml:space="preserve"> deberá presentar al </w:t>
      </w:r>
      <w:r w:rsidR="00E14E5F">
        <w:rPr>
          <w:rFonts w:cs="Tahoma"/>
        </w:rPr>
        <w:t>EGC</w:t>
      </w:r>
      <w:r w:rsidRPr="00615181">
        <w:rPr>
          <w:rFonts w:cs="Tahoma"/>
        </w:rPr>
        <w:t>, con una anticipación de 10 días hábiles</w:t>
      </w:r>
      <w:r>
        <w:rPr>
          <w:rFonts w:cs="Tahoma"/>
        </w:rPr>
        <w:t>,</w:t>
      </w:r>
      <w:r w:rsidRPr="00615181">
        <w:rPr>
          <w:rFonts w:cs="Tahoma"/>
        </w:rPr>
        <w:t xml:space="preserve"> copia de la factura comercial de exportación y los conocimientos de embarque respectivos, en caso de que el material mutilado, ondulado, doblado o perforado sea tra</w:t>
      </w:r>
      <w:r w:rsidR="009974D6">
        <w:rPr>
          <w:rFonts w:cs="Tahoma"/>
        </w:rPr>
        <w:t>n</w:t>
      </w:r>
      <w:r w:rsidRPr="00615181">
        <w:rPr>
          <w:rFonts w:cs="Tahoma"/>
        </w:rPr>
        <w:t>sportado al extranjero para su fundición.</w:t>
      </w:r>
    </w:p>
    <w:p w:rsidR="008D5C17" w:rsidRPr="00615181" w:rsidRDefault="008D5C17" w:rsidP="008D5C17">
      <w:pPr>
        <w:pStyle w:val="Prrafodelista"/>
        <w:rPr>
          <w:rFonts w:cs="Tahoma"/>
        </w:rPr>
      </w:pPr>
    </w:p>
    <w:p w:rsidR="008D5C17" w:rsidRPr="00730864" w:rsidRDefault="008D5C17" w:rsidP="00E14E5F">
      <w:pPr>
        <w:pStyle w:val="Prrafodelista"/>
        <w:numPr>
          <w:ilvl w:val="1"/>
          <w:numId w:val="10"/>
        </w:numPr>
        <w:ind w:left="567" w:hanging="567"/>
        <w:contextualSpacing/>
        <w:jc w:val="both"/>
        <w:rPr>
          <w:rFonts w:cs="Tahoma"/>
        </w:rPr>
      </w:pPr>
      <w:r w:rsidRPr="00730864">
        <w:rPr>
          <w:rFonts w:cs="Tahoma"/>
        </w:rPr>
        <w:t xml:space="preserve">El </w:t>
      </w:r>
      <w:r w:rsidR="00E14E5F" w:rsidRPr="00730864">
        <w:rPr>
          <w:rFonts w:cs="Tahoma"/>
        </w:rPr>
        <w:t>contratista</w:t>
      </w:r>
      <w:r w:rsidRPr="00730864">
        <w:rPr>
          <w:rFonts w:cs="Tahoma"/>
        </w:rPr>
        <w:t xml:space="preserve"> se compromete a guardar absoluta confidencialidad en relación con cualquier aspecto de la contratación; especialmente los que tienen que ver con las normas de seguridad aplicadas por BCCR.</w:t>
      </w:r>
      <w:r w:rsidR="00730864">
        <w:rPr>
          <w:rFonts w:cs="Tahoma"/>
        </w:rPr>
        <w:t xml:space="preserve"> </w:t>
      </w:r>
      <w:r w:rsidRPr="00730864">
        <w:rPr>
          <w:rFonts w:cs="Tahoma"/>
        </w:rPr>
        <w:t xml:space="preserve">El </w:t>
      </w:r>
      <w:r w:rsidR="00E14E5F" w:rsidRPr="00730864">
        <w:rPr>
          <w:rFonts w:cs="Tahoma"/>
        </w:rPr>
        <w:t>contratista</w:t>
      </w:r>
      <w:r w:rsidRPr="00730864">
        <w:rPr>
          <w:rFonts w:cs="Tahoma"/>
        </w:rPr>
        <w:t xml:space="preserve"> deberá comprometerse a manipular y procesar toda la documentación y materiales producto de esta venta, </w:t>
      </w:r>
      <w:r w:rsidRPr="00730864">
        <w:rPr>
          <w:rFonts w:cs="Tahoma"/>
        </w:rPr>
        <w:lastRenderedPageBreak/>
        <w:t>dentro de un ámbito de discreción, privacidad e integridad de acuerdo con las políticas de control y seguridad institucionales.</w:t>
      </w:r>
    </w:p>
    <w:p w:rsidR="008D5C17" w:rsidRDefault="008D5C17" w:rsidP="008D5C17">
      <w:pPr>
        <w:jc w:val="center"/>
        <w:rPr>
          <w:rFonts w:cs="Tahoma"/>
          <w:b/>
        </w:rPr>
      </w:pPr>
    </w:p>
    <w:p w:rsidR="008D5C17" w:rsidRDefault="008D5C17" w:rsidP="008D5C17">
      <w:pPr>
        <w:ind w:left="360"/>
        <w:rPr>
          <w:rFonts w:cs="Tahoma"/>
          <w:b/>
        </w:rPr>
      </w:pPr>
    </w:p>
    <w:p w:rsidR="008D5B94" w:rsidRPr="00C05614" w:rsidRDefault="008D5B94" w:rsidP="008D5B94">
      <w:pPr>
        <w:numPr>
          <w:ilvl w:val="0"/>
          <w:numId w:val="1"/>
        </w:numPr>
        <w:ind w:left="360"/>
        <w:jc w:val="center"/>
        <w:rPr>
          <w:rFonts w:cs="Tahoma"/>
          <w:b/>
        </w:rPr>
      </w:pPr>
      <w:r w:rsidRPr="00C05614">
        <w:rPr>
          <w:rFonts w:cs="Tahoma"/>
          <w:b/>
        </w:rPr>
        <w:t>ADMISIBILIDAD DE LAS OFERTAS</w:t>
      </w:r>
    </w:p>
    <w:p w:rsidR="008D5B94" w:rsidRPr="00C05614" w:rsidRDefault="008D5B94" w:rsidP="008D5B94">
      <w:pPr>
        <w:rPr>
          <w:rFonts w:cs="Tahoma"/>
          <w:lang w:val="es-ES" w:eastAsia="es-ES"/>
        </w:rPr>
      </w:pPr>
      <w:r w:rsidRPr="00C05614">
        <w:rPr>
          <w:rFonts w:cs="Tahoma"/>
          <w:lang w:val="es-ES" w:eastAsia="es-ES"/>
        </w:rPr>
        <w:t xml:space="preserve"> </w:t>
      </w:r>
    </w:p>
    <w:p w:rsidR="008D5B94" w:rsidRPr="002A42DE" w:rsidRDefault="008D5B94" w:rsidP="002A42DE">
      <w:pPr>
        <w:pStyle w:val="Prrafodelista"/>
        <w:numPr>
          <w:ilvl w:val="1"/>
          <w:numId w:val="11"/>
        </w:numPr>
        <w:ind w:left="567" w:hanging="567"/>
        <w:jc w:val="both"/>
        <w:rPr>
          <w:rFonts w:cs="Tahoma"/>
        </w:rPr>
      </w:pPr>
      <w:r w:rsidRPr="002A42DE">
        <w:rPr>
          <w:rFonts w:cs="Tahoma"/>
        </w:rPr>
        <w:t>Cada oferta deberá venir firmada por el oferente, en el caso de personas jurídicas por alguno de los representantes o apoderados de la empresa, debiendo adjuntar la certificación de personería del Registro Público o certificación notarial.</w:t>
      </w:r>
      <w:r w:rsidRPr="002A42DE" w:rsidDel="00E4661F">
        <w:rPr>
          <w:rFonts w:cs="Tahoma"/>
        </w:rPr>
        <w:t xml:space="preserve"> </w:t>
      </w:r>
    </w:p>
    <w:p w:rsidR="008D5B94" w:rsidRPr="00C05614" w:rsidRDefault="008D5B94" w:rsidP="008D5B94">
      <w:pPr>
        <w:pStyle w:val="Prrafodelista"/>
        <w:ind w:left="567"/>
        <w:jc w:val="both"/>
        <w:rPr>
          <w:rFonts w:cs="Tahoma"/>
        </w:rPr>
      </w:pPr>
    </w:p>
    <w:p w:rsidR="008D5B94" w:rsidRDefault="008D5B94" w:rsidP="002A42DE">
      <w:pPr>
        <w:pStyle w:val="Prrafodelista"/>
        <w:numPr>
          <w:ilvl w:val="1"/>
          <w:numId w:val="11"/>
        </w:numPr>
        <w:ind w:left="567" w:hanging="567"/>
        <w:jc w:val="both"/>
        <w:rPr>
          <w:rFonts w:cs="Tahoma"/>
        </w:rPr>
      </w:pPr>
      <w:r w:rsidRPr="00C05614">
        <w:rPr>
          <w:rFonts w:cs="Tahoma"/>
        </w:rPr>
        <w:t xml:space="preserve">No se admitirán ofertas con </w:t>
      </w:r>
      <w:r w:rsidRPr="00333D4C">
        <w:rPr>
          <w:rFonts w:cs="Tahoma"/>
        </w:rPr>
        <w:t xml:space="preserve">precios </w:t>
      </w:r>
      <w:r w:rsidR="006A4FCE">
        <w:rPr>
          <w:rFonts w:cs="Tahoma"/>
        </w:rPr>
        <w:t xml:space="preserve">unitarios por kilo </w:t>
      </w:r>
      <w:r w:rsidRPr="00333D4C">
        <w:rPr>
          <w:rFonts w:cs="Tahoma"/>
        </w:rPr>
        <w:t xml:space="preserve">inferiores al valor </w:t>
      </w:r>
      <w:r>
        <w:rPr>
          <w:rFonts w:cs="Tahoma"/>
        </w:rPr>
        <w:t xml:space="preserve">indicado y que corresponde al monto mínimo fijado en </w:t>
      </w:r>
      <w:r w:rsidR="00D56401">
        <w:rPr>
          <w:rFonts w:cs="Tahoma"/>
        </w:rPr>
        <w:t xml:space="preserve">el </w:t>
      </w:r>
      <w:r>
        <w:rPr>
          <w:rFonts w:cs="Tahoma"/>
        </w:rPr>
        <w:t>avalúo administrativo</w:t>
      </w:r>
      <w:r w:rsidRPr="00C05614">
        <w:rPr>
          <w:rFonts w:cs="Tahoma"/>
        </w:rPr>
        <w:t>.</w:t>
      </w:r>
      <w:r w:rsidR="00DF2508">
        <w:rPr>
          <w:rFonts w:cs="Tahoma"/>
        </w:rPr>
        <w:t xml:space="preserve"> El oferente está obligado a cotizar el renglón único.</w:t>
      </w:r>
    </w:p>
    <w:p w:rsidR="008D5B94" w:rsidRPr="00C05614" w:rsidRDefault="008D5B94" w:rsidP="00D56401">
      <w:pPr>
        <w:jc w:val="both"/>
        <w:rPr>
          <w:rFonts w:cs="Tahoma"/>
        </w:rPr>
      </w:pPr>
    </w:p>
    <w:p w:rsidR="008D5B94" w:rsidRDefault="008D5B94" w:rsidP="002A42DE">
      <w:pPr>
        <w:pStyle w:val="Prrafodelista"/>
        <w:numPr>
          <w:ilvl w:val="1"/>
          <w:numId w:val="11"/>
        </w:numPr>
        <w:ind w:left="567" w:hanging="567"/>
        <w:jc w:val="both"/>
        <w:rPr>
          <w:rFonts w:cs="Tahoma"/>
        </w:rPr>
      </w:pPr>
      <w:r w:rsidRPr="00C05614">
        <w:rPr>
          <w:rFonts w:cs="Tahoma"/>
        </w:rPr>
        <w:t>Toda oferta que se presente en forma extemporánea no será considerada</w:t>
      </w:r>
      <w:r>
        <w:rPr>
          <w:rFonts w:cs="Tahoma"/>
        </w:rPr>
        <w:t>.</w:t>
      </w:r>
    </w:p>
    <w:p w:rsidR="008D5B94" w:rsidRPr="00901154" w:rsidRDefault="008D5B94" w:rsidP="008D5B94">
      <w:pPr>
        <w:jc w:val="both"/>
        <w:rPr>
          <w:rFonts w:cs="Tahoma"/>
        </w:rPr>
      </w:pPr>
    </w:p>
    <w:p w:rsidR="00D56401" w:rsidRPr="00AC2F8E" w:rsidRDefault="00D56401" w:rsidP="008D5B94">
      <w:pPr>
        <w:jc w:val="both"/>
        <w:rPr>
          <w:rFonts w:cs="Tahoma"/>
        </w:rPr>
      </w:pPr>
    </w:p>
    <w:p w:rsidR="008D5B94" w:rsidRPr="00C05614" w:rsidRDefault="008D5B94" w:rsidP="008D5B94">
      <w:pPr>
        <w:numPr>
          <w:ilvl w:val="0"/>
          <w:numId w:val="1"/>
        </w:numPr>
        <w:ind w:left="360"/>
        <w:jc w:val="center"/>
        <w:rPr>
          <w:rFonts w:cs="Tahoma"/>
          <w:b/>
        </w:rPr>
      </w:pPr>
      <w:r w:rsidRPr="00C05614">
        <w:rPr>
          <w:rFonts w:cs="Tahoma"/>
          <w:b/>
        </w:rPr>
        <w:t>ADJUDICACIÓN</w:t>
      </w:r>
    </w:p>
    <w:p w:rsidR="008D5B94" w:rsidRPr="00C05614" w:rsidRDefault="008D5B94" w:rsidP="008D5B94">
      <w:pPr>
        <w:jc w:val="both"/>
        <w:rPr>
          <w:rFonts w:cs="Tahoma"/>
        </w:rPr>
      </w:pPr>
    </w:p>
    <w:p w:rsidR="008D5B94" w:rsidRPr="002A42DE" w:rsidRDefault="008D5B94" w:rsidP="002A42DE">
      <w:pPr>
        <w:pStyle w:val="Prrafodelista"/>
        <w:numPr>
          <w:ilvl w:val="1"/>
          <w:numId w:val="12"/>
        </w:numPr>
        <w:ind w:left="567" w:hanging="567"/>
        <w:jc w:val="both"/>
        <w:rPr>
          <w:rFonts w:cs="Tahoma"/>
        </w:rPr>
      </w:pPr>
      <w:r w:rsidRPr="002A42DE">
        <w:rPr>
          <w:rFonts w:cs="Tahoma"/>
        </w:rPr>
        <w:t>El BCCR resolverá este concurso en un plazo máximo igual al doble del plazo fijado para la apertura de las ofertas.</w:t>
      </w:r>
    </w:p>
    <w:p w:rsidR="008D5B94" w:rsidRPr="003A398C" w:rsidRDefault="008D5B94" w:rsidP="008D5B94">
      <w:pPr>
        <w:jc w:val="both"/>
        <w:rPr>
          <w:rFonts w:cs="Tahoma"/>
        </w:rPr>
      </w:pPr>
    </w:p>
    <w:p w:rsidR="008D5B94" w:rsidRDefault="008D5B94" w:rsidP="008D5B94"/>
    <w:p w:rsidR="00DE6368" w:rsidRDefault="00DE6368" w:rsidP="002A42DE">
      <w:pPr>
        <w:pStyle w:val="Prrafodelista"/>
        <w:numPr>
          <w:ilvl w:val="1"/>
          <w:numId w:val="12"/>
        </w:numPr>
        <w:ind w:left="567" w:hanging="567"/>
        <w:jc w:val="both"/>
      </w:pPr>
      <w:r>
        <w:t xml:space="preserve"> El oferente deberá presentar </w:t>
      </w:r>
      <w:r w:rsidR="0018085D">
        <w:t>en su</w:t>
      </w:r>
      <w:r>
        <w:t xml:space="preserve"> cotización</w:t>
      </w:r>
      <w:r w:rsidR="0018085D">
        <w:t xml:space="preserve"> el valor</w:t>
      </w:r>
      <w:r w:rsidR="00A83DC8">
        <w:t xml:space="preserve"> unitario</w:t>
      </w:r>
      <w:r w:rsidR="0018085D">
        <w:t xml:space="preserve"> por kilo, el</w:t>
      </w:r>
      <w:r w:rsidR="00A83DC8">
        <w:t xml:space="preserve"> importe total y tota</w:t>
      </w:r>
      <w:r w:rsidR="0018085D">
        <w:t>l</w:t>
      </w:r>
      <w:r w:rsidR="00A83DC8">
        <w:t xml:space="preserve"> general </w:t>
      </w:r>
      <w:r>
        <w:t>en los siguientes cuadros</w:t>
      </w:r>
      <w:r w:rsidR="0018085D">
        <w:t>:</w:t>
      </w:r>
    </w:p>
    <w:p w:rsidR="00DE6368" w:rsidRDefault="00DE6368" w:rsidP="00DE6368"/>
    <w:p w:rsidR="00DE6368" w:rsidRPr="00016FAC" w:rsidRDefault="00DE6368" w:rsidP="00DF2508">
      <w:pPr>
        <w:pStyle w:val="Prrafodelista"/>
        <w:widowControl w:val="0"/>
        <w:numPr>
          <w:ilvl w:val="0"/>
          <w:numId w:val="17"/>
        </w:numPr>
        <w:spacing w:after="120"/>
        <w:ind w:left="851" w:hanging="284"/>
        <w:jc w:val="both"/>
        <w:rPr>
          <w:rFonts w:cs="Tahoma"/>
          <w:b/>
          <w:lang w:val="pt-BR"/>
        </w:rPr>
      </w:pPr>
      <w:proofErr w:type="spellStart"/>
      <w:r w:rsidRPr="00016FAC">
        <w:rPr>
          <w:rFonts w:cs="Tahoma"/>
          <w:b/>
          <w:lang w:val="pt-BR"/>
        </w:rPr>
        <w:t>Moneda</w:t>
      </w:r>
      <w:proofErr w:type="spellEnd"/>
      <w:r w:rsidRPr="00016FAC">
        <w:rPr>
          <w:rFonts w:cs="Tahoma"/>
          <w:b/>
          <w:lang w:val="pt-BR"/>
        </w:rPr>
        <w:t xml:space="preserve"> </w:t>
      </w:r>
      <w:proofErr w:type="spellStart"/>
      <w:r w:rsidRPr="00016FAC">
        <w:rPr>
          <w:rFonts w:cs="Tahoma"/>
          <w:b/>
          <w:lang w:val="pt-BR"/>
        </w:rPr>
        <w:t>conmemorativa</w:t>
      </w:r>
      <w:proofErr w:type="spellEnd"/>
      <w:r w:rsidRPr="00016FAC">
        <w:rPr>
          <w:rFonts w:cs="Tahoma"/>
          <w:b/>
          <w:lang w:val="pt-BR"/>
        </w:rPr>
        <w:t xml:space="preserve"> de ¢500</w:t>
      </w:r>
    </w:p>
    <w:tbl>
      <w:tblPr>
        <w:tblStyle w:val="Tablaconcuadrcula"/>
        <w:tblW w:w="0" w:type="auto"/>
        <w:jc w:val="center"/>
        <w:tblLook w:val="04A0" w:firstRow="1" w:lastRow="0" w:firstColumn="1" w:lastColumn="0" w:noHBand="0" w:noVBand="1"/>
      </w:tblPr>
      <w:tblGrid>
        <w:gridCol w:w="1798"/>
        <w:gridCol w:w="2138"/>
        <w:gridCol w:w="1842"/>
        <w:gridCol w:w="2127"/>
      </w:tblGrid>
      <w:tr w:rsidR="00DE6368" w:rsidTr="00DE6368">
        <w:trPr>
          <w:jc w:val="center"/>
        </w:trPr>
        <w:tc>
          <w:tcPr>
            <w:tcW w:w="1798" w:type="dxa"/>
            <w:shd w:val="clear" w:color="auto" w:fill="E5B8B7" w:themeFill="accent2" w:themeFillTint="66"/>
          </w:tcPr>
          <w:p w:rsidR="00DE6368" w:rsidRPr="008134C3" w:rsidRDefault="00DE6368" w:rsidP="003A7D05">
            <w:pPr>
              <w:jc w:val="center"/>
              <w:rPr>
                <w:rFonts w:cs="Tahoma"/>
                <w:b/>
                <w:lang w:val="pt-BR"/>
              </w:rPr>
            </w:pPr>
            <w:proofErr w:type="spellStart"/>
            <w:r w:rsidRPr="008134C3">
              <w:rPr>
                <w:rFonts w:cs="Tahoma"/>
                <w:b/>
                <w:lang w:val="pt-BR"/>
              </w:rPr>
              <w:t>Denominación</w:t>
            </w:r>
            <w:proofErr w:type="spellEnd"/>
          </w:p>
        </w:tc>
        <w:tc>
          <w:tcPr>
            <w:tcW w:w="2138" w:type="dxa"/>
            <w:shd w:val="clear" w:color="auto" w:fill="E5B8B7" w:themeFill="accent2" w:themeFillTint="66"/>
          </w:tcPr>
          <w:p w:rsidR="00DE6368" w:rsidRPr="008134C3" w:rsidRDefault="00DE6368" w:rsidP="003A7D05">
            <w:pPr>
              <w:jc w:val="center"/>
              <w:rPr>
                <w:rFonts w:cs="Tahoma"/>
                <w:b/>
                <w:lang w:val="pt-BR"/>
              </w:rPr>
            </w:pPr>
            <w:r w:rsidRPr="008134C3">
              <w:rPr>
                <w:rFonts w:cs="Tahoma"/>
                <w:b/>
                <w:lang w:val="pt-BR"/>
              </w:rPr>
              <w:t xml:space="preserve">Peso aproximado </w:t>
            </w:r>
            <w:proofErr w:type="spellStart"/>
            <w:r w:rsidRPr="008134C3">
              <w:rPr>
                <w:rFonts w:cs="Tahoma"/>
                <w:b/>
                <w:lang w:val="pt-BR"/>
              </w:rPr>
              <w:t>en</w:t>
            </w:r>
            <w:proofErr w:type="spellEnd"/>
            <w:r w:rsidRPr="008134C3">
              <w:rPr>
                <w:rFonts w:cs="Tahoma"/>
                <w:b/>
                <w:lang w:val="pt-BR"/>
              </w:rPr>
              <w:t xml:space="preserve"> </w:t>
            </w:r>
            <w:proofErr w:type="spellStart"/>
            <w:r w:rsidRPr="008134C3">
              <w:rPr>
                <w:rFonts w:cs="Tahoma"/>
                <w:b/>
                <w:lang w:val="pt-BR"/>
              </w:rPr>
              <w:t>Kilos</w:t>
            </w:r>
            <w:proofErr w:type="spellEnd"/>
          </w:p>
        </w:tc>
        <w:tc>
          <w:tcPr>
            <w:tcW w:w="1842" w:type="dxa"/>
            <w:shd w:val="clear" w:color="auto" w:fill="E5B8B7" w:themeFill="accent2" w:themeFillTint="66"/>
          </w:tcPr>
          <w:p w:rsidR="00DE6368" w:rsidRPr="008134C3" w:rsidRDefault="00DE6368" w:rsidP="00A83DC8">
            <w:pPr>
              <w:jc w:val="center"/>
              <w:rPr>
                <w:rFonts w:cs="Tahoma"/>
                <w:b/>
                <w:lang w:val="pt-BR"/>
              </w:rPr>
            </w:pPr>
            <w:r>
              <w:rPr>
                <w:rFonts w:cs="Tahoma"/>
                <w:b/>
                <w:lang w:val="pt-BR"/>
              </w:rPr>
              <w:t xml:space="preserve">Valor </w:t>
            </w:r>
            <w:proofErr w:type="spellStart"/>
            <w:r>
              <w:rPr>
                <w:rFonts w:cs="Tahoma"/>
                <w:b/>
                <w:lang w:val="pt-BR"/>
              </w:rPr>
              <w:t>unitario</w:t>
            </w:r>
            <w:proofErr w:type="spellEnd"/>
            <w:r>
              <w:rPr>
                <w:rFonts w:cs="Tahoma"/>
                <w:b/>
                <w:lang w:val="pt-BR"/>
              </w:rPr>
              <w:t xml:space="preserve"> </w:t>
            </w:r>
            <w:proofErr w:type="spellStart"/>
            <w:r w:rsidRPr="008134C3">
              <w:rPr>
                <w:rFonts w:cs="Tahoma"/>
                <w:b/>
                <w:lang w:val="pt-BR"/>
              </w:rPr>
              <w:t>kilo</w:t>
            </w:r>
            <w:proofErr w:type="spellEnd"/>
            <w:r w:rsidRPr="008134C3">
              <w:rPr>
                <w:rFonts w:cs="Tahoma"/>
                <w:b/>
                <w:lang w:val="pt-BR"/>
              </w:rPr>
              <w:t xml:space="preserve"> </w:t>
            </w:r>
            <w:r>
              <w:rPr>
                <w:rFonts w:cs="Tahoma"/>
                <w:b/>
                <w:lang w:val="pt-BR"/>
              </w:rPr>
              <w:t>¢</w:t>
            </w:r>
          </w:p>
        </w:tc>
        <w:tc>
          <w:tcPr>
            <w:tcW w:w="2127" w:type="dxa"/>
            <w:shd w:val="clear" w:color="auto" w:fill="E5B8B7" w:themeFill="accent2" w:themeFillTint="66"/>
          </w:tcPr>
          <w:p w:rsidR="001D7898" w:rsidRDefault="00DE6368" w:rsidP="00A83DC8">
            <w:pPr>
              <w:jc w:val="center"/>
              <w:rPr>
                <w:rFonts w:cs="Tahoma"/>
                <w:b/>
                <w:lang w:val="pt-BR"/>
              </w:rPr>
            </w:pPr>
            <w:r w:rsidRPr="008134C3">
              <w:rPr>
                <w:rFonts w:cs="Tahoma"/>
                <w:b/>
                <w:lang w:val="pt-BR"/>
              </w:rPr>
              <w:t xml:space="preserve">Importe Total </w:t>
            </w:r>
          </w:p>
          <w:p w:rsidR="00DE6368" w:rsidRPr="008134C3" w:rsidRDefault="00DE6368" w:rsidP="00A83DC8">
            <w:pPr>
              <w:jc w:val="center"/>
              <w:rPr>
                <w:rFonts w:cs="Tahoma"/>
                <w:b/>
                <w:lang w:val="pt-BR"/>
              </w:rPr>
            </w:pPr>
            <w:r>
              <w:rPr>
                <w:rFonts w:cs="Tahoma"/>
                <w:b/>
                <w:lang w:val="pt-BR"/>
              </w:rPr>
              <w:t>¢</w:t>
            </w:r>
          </w:p>
        </w:tc>
      </w:tr>
      <w:tr w:rsidR="00DE6368" w:rsidTr="00DE6368">
        <w:trPr>
          <w:trHeight w:val="465"/>
          <w:jc w:val="center"/>
        </w:trPr>
        <w:tc>
          <w:tcPr>
            <w:tcW w:w="1798" w:type="dxa"/>
            <w:vAlign w:val="center"/>
          </w:tcPr>
          <w:p w:rsidR="00DE6368" w:rsidRPr="008134C3" w:rsidRDefault="00DE6368" w:rsidP="003A7D05">
            <w:pPr>
              <w:jc w:val="center"/>
              <w:rPr>
                <w:rFonts w:cs="Tahoma"/>
              </w:rPr>
            </w:pPr>
            <w:r w:rsidRPr="008134C3">
              <w:rPr>
                <w:rFonts w:cs="Tahoma"/>
              </w:rPr>
              <w:t>¢500.00</w:t>
            </w:r>
          </w:p>
        </w:tc>
        <w:tc>
          <w:tcPr>
            <w:tcW w:w="2138" w:type="dxa"/>
            <w:vAlign w:val="center"/>
          </w:tcPr>
          <w:p w:rsidR="00DE6368" w:rsidRPr="008134C3" w:rsidRDefault="00DE6368" w:rsidP="003A7D05">
            <w:pPr>
              <w:jc w:val="center"/>
              <w:rPr>
                <w:rFonts w:cs="Tahoma"/>
              </w:rPr>
            </w:pPr>
            <w:r w:rsidRPr="008134C3">
              <w:rPr>
                <w:rFonts w:cs="Tahoma"/>
              </w:rPr>
              <w:t>34,5</w:t>
            </w:r>
            <w:r>
              <w:rPr>
                <w:rFonts w:cs="Tahoma"/>
              </w:rPr>
              <w:t>9</w:t>
            </w:r>
            <w:r w:rsidRPr="008134C3">
              <w:rPr>
                <w:rFonts w:cs="Tahoma"/>
              </w:rPr>
              <w:t>2.0</w:t>
            </w:r>
          </w:p>
        </w:tc>
        <w:tc>
          <w:tcPr>
            <w:tcW w:w="1842" w:type="dxa"/>
            <w:vAlign w:val="center"/>
          </w:tcPr>
          <w:p w:rsidR="00DE6368" w:rsidRPr="008134C3" w:rsidRDefault="00DE6368" w:rsidP="003A7D05">
            <w:pPr>
              <w:jc w:val="center"/>
              <w:rPr>
                <w:rFonts w:cs="Tahoma"/>
              </w:rPr>
            </w:pPr>
          </w:p>
        </w:tc>
        <w:tc>
          <w:tcPr>
            <w:tcW w:w="2127" w:type="dxa"/>
            <w:vAlign w:val="center"/>
          </w:tcPr>
          <w:p w:rsidR="00DE6368" w:rsidRPr="008134C3" w:rsidRDefault="00DE6368" w:rsidP="003A7D05">
            <w:pPr>
              <w:jc w:val="center"/>
              <w:rPr>
                <w:rFonts w:cs="Tahoma"/>
              </w:rPr>
            </w:pPr>
          </w:p>
        </w:tc>
      </w:tr>
      <w:tr w:rsidR="00DE6368" w:rsidTr="00DE6368">
        <w:trPr>
          <w:jc w:val="center"/>
        </w:trPr>
        <w:tc>
          <w:tcPr>
            <w:tcW w:w="1798" w:type="dxa"/>
            <w:shd w:val="clear" w:color="auto" w:fill="E5B8B7" w:themeFill="accent2" w:themeFillTint="66"/>
          </w:tcPr>
          <w:p w:rsidR="00DE6368" w:rsidRPr="0085708D" w:rsidRDefault="00DE6368" w:rsidP="003A7D05">
            <w:pPr>
              <w:jc w:val="center"/>
              <w:rPr>
                <w:b/>
              </w:rPr>
            </w:pPr>
            <w:r w:rsidRPr="0085708D">
              <w:rPr>
                <w:rFonts w:cs="Tahoma"/>
                <w:b/>
                <w:lang w:val="pt-BR"/>
              </w:rPr>
              <w:t>TOTAL</w:t>
            </w:r>
          </w:p>
        </w:tc>
        <w:tc>
          <w:tcPr>
            <w:tcW w:w="2138" w:type="dxa"/>
            <w:shd w:val="clear" w:color="auto" w:fill="E5B8B7" w:themeFill="accent2" w:themeFillTint="66"/>
          </w:tcPr>
          <w:p w:rsidR="00DE6368" w:rsidRPr="0085708D" w:rsidRDefault="00DE6368" w:rsidP="003A7D05">
            <w:pPr>
              <w:jc w:val="center"/>
              <w:rPr>
                <w:b/>
              </w:rPr>
            </w:pPr>
            <w:r w:rsidRPr="0085708D">
              <w:rPr>
                <w:rFonts w:cs="Tahoma"/>
                <w:b/>
              </w:rPr>
              <w:t>34,592.0</w:t>
            </w:r>
          </w:p>
        </w:tc>
        <w:tc>
          <w:tcPr>
            <w:tcW w:w="1842" w:type="dxa"/>
            <w:shd w:val="clear" w:color="auto" w:fill="E5B8B7" w:themeFill="accent2" w:themeFillTint="66"/>
          </w:tcPr>
          <w:p w:rsidR="00DE6368" w:rsidRPr="0085708D" w:rsidRDefault="00DE6368" w:rsidP="003A7D05">
            <w:pPr>
              <w:jc w:val="center"/>
              <w:rPr>
                <w:b/>
              </w:rPr>
            </w:pPr>
          </w:p>
        </w:tc>
        <w:tc>
          <w:tcPr>
            <w:tcW w:w="2127" w:type="dxa"/>
            <w:shd w:val="clear" w:color="auto" w:fill="E5B8B7" w:themeFill="accent2" w:themeFillTint="66"/>
          </w:tcPr>
          <w:p w:rsidR="00DE6368" w:rsidRPr="0085708D" w:rsidRDefault="00DE6368" w:rsidP="003A7D05">
            <w:pPr>
              <w:jc w:val="center"/>
              <w:rPr>
                <w:b/>
              </w:rPr>
            </w:pPr>
          </w:p>
        </w:tc>
      </w:tr>
    </w:tbl>
    <w:p w:rsidR="00DE6368" w:rsidRDefault="00DE6368" w:rsidP="00DE6368"/>
    <w:p w:rsidR="00DE6368" w:rsidRDefault="00DE6368" w:rsidP="00DF2508">
      <w:pPr>
        <w:pStyle w:val="Prrafodelista"/>
        <w:widowControl w:val="0"/>
        <w:numPr>
          <w:ilvl w:val="0"/>
          <w:numId w:val="17"/>
        </w:numPr>
        <w:spacing w:after="120"/>
        <w:ind w:left="851" w:hanging="284"/>
        <w:jc w:val="both"/>
        <w:rPr>
          <w:rFonts w:cs="Tahoma"/>
          <w:b/>
          <w:lang w:val="pt-BR"/>
        </w:rPr>
      </w:pPr>
      <w:proofErr w:type="spellStart"/>
      <w:r>
        <w:rPr>
          <w:rFonts w:cs="Tahoma"/>
          <w:b/>
          <w:lang w:val="pt-BR"/>
        </w:rPr>
        <w:t>Otras</w:t>
      </w:r>
      <w:proofErr w:type="spellEnd"/>
      <w:r>
        <w:rPr>
          <w:rFonts w:cs="Tahoma"/>
          <w:b/>
          <w:lang w:val="pt-BR"/>
        </w:rPr>
        <w:t xml:space="preserve"> </w:t>
      </w:r>
      <w:proofErr w:type="spellStart"/>
      <w:r>
        <w:rPr>
          <w:rFonts w:cs="Tahoma"/>
          <w:b/>
          <w:lang w:val="pt-BR"/>
        </w:rPr>
        <w:t>monedas</w:t>
      </w:r>
      <w:proofErr w:type="spellEnd"/>
    </w:p>
    <w:tbl>
      <w:tblPr>
        <w:tblStyle w:val="Tablaconcuadrcula"/>
        <w:tblW w:w="0" w:type="auto"/>
        <w:jc w:val="center"/>
        <w:tblLook w:val="04A0" w:firstRow="1" w:lastRow="0" w:firstColumn="1" w:lastColumn="0" w:noHBand="0" w:noVBand="1"/>
      </w:tblPr>
      <w:tblGrid>
        <w:gridCol w:w="1798"/>
        <w:gridCol w:w="2138"/>
        <w:gridCol w:w="1842"/>
        <w:gridCol w:w="2127"/>
      </w:tblGrid>
      <w:tr w:rsidR="00DE6368" w:rsidRPr="008134C3" w:rsidTr="00DE6368">
        <w:trPr>
          <w:jc w:val="center"/>
        </w:trPr>
        <w:tc>
          <w:tcPr>
            <w:tcW w:w="1798" w:type="dxa"/>
            <w:shd w:val="clear" w:color="auto" w:fill="E5B8B7" w:themeFill="accent2" w:themeFillTint="66"/>
          </w:tcPr>
          <w:p w:rsidR="00DE6368" w:rsidRPr="008134C3" w:rsidRDefault="00DE6368" w:rsidP="003A7D05">
            <w:pPr>
              <w:jc w:val="center"/>
              <w:rPr>
                <w:rFonts w:cs="Tahoma"/>
                <w:b/>
                <w:lang w:val="pt-BR"/>
              </w:rPr>
            </w:pPr>
            <w:proofErr w:type="spellStart"/>
            <w:r w:rsidRPr="008134C3">
              <w:rPr>
                <w:rFonts w:cs="Tahoma"/>
                <w:b/>
                <w:lang w:val="pt-BR"/>
              </w:rPr>
              <w:t>Denominación</w:t>
            </w:r>
            <w:proofErr w:type="spellEnd"/>
          </w:p>
        </w:tc>
        <w:tc>
          <w:tcPr>
            <w:tcW w:w="2138" w:type="dxa"/>
            <w:shd w:val="clear" w:color="auto" w:fill="E5B8B7" w:themeFill="accent2" w:themeFillTint="66"/>
          </w:tcPr>
          <w:p w:rsidR="00DE6368" w:rsidRPr="008134C3" w:rsidRDefault="00DE6368" w:rsidP="003A7D05">
            <w:pPr>
              <w:jc w:val="center"/>
              <w:rPr>
                <w:rFonts w:cs="Tahoma"/>
                <w:b/>
                <w:lang w:val="pt-BR"/>
              </w:rPr>
            </w:pPr>
            <w:r w:rsidRPr="008134C3">
              <w:rPr>
                <w:rFonts w:cs="Tahoma"/>
                <w:b/>
                <w:lang w:val="pt-BR"/>
              </w:rPr>
              <w:t xml:space="preserve">Peso aproximado </w:t>
            </w:r>
            <w:proofErr w:type="spellStart"/>
            <w:r w:rsidRPr="008134C3">
              <w:rPr>
                <w:rFonts w:cs="Tahoma"/>
                <w:b/>
                <w:lang w:val="pt-BR"/>
              </w:rPr>
              <w:t>en</w:t>
            </w:r>
            <w:proofErr w:type="spellEnd"/>
            <w:r w:rsidRPr="008134C3">
              <w:rPr>
                <w:rFonts w:cs="Tahoma"/>
                <w:b/>
                <w:lang w:val="pt-BR"/>
              </w:rPr>
              <w:t xml:space="preserve"> </w:t>
            </w:r>
            <w:proofErr w:type="spellStart"/>
            <w:r w:rsidRPr="008134C3">
              <w:rPr>
                <w:rFonts w:cs="Tahoma"/>
                <w:b/>
                <w:lang w:val="pt-BR"/>
              </w:rPr>
              <w:t>Kilos</w:t>
            </w:r>
            <w:proofErr w:type="spellEnd"/>
          </w:p>
        </w:tc>
        <w:tc>
          <w:tcPr>
            <w:tcW w:w="1842" w:type="dxa"/>
            <w:shd w:val="clear" w:color="auto" w:fill="E5B8B7" w:themeFill="accent2" w:themeFillTint="66"/>
          </w:tcPr>
          <w:p w:rsidR="00DE6368" w:rsidRPr="008134C3" w:rsidRDefault="00DE6368" w:rsidP="00A83DC8">
            <w:pPr>
              <w:jc w:val="center"/>
              <w:rPr>
                <w:rFonts w:cs="Tahoma"/>
                <w:b/>
                <w:lang w:val="pt-BR"/>
              </w:rPr>
            </w:pPr>
            <w:r>
              <w:rPr>
                <w:rFonts w:cs="Tahoma"/>
                <w:b/>
                <w:lang w:val="pt-BR"/>
              </w:rPr>
              <w:t xml:space="preserve">Valor </w:t>
            </w:r>
            <w:proofErr w:type="spellStart"/>
            <w:r>
              <w:rPr>
                <w:rFonts w:cs="Tahoma"/>
                <w:b/>
                <w:lang w:val="pt-BR"/>
              </w:rPr>
              <w:t>unitario</w:t>
            </w:r>
            <w:proofErr w:type="spellEnd"/>
            <w:r>
              <w:rPr>
                <w:rFonts w:cs="Tahoma"/>
                <w:b/>
                <w:lang w:val="pt-BR"/>
              </w:rPr>
              <w:t xml:space="preserve"> </w:t>
            </w:r>
            <w:proofErr w:type="spellStart"/>
            <w:r w:rsidRPr="008134C3">
              <w:rPr>
                <w:rFonts w:cs="Tahoma"/>
                <w:b/>
                <w:lang w:val="pt-BR"/>
              </w:rPr>
              <w:t>kilo</w:t>
            </w:r>
            <w:proofErr w:type="spellEnd"/>
            <w:r w:rsidRPr="008134C3">
              <w:rPr>
                <w:rFonts w:cs="Tahoma"/>
                <w:b/>
                <w:lang w:val="pt-BR"/>
              </w:rPr>
              <w:t xml:space="preserve"> </w:t>
            </w:r>
            <w:r>
              <w:rPr>
                <w:rFonts w:cs="Tahoma"/>
                <w:b/>
                <w:lang w:val="pt-BR"/>
              </w:rPr>
              <w:t>¢</w:t>
            </w:r>
          </w:p>
        </w:tc>
        <w:tc>
          <w:tcPr>
            <w:tcW w:w="2127" w:type="dxa"/>
            <w:shd w:val="clear" w:color="auto" w:fill="E5B8B7" w:themeFill="accent2" w:themeFillTint="66"/>
          </w:tcPr>
          <w:p w:rsidR="001D7898" w:rsidRDefault="00DE6368" w:rsidP="00A83DC8">
            <w:pPr>
              <w:jc w:val="center"/>
              <w:rPr>
                <w:rFonts w:cs="Tahoma"/>
                <w:b/>
                <w:lang w:val="pt-BR"/>
              </w:rPr>
            </w:pPr>
            <w:r w:rsidRPr="008134C3">
              <w:rPr>
                <w:rFonts w:cs="Tahoma"/>
                <w:b/>
                <w:lang w:val="pt-BR"/>
              </w:rPr>
              <w:t xml:space="preserve">Importe Total </w:t>
            </w:r>
          </w:p>
          <w:p w:rsidR="00DE6368" w:rsidRPr="008134C3" w:rsidRDefault="00DE6368" w:rsidP="00A83DC8">
            <w:pPr>
              <w:jc w:val="center"/>
              <w:rPr>
                <w:rFonts w:cs="Tahoma"/>
                <w:b/>
                <w:lang w:val="pt-BR"/>
              </w:rPr>
            </w:pPr>
            <w:r>
              <w:rPr>
                <w:rFonts w:cs="Tahoma"/>
                <w:b/>
                <w:lang w:val="pt-BR"/>
              </w:rPr>
              <w:t>¢</w:t>
            </w:r>
          </w:p>
        </w:tc>
      </w:tr>
      <w:tr w:rsidR="00DE6368" w:rsidRPr="008134C3" w:rsidTr="00DE6368">
        <w:trPr>
          <w:jc w:val="center"/>
        </w:trPr>
        <w:tc>
          <w:tcPr>
            <w:tcW w:w="1798" w:type="dxa"/>
          </w:tcPr>
          <w:p w:rsidR="00DE6368" w:rsidRPr="008134C3" w:rsidRDefault="00DE6368" w:rsidP="003A7D05">
            <w:pPr>
              <w:jc w:val="center"/>
              <w:rPr>
                <w:rFonts w:cs="Tahoma"/>
                <w:lang w:val="pt-BR"/>
              </w:rPr>
            </w:pPr>
            <w:r w:rsidRPr="008134C3">
              <w:rPr>
                <w:rFonts w:cs="Tahoma"/>
                <w:lang w:val="pt-BR"/>
              </w:rPr>
              <w:t>¢20.00</w:t>
            </w:r>
          </w:p>
        </w:tc>
        <w:tc>
          <w:tcPr>
            <w:tcW w:w="2138" w:type="dxa"/>
          </w:tcPr>
          <w:p w:rsidR="00DE6368" w:rsidRPr="0085708D" w:rsidRDefault="00DE6368" w:rsidP="003A7D05">
            <w:pPr>
              <w:jc w:val="center"/>
              <w:rPr>
                <w:rFonts w:cs="Tahoma"/>
                <w:lang w:val="pt-BR"/>
              </w:rPr>
            </w:pPr>
            <w:r w:rsidRPr="0085708D">
              <w:rPr>
                <w:rFonts w:cs="Tahoma"/>
                <w:lang w:val="pt-BR"/>
              </w:rPr>
              <w:t>2,430</w:t>
            </w:r>
          </w:p>
        </w:tc>
        <w:tc>
          <w:tcPr>
            <w:tcW w:w="1842" w:type="dxa"/>
            <w:vMerge w:val="restart"/>
            <w:vAlign w:val="center"/>
          </w:tcPr>
          <w:p w:rsidR="00DE6368" w:rsidRDefault="00DE6368" w:rsidP="003A7D05">
            <w:pPr>
              <w:jc w:val="center"/>
              <w:rPr>
                <w:rFonts w:cs="Tahoma"/>
                <w:b/>
                <w:lang w:val="pt-BR"/>
              </w:rPr>
            </w:pPr>
          </w:p>
        </w:tc>
        <w:tc>
          <w:tcPr>
            <w:tcW w:w="2127" w:type="dxa"/>
            <w:vMerge w:val="restart"/>
            <w:vAlign w:val="center"/>
          </w:tcPr>
          <w:p w:rsidR="00DE6368" w:rsidRPr="008134C3" w:rsidRDefault="00DE6368" w:rsidP="003A7D05">
            <w:pPr>
              <w:jc w:val="center"/>
              <w:rPr>
                <w:rFonts w:cs="Tahoma"/>
                <w:b/>
                <w:lang w:val="pt-BR"/>
              </w:rPr>
            </w:pPr>
          </w:p>
        </w:tc>
      </w:tr>
      <w:tr w:rsidR="00DE6368" w:rsidRPr="008134C3" w:rsidTr="00DE6368">
        <w:trPr>
          <w:jc w:val="center"/>
        </w:trPr>
        <w:tc>
          <w:tcPr>
            <w:tcW w:w="1798" w:type="dxa"/>
          </w:tcPr>
          <w:p w:rsidR="00DE6368" w:rsidRPr="008134C3" w:rsidRDefault="00DE6368" w:rsidP="003A7D05">
            <w:pPr>
              <w:jc w:val="center"/>
            </w:pPr>
            <w:r w:rsidRPr="008134C3">
              <w:rPr>
                <w:rFonts w:cs="Tahoma"/>
                <w:lang w:val="pt-BR"/>
              </w:rPr>
              <w:t>¢10.00</w:t>
            </w:r>
          </w:p>
        </w:tc>
        <w:tc>
          <w:tcPr>
            <w:tcW w:w="2138" w:type="dxa"/>
          </w:tcPr>
          <w:p w:rsidR="00DE6368" w:rsidRPr="0085708D" w:rsidRDefault="00DE6368" w:rsidP="003A7D05">
            <w:pPr>
              <w:jc w:val="center"/>
              <w:rPr>
                <w:rFonts w:cs="Tahoma"/>
                <w:lang w:val="pt-BR"/>
              </w:rPr>
            </w:pPr>
            <w:r w:rsidRPr="0085708D">
              <w:rPr>
                <w:rFonts w:cs="Tahoma"/>
                <w:lang w:val="pt-BR"/>
              </w:rPr>
              <w:t>2,367</w:t>
            </w:r>
          </w:p>
        </w:tc>
        <w:tc>
          <w:tcPr>
            <w:tcW w:w="1842" w:type="dxa"/>
            <w:vMerge/>
          </w:tcPr>
          <w:p w:rsidR="00DE6368" w:rsidRDefault="00DE6368" w:rsidP="003A7D05">
            <w:pPr>
              <w:jc w:val="center"/>
              <w:rPr>
                <w:rFonts w:cs="Tahoma"/>
                <w:b/>
                <w:lang w:val="pt-BR"/>
              </w:rPr>
            </w:pPr>
          </w:p>
        </w:tc>
        <w:tc>
          <w:tcPr>
            <w:tcW w:w="2127" w:type="dxa"/>
            <w:vMerge/>
          </w:tcPr>
          <w:p w:rsidR="00DE6368" w:rsidRPr="008134C3" w:rsidRDefault="00DE6368" w:rsidP="003A7D05">
            <w:pPr>
              <w:jc w:val="center"/>
              <w:rPr>
                <w:rFonts w:cs="Tahoma"/>
                <w:b/>
                <w:lang w:val="pt-BR"/>
              </w:rPr>
            </w:pPr>
          </w:p>
        </w:tc>
      </w:tr>
      <w:tr w:rsidR="00DE6368" w:rsidRPr="008134C3" w:rsidTr="00DE6368">
        <w:trPr>
          <w:jc w:val="center"/>
        </w:trPr>
        <w:tc>
          <w:tcPr>
            <w:tcW w:w="1798" w:type="dxa"/>
          </w:tcPr>
          <w:p w:rsidR="00DE6368" w:rsidRPr="008134C3" w:rsidRDefault="00DE6368" w:rsidP="003A7D05">
            <w:pPr>
              <w:jc w:val="center"/>
            </w:pPr>
            <w:r w:rsidRPr="008134C3">
              <w:rPr>
                <w:rFonts w:cs="Tahoma"/>
                <w:lang w:val="pt-BR"/>
              </w:rPr>
              <w:t>¢5.00</w:t>
            </w:r>
          </w:p>
        </w:tc>
        <w:tc>
          <w:tcPr>
            <w:tcW w:w="2138" w:type="dxa"/>
          </w:tcPr>
          <w:p w:rsidR="00DE6368" w:rsidRPr="0085708D" w:rsidRDefault="00DE6368" w:rsidP="003A7D05">
            <w:pPr>
              <w:jc w:val="center"/>
              <w:rPr>
                <w:rFonts w:cs="Tahoma"/>
                <w:lang w:val="pt-BR"/>
              </w:rPr>
            </w:pPr>
            <w:r w:rsidRPr="0085708D">
              <w:rPr>
                <w:rFonts w:cs="Tahoma"/>
                <w:lang w:val="pt-BR"/>
              </w:rPr>
              <w:t>1,981</w:t>
            </w:r>
          </w:p>
        </w:tc>
        <w:tc>
          <w:tcPr>
            <w:tcW w:w="1842" w:type="dxa"/>
            <w:vMerge/>
          </w:tcPr>
          <w:p w:rsidR="00DE6368" w:rsidRDefault="00DE6368" w:rsidP="003A7D05">
            <w:pPr>
              <w:jc w:val="center"/>
              <w:rPr>
                <w:rFonts w:cs="Tahoma"/>
                <w:b/>
                <w:lang w:val="pt-BR"/>
              </w:rPr>
            </w:pPr>
          </w:p>
        </w:tc>
        <w:tc>
          <w:tcPr>
            <w:tcW w:w="2127" w:type="dxa"/>
            <w:vMerge/>
          </w:tcPr>
          <w:p w:rsidR="00DE6368" w:rsidRPr="008134C3" w:rsidRDefault="00DE6368" w:rsidP="003A7D05">
            <w:pPr>
              <w:jc w:val="center"/>
              <w:rPr>
                <w:rFonts w:cs="Tahoma"/>
                <w:b/>
                <w:lang w:val="pt-BR"/>
              </w:rPr>
            </w:pPr>
          </w:p>
        </w:tc>
      </w:tr>
      <w:tr w:rsidR="00DE6368" w:rsidRPr="008134C3" w:rsidTr="00DE6368">
        <w:trPr>
          <w:jc w:val="center"/>
        </w:trPr>
        <w:tc>
          <w:tcPr>
            <w:tcW w:w="1798" w:type="dxa"/>
          </w:tcPr>
          <w:p w:rsidR="00DE6368" w:rsidRPr="008134C3" w:rsidRDefault="00DE6368" w:rsidP="003A7D05">
            <w:pPr>
              <w:jc w:val="center"/>
            </w:pPr>
            <w:r w:rsidRPr="008134C3">
              <w:rPr>
                <w:rFonts w:cs="Tahoma"/>
                <w:lang w:val="pt-BR"/>
              </w:rPr>
              <w:t>¢2.00</w:t>
            </w:r>
          </w:p>
        </w:tc>
        <w:tc>
          <w:tcPr>
            <w:tcW w:w="2138" w:type="dxa"/>
          </w:tcPr>
          <w:p w:rsidR="00DE6368" w:rsidRPr="0085708D" w:rsidRDefault="00DE6368" w:rsidP="003A7D05">
            <w:pPr>
              <w:jc w:val="center"/>
              <w:rPr>
                <w:rFonts w:cs="Tahoma"/>
                <w:lang w:val="pt-BR"/>
              </w:rPr>
            </w:pPr>
            <w:r w:rsidRPr="0085708D">
              <w:rPr>
                <w:rFonts w:cs="Tahoma"/>
                <w:lang w:val="pt-BR"/>
              </w:rPr>
              <w:t>1,112</w:t>
            </w:r>
          </w:p>
        </w:tc>
        <w:tc>
          <w:tcPr>
            <w:tcW w:w="1842" w:type="dxa"/>
            <w:vMerge/>
          </w:tcPr>
          <w:p w:rsidR="00DE6368" w:rsidRDefault="00DE6368" w:rsidP="003A7D05">
            <w:pPr>
              <w:jc w:val="center"/>
              <w:rPr>
                <w:rFonts w:cs="Tahoma"/>
                <w:b/>
                <w:lang w:val="pt-BR"/>
              </w:rPr>
            </w:pPr>
          </w:p>
        </w:tc>
        <w:tc>
          <w:tcPr>
            <w:tcW w:w="2127" w:type="dxa"/>
            <w:vMerge/>
          </w:tcPr>
          <w:p w:rsidR="00DE6368" w:rsidRPr="008134C3" w:rsidRDefault="00DE6368" w:rsidP="003A7D05">
            <w:pPr>
              <w:jc w:val="center"/>
              <w:rPr>
                <w:rFonts w:cs="Tahoma"/>
                <w:b/>
                <w:lang w:val="pt-BR"/>
              </w:rPr>
            </w:pPr>
          </w:p>
        </w:tc>
      </w:tr>
      <w:tr w:rsidR="00DE6368" w:rsidRPr="008134C3" w:rsidTr="00DE6368">
        <w:trPr>
          <w:jc w:val="center"/>
        </w:trPr>
        <w:tc>
          <w:tcPr>
            <w:tcW w:w="1798" w:type="dxa"/>
          </w:tcPr>
          <w:p w:rsidR="00DE6368" w:rsidRPr="008134C3" w:rsidRDefault="00DE6368" w:rsidP="003A7D05">
            <w:pPr>
              <w:jc w:val="center"/>
            </w:pPr>
            <w:r w:rsidRPr="008134C3">
              <w:rPr>
                <w:rFonts w:cs="Tahoma"/>
                <w:lang w:val="pt-BR"/>
              </w:rPr>
              <w:t>¢1.00</w:t>
            </w:r>
          </w:p>
        </w:tc>
        <w:tc>
          <w:tcPr>
            <w:tcW w:w="2138" w:type="dxa"/>
          </w:tcPr>
          <w:p w:rsidR="00DE6368" w:rsidRPr="0085708D" w:rsidRDefault="00DE6368" w:rsidP="003A7D05">
            <w:pPr>
              <w:jc w:val="center"/>
              <w:rPr>
                <w:rFonts w:cs="Tahoma"/>
                <w:lang w:val="pt-BR"/>
              </w:rPr>
            </w:pPr>
            <w:r w:rsidRPr="0085708D">
              <w:rPr>
                <w:rFonts w:cs="Tahoma"/>
                <w:lang w:val="pt-BR"/>
              </w:rPr>
              <w:t>1,353</w:t>
            </w:r>
          </w:p>
        </w:tc>
        <w:tc>
          <w:tcPr>
            <w:tcW w:w="1842" w:type="dxa"/>
            <w:vMerge/>
          </w:tcPr>
          <w:p w:rsidR="00DE6368" w:rsidRDefault="00DE6368" w:rsidP="003A7D05">
            <w:pPr>
              <w:jc w:val="center"/>
              <w:rPr>
                <w:rFonts w:cs="Tahoma"/>
                <w:b/>
                <w:lang w:val="pt-BR"/>
              </w:rPr>
            </w:pPr>
          </w:p>
        </w:tc>
        <w:tc>
          <w:tcPr>
            <w:tcW w:w="2127" w:type="dxa"/>
            <w:vMerge/>
          </w:tcPr>
          <w:p w:rsidR="00DE6368" w:rsidRPr="008134C3" w:rsidRDefault="00DE6368" w:rsidP="003A7D05">
            <w:pPr>
              <w:jc w:val="center"/>
              <w:rPr>
                <w:rFonts w:cs="Tahoma"/>
                <w:b/>
                <w:lang w:val="pt-BR"/>
              </w:rPr>
            </w:pPr>
          </w:p>
        </w:tc>
      </w:tr>
      <w:tr w:rsidR="00DE6368" w:rsidRPr="008134C3" w:rsidTr="00DE6368">
        <w:trPr>
          <w:jc w:val="center"/>
        </w:trPr>
        <w:tc>
          <w:tcPr>
            <w:tcW w:w="1798" w:type="dxa"/>
          </w:tcPr>
          <w:p w:rsidR="00DE6368" w:rsidRPr="008134C3" w:rsidRDefault="00DE6368" w:rsidP="003A7D05">
            <w:pPr>
              <w:jc w:val="center"/>
            </w:pPr>
            <w:r w:rsidRPr="008134C3">
              <w:rPr>
                <w:rFonts w:cs="Tahoma"/>
                <w:lang w:val="pt-BR"/>
              </w:rPr>
              <w:t>¢0.50</w:t>
            </w:r>
          </w:p>
        </w:tc>
        <w:tc>
          <w:tcPr>
            <w:tcW w:w="2138" w:type="dxa"/>
          </w:tcPr>
          <w:p w:rsidR="00DE6368" w:rsidRPr="0085708D" w:rsidRDefault="00DE6368" w:rsidP="003A7D05">
            <w:pPr>
              <w:jc w:val="center"/>
              <w:rPr>
                <w:rFonts w:cs="Tahoma"/>
                <w:lang w:val="pt-BR"/>
              </w:rPr>
            </w:pPr>
            <w:r w:rsidRPr="0085708D">
              <w:rPr>
                <w:rFonts w:cs="Tahoma"/>
                <w:lang w:val="pt-BR"/>
              </w:rPr>
              <w:t>282</w:t>
            </w:r>
          </w:p>
        </w:tc>
        <w:tc>
          <w:tcPr>
            <w:tcW w:w="1842" w:type="dxa"/>
            <w:vMerge/>
          </w:tcPr>
          <w:p w:rsidR="00DE6368" w:rsidRDefault="00DE6368" w:rsidP="003A7D05">
            <w:pPr>
              <w:jc w:val="center"/>
              <w:rPr>
                <w:rFonts w:cs="Tahoma"/>
                <w:b/>
                <w:lang w:val="pt-BR"/>
              </w:rPr>
            </w:pPr>
          </w:p>
        </w:tc>
        <w:tc>
          <w:tcPr>
            <w:tcW w:w="2127" w:type="dxa"/>
            <w:vMerge/>
          </w:tcPr>
          <w:p w:rsidR="00DE6368" w:rsidRPr="008134C3" w:rsidRDefault="00DE6368" w:rsidP="003A7D05">
            <w:pPr>
              <w:jc w:val="center"/>
              <w:rPr>
                <w:rFonts w:cs="Tahoma"/>
                <w:b/>
                <w:lang w:val="pt-BR"/>
              </w:rPr>
            </w:pPr>
          </w:p>
        </w:tc>
      </w:tr>
      <w:tr w:rsidR="00DE6368" w:rsidRPr="008134C3" w:rsidTr="00DE6368">
        <w:trPr>
          <w:jc w:val="center"/>
        </w:trPr>
        <w:tc>
          <w:tcPr>
            <w:tcW w:w="1798" w:type="dxa"/>
          </w:tcPr>
          <w:p w:rsidR="00DE6368" w:rsidRPr="008134C3" w:rsidRDefault="00DE6368" w:rsidP="003A7D05">
            <w:pPr>
              <w:jc w:val="center"/>
              <w:rPr>
                <w:rFonts w:cs="Tahoma"/>
                <w:lang w:val="pt-BR"/>
              </w:rPr>
            </w:pPr>
            <w:r w:rsidRPr="008134C3">
              <w:rPr>
                <w:rFonts w:cs="Tahoma"/>
                <w:lang w:val="pt-BR"/>
              </w:rPr>
              <w:t>¢0.25</w:t>
            </w:r>
          </w:p>
        </w:tc>
        <w:tc>
          <w:tcPr>
            <w:tcW w:w="2138" w:type="dxa"/>
          </w:tcPr>
          <w:p w:rsidR="00DE6368" w:rsidRPr="0085708D" w:rsidRDefault="00DE6368" w:rsidP="003A7D05">
            <w:pPr>
              <w:jc w:val="center"/>
              <w:rPr>
                <w:rFonts w:cs="Tahoma"/>
                <w:lang w:val="pt-BR"/>
              </w:rPr>
            </w:pPr>
            <w:r w:rsidRPr="0085708D">
              <w:rPr>
                <w:rFonts w:cs="Tahoma"/>
                <w:lang w:val="pt-BR"/>
              </w:rPr>
              <w:t>64</w:t>
            </w:r>
          </w:p>
        </w:tc>
        <w:tc>
          <w:tcPr>
            <w:tcW w:w="1842" w:type="dxa"/>
            <w:vMerge/>
          </w:tcPr>
          <w:p w:rsidR="00DE6368" w:rsidRDefault="00DE6368" w:rsidP="003A7D05">
            <w:pPr>
              <w:jc w:val="center"/>
              <w:rPr>
                <w:rFonts w:cs="Tahoma"/>
                <w:b/>
                <w:lang w:val="pt-BR"/>
              </w:rPr>
            </w:pPr>
          </w:p>
        </w:tc>
        <w:tc>
          <w:tcPr>
            <w:tcW w:w="2127" w:type="dxa"/>
            <w:vMerge/>
          </w:tcPr>
          <w:p w:rsidR="00DE6368" w:rsidRPr="008134C3" w:rsidRDefault="00DE6368" w:rsidP="003A7D05">
            <w:pPr>
              <w:jc w:val="center"/>
              <w:rPr>
                <w:rFonts w:cs="Tahoma"/>
                <w:b/>
                <w:lang w:val="pt-BR"/>
              </w:rPr>
            </w:pPr>
          </w:p>
        </w:tc>
      </w:tr>
      <w:tr w:rsidR="00DE6368" w:rsidRPr="008134C3" w:rsidTr="00DE6368">
        <w:trPr>
          <w:jc w:val="center"/>
        </w:trPr>
        <w:tc>
          <w:tcPr>
            <w:tcW w:w="1798" w:type="dxa"/>
            <w:shd w:val="clear" w:color="auto" w:fill="E5B8B7" w:themeFill="accent2" w:themeFillTint="66"/>
          </w:tcPr>
          <w:p w:rsidR="00DE6368" w:rsidRPr="0085708D" w:rsidRDefault="00DE6368" w:rsidP="003A7D05">
            <w:pPr>
              <w:jc w:val="center"/>
              <w:rPr>
                <w:rFonts w:cs="Tahoma"/>
                <w:b/>
                <w:lang w:val="pt-BR"/>
              </w:rPr>
            </w:pPr>
            <w:r w:rsidRPr="0085708D">
              <w:rPr>
                <w:rFonts w:cs="Tahoma"/>
                <w:b/>
                <w:lang w:val="pt-BR"/>
              </w:rPr>
              <w:t>TOTAL</w:t>
            </w:r>
          </w:p>
        </w:tc>
        <w:tc>
          <w:tcPr>
            <w:tcW w:w="2138" w:type="dxa"/>
            <w:shd w:val="clear" w:color="auto" w:fill="E5B8B7" w:themeFill="accent2" w:themeFillTint="66"/>
          </w:tcPr>
          <w:p w:rsidR="00DE6368" w:rsidRPr="0085708D" w:rsidRDefault="00DE6368" w:rsidP="003A7D05">
            <w:pPr>
              <w:jc w:val="center"/>
              <w:rPr>
                <w:rFonts w:cs="Tahoma"/>
                <w:b/>
                <w:lang w:val="pt-BR"/>
              </w:rPr>
            </w:pPr>
            <w:r w:rsidRPr="0085708D">
              <w:rPr>
                <w:rFonts w:cs="Tahoma"/>
                <w:b/>
                <w:lang w:val="pt-BR"/>
              </w:rPr>
              <w:t>9,589</w:t>
            </w:r>
          </w:p>
        </w:tc>
        <w:tc>
          <w:tcPr>
            <w:tcW w:w="1842" w:type="dxa"/>
            <w:shd w:val="clear" w:color="auto" w:fill="E5B8B7" w:themeFill="accent2" w:themeFillTint="66"/>
          </w:tcPr>
          <w:p w:rsidR="00DE6368" w:rsidRPr="0085708D" w:rsidRDefault="00DE6368" w:rsidP="003A7D05">
            <w:pPr>
              <w:jc w:val="center"/>
              <w:rPr>
                <w:rFonts w:cs="Tahoma"/>
                <w:b/>
                <w:lang w:val="pt-BR"/>
              </w:rPr>
            </w:pPr>
          </w:p>
        </w:tc>
        <w:tc>
          <w:tcPr>
            <w:tcW w:w="2127" w:type="dxa"/>
            <w:shd w:val="clear" w:color="auto" w:fill="E5B8B7" w:themeFill="accent2" w:themeFillTint="66"/>
          </w:tcPr>
          <w:p w:rsidR="00DE6368" w:rsidRPr="0085708D" w:rsidRDefault="00DE6368" w:rsidP="003A7D05">
            <w:pPr>
              <w:jc w:val="center"/>
              <w:rPr>
                <w:rFonts w:cs="Tahoma"/>
                <w:b/>
                <w:lang w:val="pt-BR"/>
              </w:rPr>
            </w:pPr>
          </w:p>
        </w:tc>
      </w:tr>
      <w:tr w:rsidR="00DE6368" w:rsidRPr="008134C3" w:rsidTr="00DC5F84">
        <w:trPr>
          <w:jc w:val="center"/>
        </w:trPr>
        <w:tc>
          <w:tcPr>
            <w:tcW w:w="5778" w:type="dxa"/>
            <w:gridSpan w:val="3"/>
            <w:shd w:val="clear" w:color="auto" w:fill="E5B8B7" w:themeFill="accent2" w:themeFillTint="66"/>
          </w:tcPr>
          <w:p w:rsidR="00DE6368" w:rsidRPr="00DE6368" w:rsidRDefault="00DE6368" w:rsidP="003A7D05">
            <w:pPr>
              <w:jc w:val="center"/>
              <w:rPr>
                <w:rFonts w:cs="Tahoma"/>
                <w:b/>
                <w:u w:val="single"/>
                <w:lang w:val="pt-BR"/>
              </w:rPr>
            </w:pPr>
            <w:r w:rsidRPr="00DE6368">
              <w:rPr>
                <w:rFonts w:cs="Tahoma"/>
                <w:b/>
                <w:lang w:val="pt-BR"/>
              </w:rPr>
              <w:t>TOTAL GENERAL</w:t>
            </w:r>
          </w:p>
        </w:tc>
        <w:tc>
          <w:tcPr>
            <w:tcW w:w="2127" w:type="dxa"/>
            <w:shd w:val="clear" w:color="auto" w:fill="E5B8B7" w:themeFill="accent2" w:themeFillTint="66"/>
          </w:tcPr>
          <w:p w:rsidR="00DE6368" w:rsidRPr="00DE6368" w:rsidRDefault="00DE6368" w:rsidP="003A7D05">
            <w:pPr>
              <w:jc w:val="center"/>
              <w:rPr>
                <w:rFonts w:cs="Tahoma"/>
                <w:b/>
                <w:u w:val="single"/>
                <w:lang w:val="pt-BR"/>
              </w:rPr>
            </w:pPr>
          </w:p>
        </w:tc>
      </w:tr>
    </w:tbl>
    <w:p w:rsidR="00DE6368" w:rsidRDefault="00DE6368" w:rsidP="00DE6368">
      <w:pPr>
        <w:jc w:val="both"/>
      </w:pPr>
    </w:p>
    <w:p w:rsidR="00B24580" w:rsidRDefault="008D5B94" w:rsidP="002A42DE">
      <w:pPr>
        <w:pStyle w:val="Prrafodelista"/>
        <w:numPr>
          <w:ilvl w:val="1"/>
          <w:numId w:val="12"/>
        </w:numPr>
        <w:ind w:left="567" w:hanging="567"/>
        <w:jc w:val="both"/>
      </w:pPr>
      <w:r w:rsidRPr="00C05614">
        <w:t xml:space="preserve">El </w:t>
      </w:r>
      <w:r w:rsidRPr="00C05614">
        <w:rPr>
          <w:b/>
          <w:u w:val="single"/>
        </w:rPr>
        <w:t xml:space="preserve">mayor precio </w:t>
      </w:r>
      <w:r w:rsidR="00C328FF">
        <w:rPr>
          <w:b/>
          <w:u w:val="single"/>
        </w:rPr>
        <w:t xml:space="preserve">total </w:t>
      </w:r>
      <w:r w:rsidRPr="00C05614">
        <w:rPr>
          <w:b/>
          <w:u w:val="single"/>
        </w:rPr>
        <w:t>ofrecido</w:t>
      </w:r>
      <w:r w:rsidR="00DE6368">
        <w:rPr>
          <w:b/>
          <w:u w:val="single"/>
        </w:rPr>
        <w:t xml:space="preserve"> (TOTAL GENERAL)</w:t>
      </w:r>
      <w:r w:rsidR="00B24580" w:rsidRPr="006E00C6">
        <w:t>,</w:t>
      </w:r>
      <w:r w:rsidR="00B24580">
        <w:rPr>
          <w:b/>
        </w:rPr>
        <w:t xml:space="preserve"> </w:t>
      </w:r>
      <w:r w:rsidR="00B24580" w:rsidRPr="00B24580">
        <w:t>tomando como base</w:t>
      </w:r>
      <w:r w:rsidR="00B24580">
        <w:rPr>
          <w:b/>
        </w:rPr>
        <w:t xml:space="preserve"> </w:t>
      </w:r>
      <w:r w:rsidRPr="00C05614">
        <w:t>e</w:t>
      </w:r>
      <w:r w:rsidR="00B24580">
        <w:t>l peso y</w:t>
      </w:r>
      <w:r w:rsidRPr="00C05614">
        <w:t xml:space="preserve"> valor de</w:t>
      </w:r>
      <w:r>
        <w:t>l avalúo</w:t>
      </w:r>
      <w:r w:rsidRPr="00C05614">
        <w:t>, será el factor decisivo para adjudicar.</w:t>
      </w:r>
      <w:r w:rsidR="00DE6368">
        <w:t xml:space="preserve"> </w:t>
      </w:r>
      <w:r w:rsidR="00B24580">
        <w:t>Este precio nunca podrá ser menor al importe total del avalúo.</w:t>
      </w:r>
      <w:r w:rsidRPr="00C05614">
        <w:t xml:space="preserve"> Cuando del análisis comparativo de ofertas admisibles se produzca un empate en cuanto al precio, el Departamento de Proveeduría seguirá un procedimiento de rifa, previa comunicación y convocatoria a los oferentes físicos o representantes legales de las empresas que se encuentr</w:t>
      </w:r>
      <w:r>
        <w:t>e</w:t>
      </w:r>
      <w:r w:rsidRPr="00C05614">
        <w:t>n en esta situación.</w:t>
      </w:r>
    </w:p>
    <w:p w:rsidR="00B24580" w:rsidRDefault="00B24580" w:rsidP="00B24580">
      <w:pPr>
        <w:pStyle w:val="Prrafodelista"/>
        <w:ind w:left="567"/>
        <w:jc w:val="both"/>
      </w:pPr>
    </w:p>
    <w:p w:rsidR="008D5B94" w:rsidRDefault="00B24580" w:rsidP="002A42DE">
      <w:pPr>
        <w:pStyle w:val="Prrafodelista"/>
        <w:numPr>
          <w:ilvl w:val="1"/>
          <w:numId w:val="12"/>
        </w:numPr>
        <w:ind w:left="567" w:hanging="567"/>
        <w:jc w:val="both"/>
      </w:pPr>
      <w:r>
        <w:t>En caso de que al momento de la adjudicación el BCCR mantenga una cantidad de monedas con un peso mayor al establecido en el avalúo,</w:t>
      </w:r>
      <w:r w:rsidR="008D5B94" w:rsidRPr="00C05614">
        <w:t xml:space="preserve"> </w:t>
      </w:r>
      <w:r>
        <w:t>el adjudicatario se compromete a adquirirlas al mismo precio ofertado.</w:t>
      </w:r>
    </w:p>
    <w:p w:rsidR="008D5B94" w:rsidRDefault="008D5B94" w:rsidP="008D5B94">
      <w:pPr>
        <w:pStyle w:val="Prrafodelista"/>
        <w:ind w:left="567"/>
        <w:jc w:val="both"/>
      </w:pPr>
    </w:p>
    <w:p w:rsidR="008D5B94" w:rsidRPr="00C05614" w:rsidRDefault="008D5B94" w:rsidP="008D5B94">
      <w:pPr>
        <w:jc w:val="both"/>
      </w:pPr>
    </w:p>
    <w:p w:rsidR="008D5B94" w:rsidRPr="00C05614" w:rsidRDefault="008D5B94" w:rsidP="008D5B94">
      <w:pPr>
        <w:numPr>
          <w:ilvl w:val="0"/>
          <w:numId w:val="1"/>
        </w:numPr>
        <w:ind w:left="360"/>
        <w:jc w:val="center"/>
        <w:rPr>
          <w:rFonts w:cs="Tahoma"/>
          <w:b/>
        </w:rPr>
      </w:pPr>
      <w:r w:rsidRPr="00C05614">
        <w:rPr>
          <w:rFonts w:cs="Tahoma"/>
          <w:b/>
        </w:rPr>
        <w:t>CONDICIONES GENERALES</w:t>
      </w:r>
    </w:p>
    <w:p w:rsidR="008D5B94" w:rsidRPr="00C05614" w:rsidRDefault="008D5B94" w:rsidP="008D5B94">
      <w:pPr>
        <w:suppressAutoHyphens/>
        <w:ind w:right="17"/>
        <w:jc w:val="both"/>
        <w:rPr>
          <w:rFonts w:cs="Tahoma"/>
        </w:rPr>
      </w:pPr>
    </w:p>
    <w:p w:rsidR="008D5B94" w:rsidRPr="00F84824" w:rsidRDefault="008D5B94" w:rsidP="00F84824">
      <w:pPr>
        <w:pStyle w:val="Prrafodelista"/>
        <w:numPr>
          <w:ilvl w:val="1"/>
          <w:numId w:val="13"/>
        </w:numPr>
        <w:ind w:left="567" w:hanging="567"/>
        <w:jc w:val="both"/>
        <w:rPr>
          <w:rFonts w:cs="Tahoma"/>
          <w:b/>
          <w:bCs/>
          <w:sz w:val="24"/>
          <w:szCs w:val="24"/>
        </w:rPr>
      </w:pPr>
      <w:r w:rsidRPr="00F84824">
        <w:rPr>
          <w:rFonts w:cs="Tahoma"/>
        </w:rPr>
        <w:t xml:space="preserve">La oferta deberá presentarse por escrito, en sobre cerrado y debidamente rotulado: </w:t>
      </w:r>
      <w:r w:rsidRPr="00F84824">
        <w:rPr>
          <w:rFonts w:cs="Tahoma"/>
          <w:i/>
        </w:rPr>
        <w:t>“</w:t>
      </w:r>
      <w:r w:rsidR="00F84824" w:rsidRPr="00F84824">
        <w:rPr>
          <w:rFonts w:cs="Tahoma"/>
          <w:bCs/>
          <w:i/>
          <w:sz w:val="24"/>
          <w:szCs w:val="24"/>
        </w:rPr>
        <w:t>VENTA DE MATERIAL EN MONEDAS DESMONETIZADAS POR EL BANCO CENTRAL DE COSTA RICA PARA SER FUNDIDAS</w:t>
      </w:r>
      <w:r w:rsidRPr="00F84824">
        <w:rPr>
          <w:rFonts w:cs="Tahoma"/>
          <w:i/>
        </w:rPr>
        <w:t>”</w:t>
      </w:r>
      <w:r w:rsidRPr="00F84824">
        <w:rPr>
          <w:rFonts w:cs="Tahoma"/>
        </w:rPr>
        <w:t>, en el Departamento de Proveeduría del BCCR, ubicado en el primer piso del Edificio Principal, avenida central y primera, calles 2 y 4. Cualquier documento que se genere producto de esta contratación o previo a la recepción de la oferta deberá ser dirigido al Departamento de Proveeduría.</w:t>
      </w:r>
    </w:p>
    <w:p w:rsidR="008D5B94" w:rsidRPr="00C05614" w:rsidRDefault="008D5B94" w:rsidP="008D5B94">
      <w:pPr>
        <w:jc w:val="both"/>
        <w:rPr>
          <w:rFonts w:cs="Tahoma"/>
        </w:rPr>
      </w:pPr>
    </w:p>
    <w:p w:rsidR="008D5B94" w:rsidRDefault="008D5B94" w:rsidP="000028B9">
      <w:pPr>
        <w:pStyle w:val="Prrafodelista"/>
        <w:numPr>
          <w:ilvl w:val="1"/>
          <w:numId w:val="13"/>
        </w:numPr>
        <w:ind w:left="567" w:hanging="567"/>
        <w:jc w:val="both"/>
        <w:rPr>
          <w:rFonts w:cs="Tahoma"/>
        </w:rPr>
      </w:pPr>
      <w:r w:rsidRPr="00C05614">
        <w:rPr>
          <w:rFonts w:cs="Tahoma"/>
        </w:rPr>
        <w:t xml:space="preserve">El oferente deberá precisar su número de cédula de identidad </w:t>
      </w:r>
      <w:proofErr w:type="spellStart"/>
      <w:r w:rsidRPr="00C05614">
        <w:rPr>
          <w:rFonts w:cs="Tahoma"/>
        </w:rPr>
        <w:t>ó</w:t>
      </w:r>
      <w:proofErr w:type="spellEnd"/>
      <w:r w:rsidRPr="00C05614">
        <w:rPr>
          <w:rFonts w:cs="Tahoma"/>
        </w:rPr>
        <w:t xml:space="preserve"> número de cédula jurídica, teléfono, fax, domicilio y dirección electrónica.</w:t>
      </w:r>
    </w:p>
    <w:p w:rsidR="008D5B94" w:rsidRPr="005549C1" w:rsidRDefault="008D5B94" w:rsidP="008D5B94">
      <w:pPr>
        <w:pStyle w:val="Prrafodelista"/>
        <w:rPr>
          <w:rFonts w:cs="Tahoma"/>
        </w:rPr>
      </w:pPr>
    </w:p>
    <w:p w:rsidR="008D5B94" w:rsidRPr="005549C1" w:rsidRDefault="008D5B94" w:rsidP="000028B9">
      <w:pPr>
        <w:pStyle w:val="Prrafodelista"/>
        <w:numPr>
          <w:ilvl w:val="1"/>
          <w:numId w:val="13"/>
        </w:numPr>
        <w:ind w:left="567" w:hanging="567"/>
        <w:jc w:val="both"/>
        <w:rPr>
          <w:rFonts w:cs="Tahoma"/>
        </w:rPr>
      </w:pPr>
      <w:r w:rsidRPr="005549C1">
        <w:rPr>
          <w:rFonts w:cs="Tahoma"/>
        </w:rPr>
        <w:t xml:space="preserve">La oferta se deberá redactar en idioma español, presentarse de manera ordenada y completa, sin manchas, tachaduras, borrones u otros defectos que la puedan hacer de difícil interpretación; las correcciones deben salvarse por nota. </w:t>
      </w:r>
    </w:p>
    <w:p w:rsidR="008D5B94" w:rsidRPr="005549C1" w:rsidRDefault="008D5B94" w:rsidP="008D5B94">
      <w:pPr>
        <w:jc w:val="both"/>
        <w:rPr>
          <w:rFonts w:cs="Tahoma"/>
        </w:rPr>
      </w:pPr>
    </w:p>
    <w:p w:rsidR="008D5B94" w:rsidRPr="005549C1" w:rsidRDefault="008D5B94" w:rsidP="000028B9">
      <w:pPr>
        <w:pStyle w:val="Prrafodelista"/>
        <w:numPr>
          <w:ilvl w:val="1"/>
          <w:numId w:val="13"/>
        </w:numPr>
        <w:ind w:left="567" w:hanging="567"/>
        <w:jc w:val="both"/>
        <w:rPr>
          <w:rFonts w:cs="Tahoma"/>
        </w:rPr>
      </w:pPr>
      <w:r w:rsidRPr="005549C1">
        <w:rPr>
          <w:rFonts w:cs="Tahoma"/>
        </w:rPr>
        <w:t xml:space="preserve">La oferta original y una copia de la misma deben ser identificadas respectivamente como documento “original” o bien “copia”, y estar firmadas por el oferente. Si la oferta se presenta en representación de una persona física o jurídica distinta, entonces debe indicarse el nombre y calidades de esa persona y a la vez, aportar el poder que lo autoriza para presentar la oferta, extendido por la persona que ostente la representación legal de la empresa en el caso de las personas jurídicas que compruebe lo anterior. </w:t>
      </w:r>
    </w:p>
    <w:p w:rsidR="008D5B94" w:rsidRPr="002C2887" w:rsidRDefault="008D5B94" w:rsidP="008D5B94">
      <w:pPr>
        <w:rPr>
          <w:rFonts w:cs="Tahoma"/>
          <w:b/>
        </w:rPr>
      </w:pPr>
      <w:bookmarkStart w:id="0" w:name="_Ref148344733"/>
    </w:p>
    <w:p w:rsidR="008D5B94" w:rsidRDefault="008D5B94" w:rsidP="000028B9">
      <w:pPr>
        <w:pStyle w:val="Prrafodelista"/>
        <w:numPr>
          <w:ilvl w:val="1"/>
          <w:numId w:val="13"/>
        </w:numPr>
        <w:ind w:left="567" w:hanging="567"/>
        <w:jc w:val="both"/>
        <w:rPr>
          <w:rFonts w:cs="Tahoma"/>
          <w:b/>
        </w:rPr>
      </w:pPr>
      <w:r w:rsidRPr="00C05614">
        <w:rPr>
          <w:rFonts w:cs="Tahoma"/>
          <w:b/>
        </w:rPr>
        <w:t>PRECIO OFERTADO:</w:t>
      </w:r>
      <w:bookmarkEnd w:id="0"/>
      <w:r w:rsidRPr="00C05614">
        <w:rPr>
          <w:rFonts w:cs="Tahoma"/>
          <w:b/>
        </w:rPr>
        <w:t xml:space="preserve">  </w:t>
      </w:r>
    </w:p>
    <w:p w:rsidR="008D5B94" w:rsidRPr="00C05614" w:rsidRDefault="008D5B94" w:rsidP="008D5B94">
      <w:pPr>
        <w:pStyle w:val="Prrafodelista"/>
        <w:ind w:left="567"/>
        <w:jc w:val="both"/>
        <w:rPr>
          <w:rFonts w:cs="Tahoma"/>
          <w:b/>
        </w:rPr>
      </w:pPr>
      <w:r w:rsidRPr="00C05614">
        <w:rPr>
          <w:rFonts w:cs="Tahoma"/>
          <w:b/>
        </w:rPr>
        <w:t xml:space="preserve">                                                                                                                                                                                                                                                                                                                                                                                                                                                                                                                                               </w:t>
      </w:r>
    </w:p>
    <w:p w:rsidR="008D5B94" w:rsidRPr="000028B9" w:rsidRDefault="008D5B94" w:rsidP="000028B9">
      <w:pPr>
        <w:pStyle w:val="Prrafodelista"/>
        <w:numPr>
          <w:ilvl w:val="2"/>
          <w:numId w:val="13"/>
        </w:numPr>
        <w:ind w:left="1276"/>
        <w:jc w:val="both"/>
        <w:rPr>
          <w:rFonts w:cs="Tahoma"/>
        </w:rPr>
      </w:pPr>
      <w:r w:rsidRPr="000028B9">
        <w:rPr>
          <w:rFonts w:cs="Tahoma"/>
        </w:rPr>
        <w:t>El valor asignado a</w:t>
      </w:r>
      <w:r w:rsidR="000028B9">
        <w:rPr>
          <w:rFonts w:cs="Tahoma"/>
        </w:rPr>
        <w:t xml:space="preserve">l material </w:t>
      </w:r>
      <w:r w:rsidRPr="000028B9">
        <w:rPr>
          <w:rFonts w:cs="Tahoma"/>
        </w:rPr>
        <w:t xml:space="preserve">en venta corresponde al avalúo administrativo practicado por el Ministerio de Hacienda. Por lo tanto, constituye la base de referencia sobre la cual el BCCR aceptará ofertas y no menos de ese valor, por lo que se escogerán las ofertas que superen ese valor. </w:t>
      </w:r>
    </w:p>
    <w:p w:rsidR="008D5B94" w:rsidRPr="00C05614" w:rsidRDefault="008D5B94" w:rsidP="000028B9">
      <w:pPr>
        <w:numPr>
          <w:ilvl w:val="2"/>
          <w:numId w:val="13"/>
        </w:numPr>
        <w:ind w:left="1276"/>
        <w:jc w:val="both"/>
        <w:rPr>
          <w:rFonts w:cs="Tahoma"/>
        </w:rPr>
      </w:pPr>
      <w:r w:rsidRPr="006531D1">
        <w:rPr>
          <w:rFonts w:cs="Tahoma"/>
        </w:rPr>
        <w:t>El precio se entenderá cierto y definitivo.</w:t>
      </w:r>
    </w:p>
    <w:p w:rsidR="008D5B94" w:rsidRPr="004F6062" w:rsidRDefault="008D5B94" w:rsidP="000028B9">
      <w:pPr>
        <w:numPr>
          <w:ilvl w:val="2"/>
          <w:numId w:val="13"/>
        </w:numPr>
        <w:ind w:left="1276"/>
        <w:jc w:val="both"/>
        <w:rPr>
          <w:rFonts w:cs="Tahoma"/>
        </w:rPr>
      </w:pPr>
      <w:r w:rsidRPr="00C05614">
        <w:rPr>
          <w:rFonts w:cs="Tahoma"/>
        </w:rPr>
        <w:lastRenderedPageBreak/>
        <w:t>Deberá consignarse en números y letras coincidentes. En caso de existir divergencias entre estas dos formas de expresión, prevalecerá la consignada en letras.</w:t>
      </w:r>
    </w:p>
    <w:p w:rsidR="008D5B94" w:rsidRDefault="008D5B94" w:rsidP="008D5B94">
      <w:pPr>
        <w:numPr>
          <w:ilvl w:val="2"/>
          <w:numId w:val="13"/>
        </w:numPr>
        <w:ind w:left="1276"/>
        <w:jc w:val="both"/>
        <w:rPr>
          <w:rFonts w:cs="Tahoma"/>
        </w:rPr>
      </w:pPr>
      <w:r w:rsidRPr="008D5614">
        <w:rPr>
          <w:rFonts w:cs="Tahoma"/>
        </w:rPr>
        <w:t>El BCCR contestará las aclaraciones que se soliciten como máximo cinco días</w:t>
      </w:r>
      <w:r>
        <w:rPr>
          <w:rFonts w:cs="Tahoma"/>
        </w:rPr>
        <w:t xml:space="preserve"> hábiles</w:t>
      </w:r>
      <w:r w:rsidRPr="008D5614">
        <w:rPr>
          <w:rFonts w:cs="Tahoma"/>
        </w:rPr>
        <w:t xml:space="preserve"> previos al cierre del plazo establecido para presentar las ofertas respectivas.</w:t>
      </w:r>
    </w:p>
    <w:p w:rsidR="00DF2508" w:rsidRPr="00945BA1" w:rsidRDefault="00DF2508" w:rsidP="00DF2508">
      <w:pPr>
        <w:ind w:left="1276"/>
        <w:jc w:val="both"/>
        <w:rPr>
          <w:rFonts w:cs="Tahoma"/>
        </w:rPr>
      </w:pPr>
    </w:p>
    <w:p w:rsidR="008D5B94" w:rsidRPr="00C05614" w:rsidRDefault="008D5B94" w:rsidP="008D5B94">
      <w:pPr>
        <w:numPr>
          <w:ilvl w:val="0"/>
          <w:numId w:val="1"/>
        </w:numPr>
        <w:ind w:left="360"/>
        <w:jc w:val="center"/>
        <w:rPr>
          <w:rFonts w:cs="Tahoma"/>
          <w:b/>
          <w:bCs/>
        </w:rPr>
      </w:pPr>
      <w:r w:rsidRPr="00C05614">
        <w:rPr>
          <w:rFonts w:cs="Tahoma"/>
          <w:b/>
          <w:bCs/>
        </w:rPr>
        <w:t>ASPECTOS LEGALES</w:t>
      </w:r>
    </w:p>
    <w:p w:rsidR="008D5B94" w:rsidRPr="00C05614" w:rsidRDefault="008D5B94" w:rsidP="008D5B94">
      <w:pPr>
        <w:jc w:val="center"/>
        <w:rPr>
          <w:rFonts w:cs="Tahoma"/>
          <w:b/>
          <w:bCs/>
        </w:rPr>
      </w:pPr>
    </w:p>
    <w:p w:rsidR="008D5B94" w:rsidRPr="00C05614" w:rsidRDefault="008D5B94" w:rsidP="008D5B94">
      <w:pPr>
        <w:ind w:right="-91"/>
        <w:jc w:val="both"/>
        <w:rPr>
          <w:rFonts w:cs="Tahoma"/>
          <w:b/>
          <w:bCs/>
        </w:rPr>
      </w:pPr>
      <w:r w:rsidRPr="00C05614">
        <w:rPr>
          <w:rFonts w:cs="Tahoma"/>
        </w:rPr>
        <w:t xml:space="preserve">Los participantes </w:t>
      </w:r>
      <w:r>
        <w:rPr>
          <w:rFonts w:cs="Tahoma"/>
        </w:rPr>
        <w:t>en</w:t>
      </w:r>
      <w:r w:rsidRPr="00C05614">
        <w:rPr>
          <w:rFonts w:cs="Tahoma"/>
        </w:rPr>
        <w:t xml:space="preserve"> esta </w:t>
      </w:r>
      <w:r>
        <w:rPr>
          <w:rFonts w:cs="Tahoma"/>
        </w:rPr>
        <w:t>contratación</w:t>
      </w:r>
      <w:r w:rsidRPr="00C05614">
        <w:rPr>
          <w:rFonts w:cs="Tahoma"/>
        </w:rPr>
        <w:t xml:space="preserve"> deberán cumplir con los siguientes aspectos:</w:t>
      </w:r>
    </w:p>
    <w:p w:rsidR="008D5B94" w:rsidRPr="00C05614" w:rsidRDefault="008D5B94" w:rsidP="008D5B94">
      <w:pPr>
        <w:rPr>
          <w:rFonts w:cs="Tahoma"/>
          <w:b/>
          <w:bCs/>
        </w:rPr>
      </w:pPr>
    </w:p>
    <w:p w:rsidR="008D5B94" w:rsidRPr="000028B9" w:rsidRDefault="008D5B94" w:rsidP="000028B9">
      <w:pPr>
        <w:pStyle w:val="Prrafodelista"/>
        <w:numPr>
          <w:ilvl w:val="1"/>
          <w:numId w:val="14"/>
        </w:numPr>
        <w:ind w:left="567" w:hanging="567"/>
        <w:jc w:val="both"/>
        <w:rPr>
          <w:rFonts w:cs="Tahoma"/>
          <w:b/>
          <w:bCs/>
        </w:rPr>
      </w:pPr>
      <w:r w:rsidRPr="000028B9">
        <w:rPr>
          <w:rFonts w:cs="Tahoma"/>
          <w:b/>
          <w:bCs/>
        </w:rPr>
        <w:t>VIGENCIA DE LA OFERTA:</w:t>
      </w:r>
      <w:r w:rsidRPr="000028B9">
        <w:rPr>
          <w:rFonts w:cs="Tahoma"/>
        </w:rPr>
        <w:t xml:space="preserve"> El oferente deberá indicar la vigencia de su oferta. Sin embargo, en ningún caso ésta podrá ser inferior a </w:t>
      </w:r>
      <w:r w:rsidRPr="000028B9">
        <w:rPr>
          <w:rFonts w:cs="Tahoma"/>
          <w:b/>
        </w:rPr>
        <w:t>treinta (30) días hábiles</w:t>
      </w:r>
      <w:r w:rsidRPr="000028B9">
        <w:rPr>
          <w:rFonts w:cs="Tahoma"/>
        </w:rPr>
        <w:t>, contado a partir de la fecha señalada para la apertura de las ofertas.</w:t>
      </w:r>
    </w:p>
    <w:p w:rsidR="008D5B94" w:rsidRPr="00C05614" w:rsidRDefault="008D5B94" w:rsidP="008D5B94">
      <w:pPr>
        <w:widowControl w:val="0"/>
        <w:jc w:val="both"/>
        <w:rPr>
          <w:rFonts w:cs="Tahoma"/>
        </w:rPr>
      </w:pPr>
    </w:p>
    <w:p w:rsidR="008D5B94" w:rsidRPr="00120E84" w:rsidRDefault="008D5B94" w:rsidP="00857922">
      <w:pPr>
        <w:pStyle w:val="Prrafodelista"/>
        <w:numPr>
          <w:ilvl w:val="1"/>
          <w:numId w:val="14"/>
        </w:numPr>
        <w:ind w:left="567" w:hanging="567"/>
        <w:jc w:val="both"/>
        <w:rPr>
          <w:rFonts w:cs="Tahoma"/>
        </w:rPr>
      </w:pPr>
      <w:r>
        <w:rPr>
          <w:rFonts w:cs="Tahoma"/>
          <w:b/>
        </w:rPr>
        <w:t>CERTIFICACIÓN</w:t>
      </w:r>
      <w:r w:rsidRPr="00C05614">
        <w:rPr>
          <w:rFonts w:cs="Tahoma"/>
          <w:b/>
        </w:rPr>
        <w:t>:</w:t>
      </w:r>
      <w:r>
        <w:rPr>
          <w:rFonts w:cs="Tahoma"/>
          <w:b/>
        </w:rPr>
        <w:t xml:space="preserve"> </w:t>
      </w:r>
      <w:r>
        <w:rPr>
          <w:rFonts w:cs="Tahoma"/>
        </w:rPr>
        <w:t xml:space="preserve">Las </w:t>
      </w:r>
      <w:r w:rsidRPr="00C05614">
        <w:rPr>
          <w:rFonts w:cs="Tahoma"/>
        </w:rPr>
        <w:t>personas jurídicas oferentes</w:t>
      </w:r>
      <w:r>
        <w:rPr>
          <w:rFonts w:cs="Tahoma"/>
        </w:rPr>
        <w:t xml:space="preserve"> deberán presentar la c</w:t>
      </w:r>
      <w:r w:rsidRPr="00120E84">
        <w:rPr>
          <w:rFonts w:cs="Tahoma"/>
        </w:rPr>
        <w:t xml:space="preserve">ertificación de la personería jurídica. Cuando se trata de una sociedad costarricense colectiva, en comandita, anónima o de responsabilidad limitada, deberá acompañar con su propuesta una CERTIFICACIÓN PÚBLICA SOBRE </w:t>
      </w:r>
      <w:smartTag w:uri="urn:schemas-microsoft-com:office:smarttags" w:element="PersonName">
        <w:smartTagPr>
          <w:attr w:name="ProductID" w:val="LA NATURALEZA Y"/>
        </w:smartTagPr>
        <w:r w:rsidRPr="00120E84">
          <w:rPr>
            <w:rFonts w:cs="Tahoma"/>
          </w:rPr>
          <w:t>LA NATURALEZA Y</w:t>
        </w:r>
      </w:smartTag>
      <w:r w:rsidRPr="00120E84">
        <w:rPr>
          <w:rFonts w:cs="Tahoma"/>
        </w:rPr>
        <w:t xml:space="preserve"> PROPIEDAD DE SUS CUOTAS O ACCIONES.</w:t>
      </w:r>
    </w:p>
    <w:p w:rsidR="008D5B94" w:rsidRPr="00C05614" w:rsidRDefault="008D5B94" w:rsidP="008D5B94">
      <w:pPr>
        <w:widowControl w:val="0"/>
        <w:jc w:val="both"/>
        <w:rPr>
          <w:rFonts w:cs="Tahoma"/>
        </w:rPr>
      </w:pPr>
    </w:p>
    <w:p w:rsidR="008D5B94" w:rsidRDefault="008D5B94" w:rsidP="00857922">
      <w:pPr>
        <w:pStyle w:val="Prrafodelista"/>
        <w:numPr>
          <w:ilvl w:val="1"/>
          <w:numId w:val="14"/>
        </w:numPr>
        <w:ind w:left="567" w:hanging="567"/>
        <w:jc w:val="both"/>
        <w:rPr>
          <w:rFonts w:cs="Tahoma"/>
        </w:rPr>
      </w:pPr>
      <w:r w:rsidRPr="00C05614">
        <w:rPr>
          <w:rFonts w:cs="Tahoma"/>
          <w:b/>
        </w:rPr>
        <w:t xml:space="preserve">DECLARACIÓN JURADA: </w:t>
      </w:r>
      <w:r w:rsidRPr="002C2887">
        <w:rPr>
          <w:rFonts w:cs="Tahoma"/>
        </w:rPr>
        <w:t xml:space="preserve">La oferta deberá contener una declaración jurada del oferente que indique: Que no le alcanza alguna de las prohibiciones que prevén los artículo 22 y 22 bis de la L.C.A. y 65 del R.L.C.A. </w:t>
      </w:r>
    </w:p>
    <w:p w:rsidR="008D5B94" w:rsidRDefault="008D5B94" w:rsidP="008D5B94">
      <w:pPr>
        <w:ind w:left="567"/>
        <w:jc w:val="both"/>
        <w:rPr>
          <w:rFonts w:cs="Tahoma"/>
          <w:b/>
        </w:rPr>
      </w:pPr>
    </w:p>
    <w:p w:rsidR="008D5B94" w:rsidRDefault="008D5B94" w:rsidP="008D5B94">
      <w:pPr>
        <w:ind w:left="567"/>
        <w:jc w:val="both"/>
        <w:rPr>
          <w:rFonts w:cs="Tahoma"/>
        </w:rPr>
      </w:pPr>
      <w:r w:rsidRPr="002C2887">
        <w:rPr>
          <w:rFonts w:cs="Tahoma"/>
        </w:rPr>
        <w:t xml:space="preserve">Si en el transcurso del análisis de las ofertas se llegare a tener duda del cumplimiento de esta obligación, el BCCR se encuentra facultado a realizar las investigaciones que corresponda, para lo cual el oferente libera de cualquier tipo de responsabilidad al BCCR, en cuanto a las acciones que emprenda para determinar la veracidad de la información señalada en la oferta. </w:t>
      </w:r>
    </w:p>
    <w:p w:rsidR="008D5B94" w:rsidRPr="00C05614" w:rsidRDefault="008D5B94" w:rsidP="008D5B94">
      <w:pPr>
        <w:pStyle w:val="Prrafodelista"/>
        <w:ind w:left="567"/>
        <w:jc w:val="both"/>
        <w:rPr>
          <w:rFonts w:cs="Tahoma"/>
        </w:rPr>
      </w:pPr>
    </w:p>
    <w:p w:rsidR="008D5B94" w:rsidRDefault="008D5B94" w:rsidP="00857922">
      <w:pPr>
        <w:pStyle w:val="Prrafodelista"/>
        <w:numPr>
          <w:ilvl w:val="1"/>
          <w:numId w:val="14"/>
        </w:numPr>
        <w:ind w:left="567" w:hanging="567"/>
        <w:jc w:val="both"/>
        <w:rPr>
          <w:rFonts w:cs="Tahoma"/>
        </w:rPr>
      </w:pPr>
      <w:r w:rsidRPr="00C05614">
        <w:rPr>
          <w:rFonts w:cs="Tahoma"/>
          <w:b/>
        </w:rPr>
        <w:t xml:space="preserve">DISPOSICIONES NORMATIVAS: </w:t>
      </w:r>
      <w:r w:rsidRPr="00C05614">
        <w:rPr>
          <w:rFonts w:cs="Tahoma"/>
        </w:rPr>
        <w:t xml:space="preserve">En la presente solicitud rigen las disposiciones normativas contenidas en las siguientes regulaciones: Ley #6227 Ley General de la Administración Pública, Ley #7494 Ley de Contratación Administrativa, Decreto Ejecutivo #33411-H del Reglamento a la Ley de Contratación Administrativa, </w:t>
      </w:r>
      <w:r>
        <w:rPr>
          <w:rFonts w:cs="Tahoma"/>
        </w:rPr>
        <w:t xml:space="preserve">Ley #7600 Igualdad de oportunidades para las personas con discapacidad en Costa Rica </w:t>
      </w:r>
      <w:r w:rsidRPr="00C05614">
        <w:rPr>
          <w:rFonts w:cs="Tahoma"/>
        </w:rPr>
        <w:t>y demás cuerpos legales que por su conexión u otras razones jurídicas sean aplicables.</w:t>
      </w:r>
      <w:r>
        <w:rPr>
          <w:rFonts w:cs="Tahoma"/>
        </w:rPr>
        <w:t xml:space="preserve"> </w:t>
      </w:r>
    </w:p>
    <w:p w:rsidR="008D5B94" w:rsidRDefault="008D5B94" w:rsidP="008D5B94">
      <w:pPr>
        <w:pStyle w:val="Prrafodelista"/>
        <w:ind w:left="567"/>
        <w:jc w:val="both"/>
        <w:rPr>
          <w:rFonts w:cs="Tahoma"/>
        </w:rPr>
      </w:pPr>
    </w:p>
    <w:p w:rsidR="008D5B94" w:rsidRPr="00901154" w:rsidRDefault="008D5B94" w:rsidP="008D5B94">
      <w:pPr>
        <w:pStyle w:val="Prrafodelista"/>
        <w:ind w:left="567"/>
        <w:jc w:val="both"/>
        <w:rPr>
          <w:rFonts w:cs="Tahoma"/>
        </w:rPr>
      </w:pPr>
    </w:p>
    <w:p w:rsidR="008D5B94" w:rsidRPr="00C05614" w:rsidRDefault="008D5B94" w:rsidP="008D5B94">
      <w:pPr>
        <w:numPr>
          <w:ilvl w:val="0"/>
          <w:numId w:val="1"/>
        </w:numPr>
        <w:ind w:left="360"/>
        <w:jc w:val="center"/>
        <w:rPr>
          <w:rFonts w:cs="Tahoma"/>
          <w:b/>
        </w:rPr>
      </w:pPr>
      <w:r w:rsidRPr="00C05614">
        <w:rPr>
          <w:rFonts w:cs="Tahoma"/>
          <w:b/>
        </w:rPr>
        <w:t>DEL ADJUDICATARIO O CONTRATISTA</w:t>
      </w:r>
    </w:p>
    <w:p w:rsidR="008D5B94" w:rsidRPr="00C05614" w:rsidRDefault="008D5B94" w:rsidP="008D5B94">
      <w:pPr>
        <w:widowControl w:val="0"/>
        <w:jc w:val="both"/>
        <w:rPr>
          <w:rFonts w:cs="Tahoma"/>
          <w:lang w:val="es-ES"/>
        </w:rPr>
      </w:pPr>
    </w:p>
    <w:p w:rsidR="008D5B94" w:rsidRPr="00C05614" w:rsidRDefault="008D5B94" w:rsidP="008D5B94">
      <w:pPr>
        <w:widowControl w:val="0"/>
        <w:jc w:val="both"/>
        <w:rPr>
          <w:rFonts w:cs="Tahoma"/>
        </w:rPr>
      </w:pPr>
      <w:r w:rsidRPr="00C05614">
        <w:rPr>
          <w:rFonts w:cs="Tahoma"/>
        </w:rPr>
        <w:t xml:space="preserve">Una vez en firme el acto de adjudicación el </w:t>
      </w:r>
      <w:r>
        <w:rPr>
          <w:rFonts w:cs="Tahoma"/>
        </w:rPr>
        <w:t>Adjudicatario</w:t>
      </w:r>
      <w:r w:rsidRPr="00C05614">
        <w:rPr>
          <w:rFonts w:cs="Tahoma"/>
        </w:rPr>
        <w:t xml:space="preserve"> deberá tomar en cuenta lo siguiente:</w:t>
      </w:r>
    </w:p>
    <w:p w:rsidR="008D5B94" w:rsidRPr="00C05614" w:rsidRDefault="008D5B94" w:rsidP="008D5B94">
      <w:pPr>
        <w:widowControl w:val="0"/>
        <w:jc w:val="both"/>
        <w:rPr>
          <w:rFonts w:cs="Tahoma"/>
          <w:b/>
          <w:snapToGrid w:val="0"/>
        </w:rPr>
      </w:pPr>
    </w:p>
    <w:p w:rsidR="00B06C42" w:rsidRDefault="00B06C42" w:rsidP="00B06C42">
      <w:pPr>
        <w:pStyle w:val="Prrafodelista"/>
        <w:numPr>
          <w:ilvl w:val="1"/>
          <w:numId w:val="15"/>
        </w:numPr>
        <w:ind w:left="567" w:hanging="567"/>
        <w:jc w:val="both"/>
        <w:rPr>
          <w:rFonts w:cs="Tahoma"/>
        </w:rPr>
      </w:pPr>
      <w:r w:rsidRPr="000B7BDB">
        <w:rPr>
          <w:rFonts w:cs="Tahoma"/>
          <w:b/>
        </w:rPr>
        <w:lastRenderedPageBreak/>
        <w:t>GARANTÍA DE CUMPLIMIENTO:</w:t>
      </w:r>
      <w:r w:rsidRPr="000B7BDB">
        <w:rPr>
          <w:rFonts w:cs="Tahoma"/>
        </w:rPr>
        <w:t xml:space="preserve"> El Contratista deberá presentar un monto </w:t>
      </w:r>
      <w:r w:rsidRPr="000B7BDB">
        <w:rPr>
          <w:rFonts w:cs="Tahoma"/>
          <w:b/>
        </w:rPr>
        <w:t>¢</w:t>
      </w:r>
      <w:r>
        <w:rPr>
          <w:rFonts w:cs="Tahoma"/>
          <w:b/>
        </w:rPr>
        <w:t>1</w:t>
      </w:r>
      <w:r w:rsidRPr="000B7BDB">
        <w:rPr>
          <w:rFonts w:cs="Tahoma"/>
          <w:b/>
        </w:rPr>
        <w:t>.</w:t>
      </w:r>
      <w:r>
        <w:rPr>
          <w:rFonts w:cs="Tahoma"/>
          <w:b/>
        </w:rPr>
        <w:t>65</w:t>
      </w:r>
      <w:r w:rsidRPr="000B7BDB">
        <w:rPr>
          <w:rFonts w:cs="Tahoma"/>
          <w:b/>
        </w:rPr>
        <w:t>0.000.00 (</w:t>
      </w:r>
      <w:r>
        <w:rPr>
          <w:rFonts w:cs="Tahoma"/>
          <w:b/>
        </w:rPr>
        <w:t xml:space="preserve">un millón seiscientos </w:t>
      </w:r>
      <w:r w:rsidRPr="000B7BDB">
        <w:rPr>
          <w:rFonts w:cs="Tahoma"/>
          <w:b/>
        </w:rPr>
        <w:t>colones)</w:t>
      </w:r>
      <w:r w:rsidRPr="000B7BDB">
        <w:rPr>
          <w:rFonts w:cs="Tahoma"/>
        </w:rPr>
        <w:t xml:space="preserve"> del total adjudicado como garantía de cumplimiento. </w:t>
      </w:r>
      <w:r w:rsidRPr="00D01EDE">
        <w:rPr>
          <w:rFonts w:cs="Tahoma"/>
        </w:rPr>
        <w:t xml:space="preserve">La garantía de cumplimiento deberá tener una vigencia mínima </w:t>
      </w:r>
      <w:r>
        <w:rPr>
          <w:rFonts w:cs="Tahoma"/>
        </w:rPr>
        <w:t>de cinco meses a partir del retiro del material.</w:t>
      </w:r>
    </w:p>
    <w:p w:rsidR="00B06C42" w:rsidRDefault="00B06C42" w:rsidP="00B06C42">
      <w:pPr>
        <w:pStyle w:val="Prrafodelista"/>
        <w:ind w:left="567"/>
        <w:jc w:val="both"/>
        <w:rPr>
          <w:rFonts w:cs="Tahoma"/>
        </w:rPr>
      </w:pPr>
    </w:p>
    <w:p w:rsidR="00B06C42" w:rsidRDefault="00B06C42" w:rsidP="00B06C42">
      <w:pPr>
        <w:pStyle w:val="Prrafodelista"/>
        <w:spacing w:after="120"/>
        <w:ind w:left="567"/>
        <w:jc w:val="both"/>
        <w:rPr>
          <w:rFonts w:cs="Tahoma"/>
        </w:rPr>
      </w:pPr>
      <w:r w:rsidRPr="00D01EDE">
        <w:rPr>
          <w:rFonts w:cs="Tahoma"/>
        </w:rPr>
        <w:t>Cuando la garantía es rendida en dinero en efectivo, cheque certificado o cheque de gerencia, el oferente deberá presentarla cuando corresponda y antes del retiro de la Orden de Compra en el Área de Cajas en el primer piso del edificio principal del BCCR, y entregar copia del recibo emitido al Departamento de Proveeduría. En el caso de presentación de bonos, certificados a plazo, o carta de garantía el oferente deberá de entregarlos cuando corresponda y antes del retiro de la Orden de Compra en el</w:t>
      </w:r>
      <w:r>
        <w:rPr>
          <w:rFonts w:cs="Tahoma"/>
        </w:rPr>
        <w:t xml:space="preserve"> Departamento de Proveeduría.  </w:t>
      </w:r>
    </w:p>
    <w:p w:rsidR="00B06C42" w:rsidRPr="00D01EDE" w:rsidRDefault="00B06C42" w:rsidP="00B06C42">
      <w:pPr>
        <w:ind w:left="567"/>
        <w:jc w:val="both"/>
        <w:rPr>
          <w:rFonts w:cs="Tahoma"/>
        </w:rPr>
      </w:pPr>
    </w:p>
    <w:p w:rsidR="00B06C42" w:rsidRPr="00D01EDE" w:rsidRDefault="00B06C42" w:rsidP="00B06C42">
      <w:pPr>
        <w:ind w:left="567"/>
        <w:jc w:val="both"/>
      </w:pPr>
      <w:r w:rsidRPr="00D01EDE">
        <w:t xml:space="preserve">En caso de rendir la garantía con bonos o certificados, éstos se recibirán por su valor de mercado y deberán acompañarse de una estimación efectuada por un operador de alguna de las bolsas de valores legalmente reconocidas. Se exceptúan de la obligación de presentar esta estimación, los certificados de depósito a plazo emitidos por los Bancos estatales, cuyo vencimiento ocurra dentro del mes siguiente a la fecha en que se presenta o en los casos que se presenten garantías con un mayor monto, el cual deberá ser igual o mayor en un 0.03 % del porcentaje fijado por la Administración para garantizar la presente contratación. </w:t>
      </w:r>
    </w:p>
    <w:p w:rsidR="00B06C42" w:rsidRPr="00D01EDE" w:rsidRDefault="00B06C42" w:rsidP="00B06C42">
      <w:pPr>
        <w:ind w:left="567"/>
        <w:jc w:val="both"/>
      </w:pPr>
    </w:p>
    <w:p w:rsidR="00B06C42" w:rsidRPr="00D01EDE" w:rsidRDefault="00B06C42" w:rsidP="00B06C42">
      <w:pPr>
        <w:ind w:left="567"/>
        <w:jc w:val="both"/>
      </w:pPr>
      <w:r w:rsidRPr="00D01EDE">
        <w:t xml:space="preserve">Si la entrega del objeto contractual, se atrasa por motivos imputables al contratista, la vigencia de dicha garantía debe ampliarse y el costo de la prórroga correrá por cuenta del contratista. </w:t>
      </w:r>
    </w:p>
    <w:p w:rsidR="00B06C42" w:rsidRPr="00D01EDE" w:rsidRDefault="00B06C42" w:rsidP="00B06C42">
      <w:pPr>
        <w:ind w:left="567"/>
        <w:jc w:val="both"/>
      </w:pPr>
    </w:p>
    <w:p w:rsidR="00B06C42" w:rsidRPr="00D01EDE" w:rsidRDefault="00B06C42" w:rsidP="00B06C42">
      <w:pPr>
        <w:ind w:left="567"/>
        <w:jc w:val="both"/>
      </w:pPr>
      <w:r w:rsidRPr="00D01EDE">
        <w:t xml:space="preserve">No se reconocerán intereses por las garantías mantenidas en depósito en efectivo por el Banco. En estos casos, cuando el contratista no solicitare el retiro de la garantía dentro de los 12 (doce) meses siguientes a la fecha en que la vigencia del contrato expire, el BCCR procederá a registrar el monto en efectivo correspondiente a esta garantía, como un activo. </w:t>
      </w:r>
    </w:p>
    <w:p w:rsidR="00B06C42" w:rsidRPr="00D01EDE" w:rsidRDefault="00B06C42" w:rsidP="00B06C42">
      <w:pPr>
        <w:ind w:left="567"/>
        <w:jc w:val="both"/>
      </w:pPr>
    </w:p>
    <w:p w:rsidR="00B06C42" w:rsidRPr="00D01EDE" w:rsidRDefault="00B06C42" w:rsidP="00B06C42">
      <w:pPr>
        <w:ind w:left="567"/>
        <w:jc w:val="both"/>
      </w:pPr>
      <w:r w:rsidRPr="00D01EDE">
        <w:t xml:space="preserve">A solicitud del contratista, se admitirá la devolución parcial de la garantía, según el porcentaje de cumplimiento satisfactorio debidamente aprobado por el EGC, lo anterior con fundamento en el artículo 45 del R.L.C.A. </w:t>
      </w:r>
    </w:p>
    <w:p w:rsidR="00B06C42" w:rsidRPr="00D01EDE" w:rsidRDefault="00B06C42" w:rsidP="00B06C42">
      <w:pPr>
        <w:ind w:left="567"/>
        <w:jc w:val="both"/>
        <w:rPr>
          <w:rFonts w:cs="Tahoma"/>
        </w:rPr>
      </w:pPr>
    </w:p>
    <w:p w:rsidR="00B06C42" w:rsidRDefault="00B06C42" w:rsidP="00B06C42">
      <w:pPr>
        <w:ind w:left="567"/>
        <w:jc w:val="both"/>
        <w:rPr>
          <w:rFonts w:cs="Tahoma"/>
        </w:rPr>
      </w:pPr>
      <w:r w:rsidRPr="00D01EDE">
        <w:rPr>
          <w:rFonts w:cs="Tahoma"/>
        </w:rPr>
        <w:t>La garantía de cumplimiento se regirá por las disposiciones contenidas en los artículos 37 a 45 del R.L.C.A.</w:t>
      </w:r>
    </w:p>
    <w:p w:rsidR="00B06C42" w:rsidRPr="00B06C42" w:rsidRDefault="00B06C42" w:rsidP="00B06C42">
      <w:pPr>
        <w:pStyle w:val="Prrafodelista"/>
        <w:ind w:left="567"/>
        <w:jc w:val="both"/>
        <w:rPr>
          <w:rFonts w:cs="Tahoma"/>
        </w:rPr>
      </w:pPr>
    </w:p>
    <w:p w:rsidR="008D5B94" w:rsidRPr="00857922" w:rsidRDefault="008D5B94" w:rsidP="00857922">
      <w:pPr>
        <w:pStyle w:val="Prrafodelista"/>
        <w:numPr>
          <w:ilvl w:val="1"/>
          <w:numId w:val="15"/>
        </w:numPr>
        <w:ind w:left="567" w:hanging="567"/>
        <w:jc w:val="both"/>
        <w:rPr>
          <w:rFonts w:cs="Tahoma"/>
        </w:rPr>
      </w:pPr>
      <w:r w:rsidRPr="00857922">
        <w:rPr>
          <w:rFonts w:cs="Tahoma"/>
          <w:b/>
        </w:rPr>
        <w:t>CONDICIONES DE PAGO:</w:t>
      </w:r>
      <w:r w:rsidRPr="00857922">
        <w:rPr>
          <w:rFonts w:cs="Tahoma"/>
          <w:lang w:val="es-ES"/>
        </w:rPr>
        <w:t xml:space="preserve"> El adjudicatario deberá depositar el monto adjudicado en un plazo de 5 (cinco) días hábiles siguientes a la firmeza de la adjudicación. De no realizarse el pago en el tiempo solicitado, se </w:t>
      </w:r>
      <w:proofErr w:type="spellStart"/>
      <w:r w:rsidRPr="00857922">
        <w:rPr>
          <w:rFonts w:cs="Tahoma"/>
          <w:lang w:val="es-ES"/>
        </w:rPr>
        <w:t>readjudicará</w:t>
      </w:r>
      <w:proofErr w:type="spellEnd"/>
      <w:r w:rsidRPr="00857922">
        <w:rPr>
          <w:rFonts w:cs="Tahoma"/>
          <w:lang w:val="es-ES"/>
        </w:rPr>
        <w:t xml:space="preserve"> el </w:t>
      </w:r>
      <w:r w:rsidR="00857922">
        <w:rPr>
          <w:rFonts w:cs="Tahoma"/>
          <w:lang w:val="es-ES"/>
        </w:rPr>
        <w:t>material</w:t>
      </w:r>
      <w:r w:rsidRPr="00857922">
        <w:rPr>
          <w:rFonts w:cs="Tahoma"/>
          <w:lang w:val="es-ES"/>
        </w:rPr>
        <w:t xml:space="preserve"> a la oferta que ocupó el segundo lugar y así sucesivamente, respetando siempre que la cotización sea igual o superior al precio del </w:t>
      </w:r>
      <w:r w:rsidR="00857922" w:rsidRPr="00857922">
        <w:rPr>
          <w:rFonts w:cs="Tahoma"/>
          <w:lang w:val="es-ES"/>
        </w:rPr>
        <w:t>avalúo</w:t>
      </w:r>
      <w:r w:rsidRPr="00857922">
        <w:rPr>
          <w:rFonts w:cs="Tahoma"/>
          <w:lang w:val="es-ES"/>
        </w:rPr>
        <w:t xml:space="preserve">.   </w:t>
      </w:r>
    </w:p>
    <w:p w:rsidR="008D5B94" w:rsidRDefault="008D5B94" w:rsidP="008D5B94">
      <w:pPr>
        <w:pStyle w:val="Prrafodelista"/>
        <w:ind w:left="567"/>
        <w:jc w:val="both"/>
        <w:rPr>
          <w:rFonts w:cs="Tahoma"/>
        </w:rPr>
      </w:pPr>
    </w:p>
    <w:p w:rsidR="008D5B94" w:rsidRPr="00626B6A" w:rsidRDefault="008D5B94" w:rsidP="008D5B94">
      <w:pPr>
        <w:ind w:left="567"/>
        <w:jc w:val="both"/>
        <w:rPr>
          <w:rFonts w:cs="Tahoma"/>
        </w:rPr>
      </w:pPr>
      <w:r>
        <w:rPr>
          <w:rFonts w:cs="Tahoma"/>
        </w:rPr>
        <w:lastRenderedPageBreak/>
        <w:t xml:space="preserve">Para que el contratista </w:t>
      </w:r>
      <w:r w:rsidRPr="00626B6A">
        <w:rPr>
          <w:rFonts w:cs="Tahoma"/>
        </w:rPr>
        <w:t>logre</w:t>
      </w:r>
      <w:r>
        <w:rPr>
          <w:rFonts w:cs="Tahoma"/>
        </w:rPr>
        <w:t xml:space="preserve"> </w:t>
      </w:r>
      <w:r w:rsidRPr="00626B6A">
        <w:rPr>
          <w:rFonts w:cs="Tahoma"/>
        </w:rPr>
        <w:t xml:space="preserve">transferir </w:t>
      </w:r>
      <w:r>
        <w:rPr>
          <w:rFonts w:cs="Tahoma"/>
        </w:rPr>
        <w:t xml:space="preserve">los </w:t>
      </w:r>
      <w:r w:rsidRPr="00626B6A">
        <w:rPr>
          <w:rFonts w:cs="Tahoma"/>
        </w:rPr>
        <w:t>fondos en col</w:t>
      </w:r>
      <w:r>
        <w:rPr>
          <w:rFonts w:cs="Tahoma"/>
        </w:rPr>
        <w:t>ones electrónicamente al BCCR, podrán realizar la transferencia desde su banco comercial (</w:t>
      </w:r>
      <w:r w:rsidRPr="00626B6A">
        <w:rPr>
          <w:rFonts w:cs="Tahoma"/>
          <w:b/>
        </w:rPr>
        <w:t>a.</w:t>
      </w:r>
      <w:r>
        <w:rPr>
          <w:rFonts w:cs="Tahoma"/>
        </w:rPr>
        <w:t xml:space="preserve">) o bien personalmente </w:t>
      </w:r>
      <w:proofErr w:type="spellStart"/>
      <w:r>
        <w:rPr>
          <w:rFonts w:cs="Tahoma"/>
        </w:rPr>
        <w:t>accesando</w:t>
      </w:r>
      <w:proofErr w:type="spellEnd"/>
      <w:r>
        <w:rPr>
          <w:rFonts w:cs="Tahoma"/>
        </w:rPr>
        <w:t xml:space="preserve"> el sitio web del banco comercial (</w:t>
      </w:r>
      <w:r w:rsidRPr="00B45953">
        <w:rPr>
          <w:rFonts w:cs="Tahoma"/>
          <w:b/>
        </w:rPr>
        <w:t>b.</w:t>
      </w:r>
      <w:r>
        <w:rPr>
          <w:rFonts w:cs="Tahoma"/>
        </w:rPr>
        <w:t>) deberá tomar en cuenta lo siguiente:</w:t>
      </w:r>
    </w:p>
    <w:p w:rsidR="008D5B94" w:rsidRPr="00626B6A" w:rsidRDefault="008D5B94" w:rsidP="008D5B94">
      <w:pPr>
        <w:ind w:left="567"/>
        <w:jc w:val="both"/>
        <w:rPr>
          <w:rFonts w:cs="Tahoma"/>
        </w:rPr>
      </w:pPr>
    </w:p>
    <w:p w:rsidR="008D5B94" w:rsidRPr="00626B6A" w:rsidRDefault="008D5B94" w:rsidP="008D5B94">
      <w:pPr>
        <w:pStyle w:val="Prrafodelista"/>
        <w:numPr>
          <w:ilvl w:val="0"/>
          <w:numId w:val="8"/>
        </w:numPr>
        <w:ind w:left="851" w:hanging="284"/>
        <w:jc w:val="both"/>
        <w:rPr>
          <w:rFonts w:cs="Tahoma"/>
        </w:rPr>
      </w:pPr>
      <w:r w:rsidRPr="00626B6A">
        <w:rPr>
          <w:rFonts w:cs="Tahoma"/>
        </w:rPr>
        <w:t xml:space="preserve">Utilizando el servicio </w:t>
      </w:r>
      <w:r w:rsidRPr="00626B6A">
        <w:rPr>
          <w:rFonts w:cs="Tahoma"/>
          <w:i/>
          <w:iCs/>
          <w:u w:val="single"/>
        </w:rPr>
        <w:t>“Transferencias Interbancarias de Fondos – TFI”</w:t>
      </w:r>
      <w:r w:rsidRPr="00626B6A">
        <w:rPr>
          <w:rFonts w:cs="Tahoma"/>
        </w:rPr>
        <w:t xml:space="preserve"> del SINPE, contratado directamente con algún banco comercial:</w:t>
      </w:r>
    </w:p>
    <w:p w:rsidR="008D5B94" w:rsidRPr="00626B6A" w:rsidRDefault="008D5B94" w:rsidP="008D5B94">
      <w:pPr>
        <w:ind w:left="567"/>
        <w:jc w:val="both"/>
        <w:rPr>
          <w:rFonts w:cs="Tahoma"/>
        </w:rPr>
      </w:pPr>
    </w:p>
    <w:p w:rsidR="008D5B94" w:rsidRPr="00626B6A" w:rsidRDefault="008D5B94" w:rsidP="008D5B94">
      <w:pPr>
        <w:ind w:left="851" w:right="-93"/>
        <w:jc w:val="both"/>
        <w:rPr>
          <w:rFonts w:cs="Tahoma"/>
          <w:sz w:val="20"/>
          <w:szCs w:val="20"/>
        </w:rPr>
      </w:pPr>
      <w:r w:rsidRPr="00626B6A">
        <w:rPr>
          <w:rFonts w:cs="Tahoma"/>
          <w:b/>
          <w:bCs/>
          <w:sz w:val="20"/>
          <w:szCs w:val="20"/>
        </w:rPr>
        <w:t>Cuenta Colones TFI</w:t>
      </w:r>
      <w:r w:rsidRPr="00626B6A">
        <w:rPr>
          <w:rFonts w:cs="Tahoma"/>
          <w:sz w:val="20"/>
          <w:szCs w:val="20"/>
        </w:rPr>
        <w:t>:                                     10000010001000001</w:t>
      </w:r>
    </w:p>
    <w:p w:rsidR="008D5B94" w:rsidRPr="00626B6A" w:rsidRDefault="008D5B94" w:rsidP="008D5B94">
      <w:pPr>
        <w:ind w:left="851" w:right="-93"/>
        <w:jc w:val="both"/>
        <w:rPr>
          <w:rFonts w:cs="Tahoma"/>
          <w:sz w:val="20"/>
          <w:szCs w:val="20"/>
        </w:rPr>
      </w:pPr>
      <w:r w:rsidRPr="00626B6A">
        <w:rPr>
          <w:rFonts w:cs="Tahoma"/>
          <w:b/>
          <w:bCs/>
          <w:sz w:val="20"/>
          <w:szCs w:val="20"/>
        </w:rPr>
        <w:t>Motivo de pago 166 (exclusivo para TFI)</w:t>
      </w:r>
      <w:r w:rsidRPr="00626B6A">
        <w:rPr>
          <w:rFonts w:cs="Tahoma"/>
          <w:sz w:val="20"/>
          <w:szCs w:val="20"/>
        </w:rPr>
        <w:t>:    Pagos diversos hacia BCCR</w:t>
      </w:r>
    </w:p>
    <w:p w:rsidR="008D5B94" w:rsidRPr="00626B6A" w:rsidRDefault="008D5B94" w:rsidP="008D5B94">
      <w:pPr>
        <w:ind w:left="851" w:right="-93"/>
        <w:jc w:val="both"/>
        <w:rPr>
          <w:rFonts w:cs="Tahoma"/>
          <w:sz w:val="20"/>
          <w:szCs w:val="20"/>
        </w:rPr>
      </w:pPr>
      <w:r w:rsidRPr="00626B6A">
        <w:rPr>
          <w:rFonts w:cs="Tahoma"/>
          <w:b/>
          <w:bCs/>
          <w:sz w:val="20"/>
          <w:szCs w:val="20"/>
        </w:rPr>
        <w:t>ID Destino</w:t>
      </w:r>
      <w:r w:rsidRPr="00626B6A">
        <w:rPr>
          <w:rFonts w:cs="Tahoma"/>
          <w:sz w:val="20"/>
          <w:szCs w:val="20"/>
        </w:rPr>
        <w:t>:                                                   4-000-004017 (Cédula Jurídica del BCCR)</w:t>
      </w:r>
    </w:p>
    <w:p w:rsidR="008D5B94" w:rsidRPr="00626B6A" w:rsidRDefault="008D5B94" w:rsidP="008D5B94">
      <w:pPr>
        <w:ind w:left="851" w:right="-93"/>
        <w:jc w:val="both"/>
        <w:rPr>
          <w:rFonts w:cs="Tahoma"/>
          <w:sz w:val="20"/>
          <w:szCs w:val="20"/>
        </w:rPr>
      </w:pPr>
      <w:r w:rsidRPr="00626B6A">
        <w:rPr>
          <w:rFonts w:cs="Tahoma"/>
          <w:b/>
          <w:bCs/>
          <w:sz w:val="20"/>
          <w:szCs w:val="20"/>
        </w:rPr>
        <w:t>Concepto</w:t>
      </w:r>
      <w:r w:rsidRPr="00626B6A">
        <w:rPr>
          <w:rFonts w:cs="Tahoma"/>
          <w:sz w:val="20"/>
          <w:szCs w:val="20"/>
        </w:rPr>
        <w:t xml:space="preserve">:                                                     Pago de  </w:t>
      </w:r>
      <w:proofErr w:type="spellStart"/>
      <w:r w:rsidRPr="00626B6A">
        <w:rPr>
          <w:rFonts w:cs="Tahoma"/>
          <w:sz w:val="20"/>
          <w:szCs w:val="20"/>
        </w:rPr>
        <w:t>xxxxx</w:t>
      </w:r>
      <w:proofErr w:type="spellEnd"/>
      <w:r w:rsidRPr="00626B6A">
        <w:rPr>
          <w:rFonts w:cs="Tahoma"/>
          <w:sz w:val="20"/>
          <w:szCs w:val="20"/>
        </w:rPr>
        <w:t xml:space="preserve"> (descripción del pago)</w:t>
      </w:r>
    </w:p>
    <w:p w:rsidR="008D5B94" w:rsidRPr="00626B6A" w:rsidRDefault="008D5B94" w:rsidP="008D5B94">
      <w:pPr>
        <w:ind w:left="567"/>
        <w:jc w:val="both"/>
        <w:rPr>
          <w:rFonts w:cs="Tahoma"/>
          <w:sz w:val="20"/>
          <w:szCs w:val="20"/>
        </w:rPr>
      </w:pPr>
    </w:p>
    <w:p w:rsidR="008D5B94" w:rsidRPr="00626B6A" w:rsidRDefault="008D5B94" w:rsidP="008D5B94">
      <w:pPr>
        <w:pStyle w:val="Prrafodelista"/>
        <w:numPr>
          <w:ilvl w:val="0"/>
          <w:numId w:val="8"/>
        </w:numPr>
        <w:ind w:left="851" w:hanging="284"/>
        <w:jc w:val="both"/>
        <w:rPr>
          <w:rFonts w:cs="Tahoma"/>
        </w:rPr>
      </w:pPr>
      <w:r w:rsidRPr="00626B6A">
        <w:rPr>
          <w:rFonts w:cs="Tahoma"/>
        </w:rPr>
        <w:t xml:space="preserve">Utilizando el servicio </w:t>
      </w:r>
      <w:r w:rsidRPr="00626B6A">
        <w:rPr>
          <w:rFonts w:cs="Tahoma"/>
          <w:i/>
          <w:iCs/>
          <w:u w:val="single"/>
        </w:rPr>
        <w:t>“Transferencias de Fondos a Terceros– TFT”</w:t>
      </w:r>
      <w:r w:rsidRPr="00626B6A">
        <w:rPr>
          <w:rFonts w:cs="Tahoma"/>
        </w:rPr>
        <w:t xml:space="preserve"> del SINPE, utilizando el sitio web del banco comercial:</w:t>
      </w:r>
    </w:p>
    <w:p w:rsidR="008D5B94" w:rsidRPr="00626B6A" w:rsidRDefault="008D5B94" w:rsidP="008D5B94">
      <w:pPr>
        <w:ind w:left="567"/>
        <w:jc w:val="both"/>
        <w:rPr>
          <w:rFonts w:cs="Tahoma"/>
        </w:rPr>
      </w:pPr>
    </w:p>
    <w:p w:rsidR="008D5B94" w:rsidRPr="00626B6A" w:rsidRDefault="008D5B94" w:rsidP="008D5B94">
      <w:pPr>
        <w:ind w:left="4962" w:hanging="4111"/>
        <w:jc w:val="both"/>
        <w:rPr>
          <w:rFonts w:cs="Tahoma"/>
          <w:sz w:val="20"/>
          <w:szCs w:val="20"/>
        </w:rPr>
      </w:pPr>
      <w:r w:rsidRPr="00626B6A">
        <w:rPr>
          <w:rFonts w:cs="Tahoma"/>
          <w:b/>
          <w:bCs/>
          <w:sz w:val="20"/>
          <w:szCs w:val="20"/>
        </w:rPr>
        <w:t>Cuenta Colones TFT</w:t>
      </w:r>
      <w:r w:rsidRPr="00626B6A">
        <w:rPr>
          <w:rFonts w:cs="Tahoma"/>
          <w:sz w:val="20"/>
          <w:szCs w:val="20"/>
        </w:rPr>
        <w:t>:           </w:t>
      </w:r>
      <w:r>
        <w:rPr>
          <w:rFonts w:cs="Tahoma"/>
          <w:sz w:val="20"/>
          <w:szCs w:val="20"/>
        </w:rPr>
        <w:t>                         </w:t>
      </w:r>
      <w:r w:rsidRPr="00626B6A">
        <w:rPr>
          <w:rFonts w:cs="Tahoma"/>
          <w:sz w:val="20"/>
          <w:szCs w:val="20"/>
        </w:rPr>
        <w:t>10000010001000140</w:t>
      </w:r>
    </w:p>
    <w:p w:rsidR="008D5B94" w:rsidRPr="00626B6A" w:rsidRDefault="008D5B94" w:rsidP="008D5B94">
      <w:pPr>
        <w:ind w:left="4962" w:hanging="4111"/>
        <w:jc w:val="both"/>
        <w:rPr>
          <w:rFonts w:cs="Tahoma"/>
          <w:sz w:val="20"/>
          <w:szCs w:val="20"/>
        </w:rPr>
      </w:pPr>
      <w:r w:rsidRPr="00626B6A">
        <w:rPr>
          <w:rFonts w:cs="Tahoma"/>
          <w:b/>
          <w:bCs/>
          <w:sz w:val="20"/>
          <w:szCs w:val="20"/>
        </w:rPr>
        <w:t>ID Destino</w:t>
      </w:r>
      <w:r w:rsidRPr="00626B6A">
        <w:rPr>
          <w:rFonts w:cs="Tahoma"/>
          <w:sz w:val="20"/>
          <w:szCs w:val="20"/>
        </w:rPr>
        <w:t>:                              </w:t>
      </w:r>
      <w:r>
        <w:rPr>
          <w:rFonts w:cs="Tahoma"/>
          <w:sz w:val="20"/>
          <w:szCs w:val="20"/>
        </w:rPr>
        <w:t>                     </w:t>
      </w:r>
      <w:r w:rsidRPr="00626B6A">
        <w:rPr>
          <w:rFonts w:cs="Tahoma"/>
          <w:sz w:val="20"/>
          <w:szCs w:val="20"/>
        </w:rPr>
        <w:t>4-000-004017 (Cédula Jurídica del BCCR)</w:t>
      </w:r>
    </w:p>
    <w:p w:rsidR="008D5B94" w:rsidRPr="00626B6A" w:rsidRDefault="008D5B94" w:rsidP="008D5B94">
      <w:pPr>
        <w:ind w:left="4962" w:hanging="4111"/>
        <w:jc w:val="both"/>
        <w:rPr>
          <w:rFonts w:cs="Tahoma"/>
          <w:sz w:val="20"/>
          <w:szCs w:val="20"/>
        </w:rPr>
      </w:pPr>
      <w:r w:rsidRPr="00626B6A">
        <w:rPr>
          <w:rFonts w:cs="Tahoma"/>
          <w:b/>
          <w:bCs/>
          <w:sz w:val="20"/>
          <w:szCs w:val="20"/>
        </w:rPr>
        <w:t>Concepto</w:t>
      </w:r>
      <w:r w:rsidRPr="00626B6A">
        <w:rPr>
          <w:rFonts w:cs="Tahoma"/>
          <w:sz w:val="20"/>
          <w:szCs w:val="20"/>
        </w:rPr>
        <w:t>:                               </w:t>
      </w:r>
      <w:r>
        <w:rPr>
          <w:rFonts w:cs="Tahoma"/>
          <w:sz w:val="20"/>
          <w:szCs w:val="20"/>
        </w:rPr>
        <w:t>                      </w:t>
      </w:r>
      <w:r w:rsidRPr="00626B6A">
        <w:rPr>
          <w:rFonts w:cs="Tahoma"/>
          <w:sz w:val="20"/>
          <w:szCs w:val="20"/>
        </w:rPr>
        <w:t xml:space="preserve">Pago de  </w:t>
      </w:r>
      <w:proofErr w:type="spellStart"/>
      <w:r w:rsidRPr="00626B6A">
        <w:rPr>
          <w:rFonts w:cs="Tahoma"/>
          <w:sz w:val="20"/>
          <w:szCs w:val="20"/>
        </w:rPr>
        <w:t>xxxxx</w:t>
      </w:r>
      <w:proofErr w:type="spellEnd"/>
      <w:r w:rsidRPr="00626B6A">
        <w:rPr>
          <w:rFonts w:cs="Tahoma"/>
          <w:sz w:val="20"/>
          <w:szCs w:val="20"/>
        </w:rPr>
        <w:t xml:space="preserve"> (descripción del pago)</w:t>
      </w:r>
    </w:p>
    <w:p w:rsidR="008D5B94" w:rsidRPr="00626B6A" w:rsidRDefault="008D5B94" w:rsidP="008D5B94">
      <w:pPr>
        <w:pStyle w:val="Prrafodelista"/>
        <w:ind w:left="567"/>
        <w:jc w:val="both"/>
        <w:rPr>
          <w:rFonts w:cs="Tahoma"/>
        </w:rPr>
      </w:pPr>
    </w:p>
    <w:p w:rsidR="008D5B94" w:rsidRPr="00875A60" w:rsidRDefault="008D5B94" w:rsidP="00DF2508">
      <w:pPr>
        <w:pStyle w:val="Prrafodelista"/>
        <w:numPr>
          <w:ilvl w:val="1"/>
          <w:numId w:val="15"/>
        </w:numPr>
        <w:ind w:left="567" w:hanging="567"/>
        <w:jc w:val="both"/>
        <w:rPr>
          <w:rFonts w:cs="Tahoma"/>
        </w:rPr>
      </w:pPr>
      <w:r w:rsidRPr="00875A60">
        <w:rPr>
          <w:rFonts w:cs="Tahoma"/>
          <w:b/>
        </w:rPr>
        <w:t>ENCARGADO GENERAL DE LA CONTRATACIÓN</w:t>
      </w:r>
      <w:r w:rsidR="003D3B8E">
        <w:rPr>
          <w:rFonts w:cs="Tahoma"/>
          <w:b/>
        </w:rPr>
        <w:t xml:space="preserve"> (EGC)</w:t>
      </w:r>
      <w:r w:rsidRPr="00875A60">
        <w:rPr>
          <w:rFonts w:cs="Tahoma"/>
          <w:b/>
        </w:rPr>
        <w:t>:</w:t>
      </w:r>
      <w:r w:rsidRPr="00875A60">
        <w:rPr>
          <w:rFonts w:cs="Tahoma"/>
        </w:rPr>
        <w:t xml:space="preserve"> Con el objeto de supervisar esta contratación, gestionar, facilitar la coordinación de todos los aspectos técnicos y administrativos que se requieran, regular todo lo relativo a la correcta ejecución de la misma, y velar por el perfecto cumplimiento de cada una de las obligaciones indicadas en e</w:t>
      </w:r>
      <w:r>
        <w:rPr>
          <w:rFonts w:cs="Tahoma"/>
        </w:rPr>
        <w:t xml:space="preserve">l cartel, el Banco ha designado </w:t>
      </w:r>
      <w:r w:rsidRPr="00875A60">
        <w:rPr>
          <w:rFonts w:cs="Tahoma"/>
        </w:rPr>
        <w:t xml:space="preserve">como Encargado General de la Contratación al funcionario: </w:t>
      </w:r>
      <w:r w:rsidR="00997440">
        <w:rPr>
          <w:rFonts w:cs="Tahoma"/>
        </w:rPr>
        <w:t>Ronald Corrales B</w:t>
      </w:r>
      <w:r w:rsidRPr="00875A60">
        <w:rPr>
          <w:rFonts w:cs="Tahoma"/>
        </w:rPr>
        <w:t>.</w:t>
      </w:r>
    </w:p>
    <w:p w:rsidR="008D5B94" w:rsidRPr="00C05614" w:rsidRDefault="008D5B94" w:rsidP="008D5B94">
      <w:pPr>
        <w:jc w:val="both"/>
        <w:rPr>
          <w:rFonts w:cs="Tahoma"/>
          <w:b/>
          <w:bCs/>
          <w:snapToGrid w:val="0"/>
        </w:rPr>
      </w:pPr>
    </w:p>
    <w:p w:rsidR="008D5B94" w:rsidRPr="00C05614" w:rsidRDefault="008D5B94" w:rsidP="008D5B94">
      <w:pPr>
        <w:jc w:val="both"/>
        <w:rPr>
          <w:rFonts w:cs="Tahoma"/>
          <w:b/>
          <w:bCs/>
          <w:snapToGrid w:val="0"/>
        </w:rPr>
      </w:pPr>
    </w:p>
    <w:p w:rsidR="008D5B94" w:rsidRPr="00C05614" w:rsidRDefault="00EC03DD" w:rsidP="008D5B94">
      <w:pPr>
        <w:ind w:left="142"/>
        <w:jc w:val="both"/>
        <w:rPr>
          <w:rFonts w:cs="Tahoma"/>
          <w:b/>
          <w:bCs/>
          <w:snapToGrid w:val="0"/>
        </w:rPr>
      </w:pPr>
      <w:r>
        <w:rPr>
          <w:rFonts w:cs="Tahoma"/>
          <w:b/>
          <w:bCs/>
          <w:snapToGrid w:val="0"/>
        </w:rPr>
        <w:t>5</w:t>
      </w:r>
      <w:r w:rsidR="008D5B94" w:rsidRPr="00C05614">
        <w:rPr>
          <w:rFonts w:cs="Tahoma"/>
          <w:b/>
          <w:bCs/>
          <w:snapToGrid w:val="0"/>
        </w:rPr>
        <w:t xml:space="preserve"> de </w:t>
      </w:r>
      <w:r>
        <w:rPr>
          <w:rFonts w:cs="Tahoma"/>
          <w:b/>
          <w:bCs/>
          <w:snapToGrid w:val="0"/>
        </w:rPr>
        <w:t>febrero</w:t>
      </w:r>
      <w:r w:rsidR="006E00C6">
        <w:rPr>
          <w:rFonts w:cs="Tahoma"/>
          <w:b/>
          <w:bCs/>
          <w:snapToGrid w:val="0"/>
        </w:rPr>
        <w:t xml:space="preserve"> </w:t>
      </w:r>
      <w:r w:rsidR="008D5B94" w:rsidRPr="00C05614">
        <w:rPr>
          <w:rFonts w:cs="Tahoma"/>
          <w:b/>
          <w:bCs/>
          <w:snapToGrid w:val="0"/>
        </w:rPr>
        <w:t>del 20</w:t>
      </w:r>
      <w:r w:rsidR="006E00C6">
        <w:rPr>
          <w:rFonts w:cs="Tahoma"/>
          <w:b/>
          <w:bCs/>
          <w:snapToGrid w:val="0"/>
        </w:rPr>
        <w:t>15</w:t>
      </w:r>
    </w:p>
    <w:p w:rsidR="008D5B94" w:rsidRPr="00C05614" w:rsidRDefault="008D5B94" w:rsidP="008D5B94">
      <w:pPr>
        <w:ind w:left="142"/>
        <w:jc w:val="both"/>
        <w:rPr>
          <w:rFonts w:cs="Tahoma"/>
          <w:b/>
          <w:bCs/>
          <w:snapToGrid w:val="0"/>
        </w:rPr>
      </w:pPr>
    </w:p>
    <w:p w:rsidR="008D5B94" w:rsidRPr="00A539FE" w:rsidRDefault="001803EF" w:rsidP="00DF2508">
      <w:pPr>
        <w:jc w:val="both"/>
        <w:rPr>
          <w:rFonts w:cs="Tahoma"/>
          <w:b/>
          <w:bCs/>
          <w:i/>
          <w:snapToGrid w:val="0"/>
        </w:rPr>
      </w:pPr>
      <w:r>
        <w:rPr>
          <w:rFonts w:cs="Tahoma"/>
          <w:b/>
          <w:bCs/>
          <w:i/>
          <w:snapToGrid w:val="0"/>
        </w:rPr>
        <w:t>Original firmado</w:t>
      </w:r>
      <w:bookmarkStart w:id="1" w:name="_GoBack"/>
      <w:bookmarkEnd w:id="1"/>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1"/>
        <w:gridCol w:w="5068"/>
      </w:tblGrid>
      <w:tr w:rsidR="008D5B94" w:rsidRPr="000C427D" w:rsidTr="001D2D06">
        <w:trPr>
          <w:jc w:val="center"/>
        </w:trPr>
        <w:tc>
          <w:tcPr>
            <w:tcW w:w="5141" w:type="dxa"/>
            <w:tcBorders>
              <w:top w:val="nil"/>
              <w:left w:val="nil"/>
              <w:bottom w:val="nil"/>
              <w:right w:val="nil"/>
            </w:tcBorders>
          </w:tcPr>
          <w:p w:rsidR="008D5B94" w:rsidRPr="000C427D" w:rsidRDefault="008D5B94" w:rsidP="001D2D06">
            <w:pPr>
              <w:widowControl w:val="0"/>
              <w:ind w:left="720"/>
              <w:rPr>
                <w:rFonts w:cs="Tahoma"/>
                <w:b/>
                <w:bCs/>
                <w:snapToGrid w:val="0"/>
              </w:rPr>
            </w:pPr>
            <w:r w:rsidRPr="000C427D">
              <w:rPr>
                <w:rFonts w:cs="Tahoma"/>
                <w:b/>
                <w:bCs/>
                <w:snapToGrid w:val="0"/>
              </w:rPr>
              <w:t xml:space="preserve">José A. Rodríguez C.  </w:t>
            </w:r>
          </w:p>
          <w:p w:rsidR="008D5B94" w:rsidRPr="000C427D" w:rsidRDefault="008D5B94" w:rsidP="001D2D06">
            <w:pPr>
              <w:widowControl w:val="0"/>
              <w:ind w:left="1064"/>
              <w:rPr>
                <w:rFonts w:cs="Tahoma"/>
                <w:b/>
                <w:bCs/>
                <w:snapToGrid w:val="0"/>
              </w:rPr>
            </w:pPr>
            <w:r w:rsidRPr="000C427D">
              <w:rPr>
                <w:rFonts w:cs="Tahoma"/>
                <w:b/>
                <w:bCs/>
                <w:snapToGrid w:val="0"/>
              </w:rPr>
              <w:t xml:space="preserve">Director </w:t>
            </w:r>
          </w:p>
        </w:tc>
        <w:tc>
          <w:tcPr>
            <w:tcW w:w="5068" w:type="dxa"/>
            <w:tcBorders>
              <w:top w:val="nil"/>
              <w:left w:val="nil"/>
              <w:bottom w:val="nil"/>
              <w:right w:val="nil"/>
            </w:tcBorders>
          </w:tcPr>
          <w:p w:rsidR="008D5B94" w:rsidRPr="000C427D" w:rsidRDefault="008D5B94" w:rsidP="001D2D06">
            <w:pPr>
              <w:widowControl w:val="0"/>
              <w:ind w:left="1133"/>
              <w:rPr>
                <w:rFonts w:cs="Tahoma"/>
                <w:b/>
                <w:bCs/>
                <w:snapToGrid w:val="0"/>
              </w:rPr>
            </w:pPr>
          </w:p>
        </w:tc>
      </w:tr>
    </w:tbl>
    <w:p w:rsidR="008D5B94" w:rsidRDefault="008D5B94" w:rsidP="008D5B94">
      <w:pPr>
        <w:rPr>
          <w:rFonts w:cs="Tahoma"/>
          <w:b/>
          <w:bCs/>
          <w:snapToGrid w:val="0"/>
        </w:rPr>
      </w:pPr>
    </w:p>
    <w:sectPr w:rsidR="008D5B94" w:rsidSect="00F60383">
      <w:headerReference w:type="default" r:id="rId12"/>
      <w:footerReference w:type="default" r:id="rId13"/>
      <w:pgSz w:w="12240" w:h="15840" w:code="1"/>
      <w:pgMar w:top="1951"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7A2" w:rsidRDefault="00F977A2" w:rsidP="008D5B94">
      <w:r>
        <w:separator/>
      </w:r>
    </w:p>
  </w:endnote>
  <w:endnote w:type="continuationSeparator" w:id="0">
    <w:p w:rsidR="00F977A2" w:rsidRDefault="00F977A2" w:rsidP="008D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212" w:rsidRDefault="00672018" w:rsidP="004B1F9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803EF">
      <w:rPr>
        <w:rStyle w:val="Nmerodepgina"/>
        <w:noProof/>
      </w:rPr>
      <w:t>9</w:t>
    </w:r>
    <w:r>
      <w:rPr>
        <w:rStyle w:val="Nmerodepgina"/>
      </w:rPr>
      <w:fldChar w:fldCharType="end"/>
    </w:r>
  </w:p>
  <w:p w:rsidR="00E76212" w:rsidRDefault="00F977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7A2" w:rsidRDefault="00F977A2" w:rsidP="008D5B94">
      <w:r>
        <w:separator/>
      </w:r>
    </w:p>
  </w:footnote>
  <w:footnote w:type="continuationSeparator" w:id="0">
    <w:p w:rsidR="00F977A2" w:rsidRDefault="00F977A2" w:rsidP="008D5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212" w:rsidRPr="00127F57" w:rsidRDefault="00672018" w:rsidP="004B4F5B">
    <w:pPr>
      <w:pStyle w:val="Encabezado"/>
      <w:jc w:val="center"/>
      <w:rPr>
        <w:rFonts w:cs="Tahoma"/>
        <w:b/>
        <w14:shadow w14:blurRad="50800" w14:dist="38100" w14:dir="2700000" w14:sx="100000" w14:sy="100000" w14:kx="0" w14:ky="0" w14:algn="tl">
          <w14:srgbClr w14:val="000000">
            <w14:alpha w14:val="60000"/>
          </w14:srgbClr>
        </w14:shadow>
      </w:rPr>
    </w:pPr>
    <w:r>
      <w:rPr>
        <w:noProof/>
        <w:lang w:val="es-CR" w:eastAsia="es-CR"/>
      </w:rPr>
      <w:drawing>
        <wp:inline distT="0" distB="0" distL="0" distR="0" wp14:anchorId="45AEA8BF" wp14:editId="588C71DD">
          <wp:extent cx="1988820" cy="6172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820" cy="6172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CE5"/>
    <w:multiLevelType w:val="multilevel"/>
    <w:tmpl w:val="DE3079B4"/>
    <w:lvl w:ilvl="0">
      <w:start w:val="4"/>
      <w:numFmt w:val="decimal"/>
      <w:lvlText w:val="%1"/>
      <w:lvlJc w:val="left"/>
      <w:pPr>
        <w:ind w:left="375" w:hanging="375"/>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1">
    <w:nsid w:val="06DC5197"/>
    <w:multiLevelType w:val="multilevel"/>
    <w:tmpl w:val="9CA63B3E"/>
    <w:lvl w:ilvl="0">
      <w:start w:val="3"/>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2">
    <w:nsid w:val="07F27DF2"/>
    <w:multiLevelType w:val="multilevel"/>
    <w:tmpl w:val="6C7C45D8"/>
    <w:lvl w:ilvl="0">
      <w:start w:val="1"/>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3">
    <w:nsid w:val="15AA463E"/>
    <w:multiLevelType w:val="multilevel"/>
    <w:tmpl w:val="7612EA24"/>
    <w:lvl w:ilvl="0">
      <w:start w:val="4"/>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b/>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4">
    <w:nsid w:val="19E069E8"/>
    <w:multiLevelType w:val="multilevel"/>
    <w:tmpl w:val="4A38DC50"/>
    <w:lvl w:ilvl="0">
      <w:start w:val="2"/>
      <w:numFmt w:val="decimal"/>
      <w:lvlText w:val="%1"/>
      <w:lvlJc w:val="left"/>
      <w:pPr>
        <w:ind w:left="360" w:hanging="36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EB23742"/>
    <w:multiLevelType w:val="hybridMultilevel"/>
    <w:tmpl w:val="2A2E96A2"/>
    <w:lvl w:ilvl="0" w:tplc="8372160A">
      <w:start w:val="1"/>
      <w:numFmt w:val="lowerLetter"/>
      <w:lvlText w:val="%1)"/>
      <w:lvlJc w:val="left"/>
      <w:pPr>
        <w:ind w:left="218" w:hanging="360"/>
      </w:pPr>
      <w:rPr>
        <w:rFonts w:hint="default"/>
      </w:rPr>
    </w:lvl>
    <w:lvl w:ilvl="1" w:tplc="140A0019" w:tentative="1">
      <w:start w:val="1"/>
      <w:numFmt w:val="lowerLetter"/>
      <w:lvlText w:val="%2."/>
      <w:lvlJc w:val="left"/>
      <w:pPr>
        <w:ind w:left="938" w:hanging="360"/>
      </w:pPr>
    </w:lvl>
    <w:lvl w:ilvl="2" w:tplc="140A001B" w:tentative="1">
      <w:start w:val="1"/>
      <w:numFmt w:val="lowerRoman"/>
      <w:lvlText w:val="%3."/>
      <w:lvlJc w:val="right"/>
      <w:pPr>
        <w:ind w:left="1658" w:hanging="180"/>
      </w:pPr>
    </w:lvl>
    <w:lvl w:ilvl="3" w:tplc="140A000F" w:tentative="1">
      <w:start w:val="1"/>
      <w:numFmt w:val="decimal"/>
      <w:lvlText w:val="%4."/>
      <w:lvlJc w:val="left"/>
      <w:pPr>
        <w:ind w:left="2378" w:hanging="360"/>
      </w:pPr>
    </w:lvl>
    <w:lvl w:ilvl="4" w:tplc="140A0019" w:tentative="1">
      <w:start w:val="1"/>
      <w:numFmt w:val="lowerLetter"/>
      <w:lvlText w:val="%5."/>
      <w:lvlJc w:val="left"/>
      <w:pPr>
        <w:ind w:left="3098" w:hanging="360"/>
      </w:pPr>
    </w:lvl>
    <w:lvl w:ilvl="5" w:tplc="140A001B" w:tentative="1">
      <w:start w:val="1"/>
      <w:numFmt w:val="lowerRoman"/>
      <w:lvlText w:val="%6."/>
      <w:lvlJc w:val="right"/>
      <w:pPr>
        <w:ind w:left="3818" w:hanging="180"/>
      </w:pPr>
    </w:lvl>
    <w:lvl w:ilvl="6" w:tplc="140A000F" w:tentative="1">
      <w:start w:val="1"/>
      <w:numFmt w:val="decimal"/>
      <w:lvlText w:val="%7."/>
      <w:lvlJc w:val="left"/>
      <w:pPr>
        <w:ind w:left="4538" w:hanging="360"/>
      </w:pPr>
    </w:lvl>
    <w:lvl w:ilvl="7" w:tplc="140A0019" w:tentative="1">
      <w:start w:val="1"/>
      <w:numFmt w:val="lowerLetter"/>
      <w:lvlText w:val="%8."/>
      <w:lvlJc w:val="left"/>
      <w:pPr>
        <w:ind w:left="5258" w:hanging="360"/>
      </w:pPr>
    </w:lvl>
    <w:lvl w:ilvl="8" w:tplc="140A001B" w:tentative="1">
      <w:start w:val="1"/>
      <w:numFmt w:val="lowerRoman"/>
      <w:lvlText w:val="%9."/>
      <w:lvlJc w:val="right"/>
      <w:pPr>
        <w:ind w:left="5978" w:hanging="180"/>
      </w:pPr>
    </w:lvl>
  </w:abstractNum>
  <w:abstractNum w:abstractNumId="6">
    <w:nsid w:val="240807B6"/>
    <w:multiLevelType w:val="multilevel"/>
    <w:tmpl w:val="A94C79BC"/>
    <w:lvl w:ilvl="0">
      <w:start w:val="1"/>
      <w:numFmt w:val="decimal"/>
      <w:lvlText w:val="%1."/>
      <w:lvlJc w:val="left"/>
      <w:pPr>
        <w:ind w:left="360" w:hanging="360"/>
      </w:pPr>
      <w:rPr>
        <w:rFonts w:hint="default"/>
        <w:b/>
        <w:sz w:val="22"/>
      </w:rPr>
    </w:lvl>
    <w:lvl w:ilvl="1">
      <w:start w:val="1"/>
      <w:numFmt w:val="decimal"/>
      <w:lvlText w:val="%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42A1D67"/>
    <w:multiLevelType w:val="multilevel"/>
    <w:tmpl w:val="81D41FA2"/>
    <w:lvl w:ilvl="0">
      <w:start w:val="5"/>
      <w:numFmt w:val="decimal"/>
      <w:lvlText w:val="%1"/>
      <w:lvlJc w:val="left"/>
      <w:pPr>
        <w:ind w:left="375" w:hanging="375"/>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8">
    <w:nsid w:val="42711E2A"/>
    <w:multiLevelType w:val="multilevel"/>
    <w:tmpl w:val="A01A886A"/>
    <w:lvl w:ilvl="0">
      <w:start w:val="1"/>
      <w:numFmt w:val="decimal"/>
      <w:pStyle w:val="Ttulo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Ttulo4"/>
      <w:lvlText w:val="%1.%2.%4."/>
      <w:lvlJc w:val="left"/>
      <w:pPr>
        <w:tabs>
          <w:tab w:val="num" w:pos="2160"/>
        </w:tabs>
        <w:ind w:left="1728" w:hanging="648"/>
      </w:pPr>
      <w:rPr>
        <w:rFonts w:hint="default"/>
      </w:rPr>
    </w:lvl>
    <w:lvl w:ilvl="4">
      <w:start w:val="1"/>
      <w:numFmt w:val="decimal"/>
      <w:lvlText w:val="%1.%2.%3.1."/>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43222C6F"/>
    <w:multiLevelType w:val="hybridMultilevel"/>
    <w:tmpl w:val="978C5362"/>
    <w:lvl w:ilvl="0" w:tplc="381C1D44">
      <w:start w:val="1"/>
      <w:numFmt w:val="decimal"/>
      <w:lvlText w:val="%1."/>
      <w:lvlJc w:val="left"/>
      <w:pPr>
        <w:tabs>
          <w:tab w:val="num" w:pos="4188"/>
        </w:tabs>
        <w:ind w:left="4188" w:hanging="360"/>
      </w:pPr>
      <w:rPr>
        <w:b/>
      </w:rPr>
    </w:lvl>
    <w:lvl w:ilvl="1" w:tplc="20FA687E">
      <w:numFmt w:val="none"/>
      <w:lvlText w:val=""/>
      <w:lvlJc w:val="left"/>
      <w:pPr>
        <w:tabs>
          <w:tab w:val="num" w:pos="3828"/>
        </w:tabs>
      </w:pPr>
    </w:lvl>
    <w:lvl w:ilvl="2" w:tplc="3294CE4C">
      <w:numFmt w:val="none"/>
      <w:lvlText w:val=""/>
      <w:lvlJc w:val="left"/>
      <w:pPr>
        <w:tabs>
          <w:tab w:val="num" w:pos="3828"/>
        </w:tabs>
      </w:pPr>
    </w:lvl>
    <w:lvl w:ilvl="3" w:tplc="BE7E8BBE">
      <w:numFmt w:val="none"/>
      <w:lvlText w:val=""/>
      <w:lvlJc w:val="left"/>
      <w:pPr>
        <w:tabs>
          <w:tab w:val="num" w:pos="3828"/>
        </w:tabs>
      </w:pPr>
    </w:lvl>
    <w:lvl w:ilvl="4" w:tplc="8A86DEDC">
      <w:numFmt w:val="none"/>
      <w:lvlText w:val=""/>
      <w:lvlJc w:val="left"/>
      <w:pPr>
        <w:tabs>
          <w:tab w:val="num" w:pos="3828"/>
        </w:tabs>
      </w:pPr>
    </w:lvl>
    <w:lvl w:ilvl="5" w:tplc="43429794">
      <w:numFmt w:val="none"/>
      <w:lvlText w:val=""/>
      <w:lvlJc w:val="left"/>
      <w:pPr>
        <w:tabs>
          <w:tab w:val="num" w:pos="3828"/>
        </w:tabs>
      </w:pPr>
    </w:lvl>
    <w:lvl w:ilvl="6" w:tplc="B3E86332">
      <w:numFmt w:val="none"/>
      <w:lvlText w:val=""/>
      <w:lvlJc w:val="left"/>
      <w:pPr>
        <w:tabs>
          <w:tab w:val="num" w:pos="3828"/>
        </w:tabs>
      </w:pPr>
    </w:lvl>
    <w:lvl w:ilvl="7" w:tplc="F06E494A">
      <w:numFmt w:val="none"/>
      <w:lvlText w:val=""/>
      <w:lvlJc w:val="left"/>
      <w:pPr>
        <w:tabs>
          <w:tab w:val="num" w:pos="3828"/>
        </w:tabs>
      </w:pPr>
    </w:lvl>
    <w:lvl w:ilvl="8" w:tplc="F2E6217A">
      <w:numFmt w:val="none"/>
      <w:lvlText w:val=""/>
      <w:lvlJc w:val="left"/>
      <w:pPr>
        <w:tabs>
          <w:tab w:val="num" w:pos="3828"/>
        </w:tabs>
      </w:pPr>
    </w:lvl>
  </w:abstractNum>
  <w:abstractNum w:abstractNumId="10">
    <w:nsid w:val="43E32596"/>
    <w:multiLevelType w:val="multilevel"/>
    <w:tmpl w:val="31D4181C"/>
    <w:lvl w:ilvl="0">
      <w:start w:val="6"/>
      <w:numFmt w:val="decimal"/>
      <w:lvlText w:val="%1"/>
      <w:lvlJc w:val="left"/>
      <w:pPr>
        <w:ind w:left="375" w:hanging="375"/>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1">
    <w:nsid w:val="4D380FE0"/>
    <w:multiLevelType w:val="hybridMultilevel"/>
    <w:tmpl w:val="9C7A6A1A"/>
    <w:lvl w:ilvl="0" w:tplc="140A0017">
      <w:start w:val="1"/>
      <w:numFmt w:val="lowerLetter"/>
      <w:lvlText w:val="%1)"/>
      <w:lvlJc w:val="left"/>
      <w:pPr>
        <w:ind w:left="218" w:hanging="360"/>
      </w:pPr>
      <w:rPr>
        <w:rFonts w:hint="default"/>
      </w:rPr>
    </w:lvl>
    <w:lvl w:ilvl="1" w:tplc="140A0019" w:tentative="1">
      <w:start w:val="1"/>
      <w:numFmt w:val="lowerLetter"/>
      <w:lvlText w:val="%2."/>
      <w:lvlJc w:val="left"/>
      <w:pPr>
        <w:ind w:left="938" w:hanging="360"/>
      </w:pPr>
    </w:lvl>
    <w:lvl w:ilvl="2" w:tplc="140A001B" w:tentative="1">
      <w:start w:val="1"/>
      <w:numFmt w:val="lowerRoman"/>
      <w:lvlText w:val="%3."/>
      <w:lvlJc w:val="right"/>
      <w:pPr>
        <w:ind w:left="1658" w:hanging="180"/>
      </w:pPr>
    </w:lvl>
    <w:lvl w:ilvl="3" w:tplc="140A000F" w:tentative="1">
      <w:start w:val="1"/>
      <w:numFmt w:val="decimal"/>
      <w:lvlText w:val="%4."/>
      <w:lvlJc w:val="left"/>
      <w:pPr>
        <w:ind w:left="2378" w:hanging="360"/>
      </w:pPr>
    </w:lvl>
    <w:lvl w:ilvl="4" w:tplc="140A0019" w:tentative="1">
      <w:start w:val="1"/>
      <w:numFmt w:val="lowerLetter"/>
      <w:lvlText w:val="%5."/>
      <w:lvlJc w:val="left"/>
      <w:pPr>
        <w:ind w:left="3098" w:hanging="360"/>
      </w:pPr>
    </w:lvl>
    <w:lvl w:ilvl="5" w:tplc="140A001B" w:tentative="1">
      <w:start w:val="1"/>
      <w:numFmt w:val="lowerRoman"/>
      <w:lvlText w:val="%6."/>
      <w:lvlJc w:val="right"/>
      <w:pPr>
        <w:ind w:left="3818" w:hanging="180"/>
      </w:pPr>
    </w:lvl>
    <w:lvl w:ilvl="6" w:tplc="140A000F" w:tentative="1">
      <w:start w:val="1"/>
      <w:numFmt w:val="decimal"/>
      <w:lvlText w:val="%7."/>
      <w:lvlJc w:val="left"/>
      <w:pPr>
        <w:ind w:left="4538" w:hanging="360"/>
      </w:pPr>
    </w:lvl>
    <w:lvl w:ilvl="7" w:tplc="140A0019" w:tentative="1">
      <w:start w:val="1"/>
      <w:numFmt w:val="lowerLetter"/>
      <w:lvlText w:val="%8."/>
      <w:lvlJc w:val="left"/>
      <w:pPr>
        <w:ind w:left="5258" w:hanging="360"/>
      </w:pPr>
    </w:lvl>
    <w:lvl w:ilvl="8" w:tplc="140A001B" w:tentative="1">
      <w:start w:val="1"/>
      <w:numFmt w:val="lowerRoman"/>
      <w:lvlText w:val="%9."/>
      <w:lvlJc w:val="right"/>
      <w:pPr>
        <w:ind w:left="5978" w:hanging="180"/>
      </w:pPr>
    </w:lvl>
  </w:abstractNum>
  <w:abstractNum w:abstractNumId="12">
    <w:nsid w:val="526006F9"/>
    <w:multiLevelType w:val="multilevel"/>
    <w:tmpl w:val="61741094"/>
    <w:lvl w:ilvl="0">
      <w:start w:val="2"/>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13">
    <w:nsid w:val="53C15631"/>
    <w:multiLevelType w:val="hybridMultilevel"/>
    <w:tmpl w:val="3C90E116"/>
    <w:lvl w:ilvl="0" w:tplc="9C62EDD4">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5B33765A"/>
    <w:multiLevelType w:val="multilevel"/>
    <w:tmpl w:val="C792DC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4240681"/>
    <w:multiLevelType w:val="multilevel"/>
    <w:tmpl w:val="43069AD0"/>
    <w:lvl w:ilvl="0">
      <w:start w:val="7"/>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nsid w:val="699F3D24"/>
    <w:multiLevelType w:val="multilevel"/>
    <w:tmpl w:val="8A82FED2"/>
    <w:lvl w:ilvl="0">
      <w:start w:val="5"/>
      <w:numFmt w:val="decimal"/>
      <w:lvlText w:val="%1"/>
      <w:lvlJc w:val="left"/>
      <w:pPr>
        <w:ind w:left="375" w:hanging="375"/>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7">
    <w:nsid w:val="6F81009D"/>
    <w:multiLevelType w:val="multilevel"/>
    <w:tmpl w:val="CE563C64"/>
    <w:lvl w:ilvl="0">
      <w:start w:val="3"/>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b/>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num w:numId="1">
    <w:abstractNumId w:val="9"/>
  </w:num>
  <w:num w:numId="2">
    <w:abstractNumId w:val="2"/>
  </w:num>
  <w:num w:numId="3">
    <w:abstractNumId w:val="4"/>
  </w:num>
  <w:num w:numId="4">
    <w:abstractNumId w:val="17"/>
  </w:num>
  <w:num w:numId="5">
    <w:abstractNumId w:val="0"/>
  </w:num>
  <w:num w:numId="6">
    <w:abstractNumId w:val="16"/>
  </w:num>
  <w:num w:numId="7">
    <w:abstractNumId w:val="8"/>
  </w:num>
  <w:num w:numId="8">
    <w:abstractNumId w:val="13"/>
  </w:num>
  <w:num w:numId="9">
    <w:abstractNumId w:val="6"/>
  </w:num>
  <w:num w:numId="10">
    <w:abstractNumId w:val="14"/>
  </w:num>
  <w:num w:numId="11">
    <w:abstractNumId w:val="12"/>
  </w:num>
  <w:num w:numId="12">
    <w:abstractNumId w:val="1"/>
  </w:num>
  <w:num w:numId="13">
    <w:abstractNumId w:val="3"/>
  </w:num>
  <w:num w:numId="14">
    <w:abstractNumId w:val="7"/>
  </w:num>
  <w:num w:numId="15">
    <w:abstractNumId w:val="10"/>
  </w:num>
  <w:num w:numId="16">
    <w:abstractNumId w:val="11"/>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94"/>
    <w:rsid w:val="000028B9"/>
    <w:rsid w:val="00016FAC"/>
    <w:rsid w:val="00082AD0"/>
    <w:rsid w:val="000E05EB"/>
    <w:rsid w:val="001456AA"/>
    <w:rsid w:val="001803EF"/>
    <w:rsid w:val="0018085D"/>
    <w:rsid w:val="00181761"/>
    <w:rsid w:val="001828A8"/>
    <w:rsid w:val="001D7898"/>
    <w:rsid w:val="001F3079"/>
    <w:rsid w:val="00257D6C"/>
    <w:rsid w:val="002A42DE"/>
    <w:rsid w:val="002E1BD7"/>
    <w:rsid w:val="002E20DC"/>
    <w:rsid w:val="00300FA2"/>
    <w:rsid w:val="00377051"/>
    <w:rsid w:val="003A2F6E"/>
    <w:rsid w:val="003D3B8E"/>
    <w:rsid w:val="0042469A"/>
    <w:rsid w:val="0044068A"/>
    <w:rsid w:val="004672DA"/>
    <w:rsid w:val="0048307B"/>
    <w:rsid w:val="00491522"/>
    <w:rsid w:val="004A5087"/>
    <w:rsid w:val="00501770"/>
    <w:rsid w:val="00516D57"/>
    <w:rsid w:val="005D5A5B"/>
    <w:rsid w:val="006003EB"/>
    <w:rsid w:val="00603334"/>
    <w:rsid w:val="0062316B"/>
    <w:rsid w:val="006554F1"/>
    <w:rsid w:val="0067059B"/>
    <w:rsid w:val="00672018"/>
    <w:rsid w:val="006A4FCE"/>
    <w:rsid w:val="006B62DA"/>
    <w:rsid w:val="006E00C6"/>
    <w:rsid w:val="006E7995"/>
    <w:rsid w:val="006F7B52"/>
    <w:rsid w:val="0071719A"/>
    <w:rsid w:val="00730864"/>
    <w:rsid w:val="00737864"/>
    <w:rsid w:val="007A7374"/>
    <w:rsid w:val="007D1732"/>
    <w:rsid w:val="0081345D"/>
    <w:rsid w:val="00821E6C"/>
    <w:rsid w:val="00852417"/>
    <w:rsid w:val="00857922"/>
    <w:rsid w:val="00886FD5"/>
    <w:rsid w:val="00894E01"/>
    <w:rsid w:val="00894E02"/>
    <w:rsid w:val="008B6139"/>
    <w:rsid w:val="008D5B94"/>
    <w:rsid w:val="008D5C17"/>
    <w:rsid w:val="008E28B3"/>
    <w:rsid w:val="008F4E1E"/>
    <w:rsid w:val="00902610"/>
    <w:rsid w:val="00903C72"/>
    <w:rsid w:val="00945BA1"/>
    <w:rsid w:val="00952631"/>
    <w:rsid w:val="00962CAD"/>
    <w:rsid w:val="00973C6B"/>
    <w:rsid w:val="0099066C"/>
    <w:rsid w:val="00997440"/>
    <w:rsid w:val="009974D6"/>
    <w:rsid w:val="009F0372"/>
    <w:rsid w:val="00A44BF7"/>
    <w:rsid w:val="00A55568"/>
    <w:rsid w:val="00A62D7A"/>
    <w:rsid w:val="00A83DC8"/>
    <w:rsid w:val="00A90142"/>
    <w:rsid w:val="00A97111"/>
    <w:rsid w:val="00AE0CC3"/>
    <w:rsid w:val="00B06C42"/>
    <w:rsid w:val="00B24580"/>
    <w:rsid w:val="00B34E97"/>
    <w:rsid w:val="00B53288"/>
    <w:rsid w:val="00BB6F44"/>
    <w:rsid w:val="00C258B4"/>
    <w:rsid w:val="00C328FF"/>
    <w:rsid w:val="00D518BC"/>
    <w:rsid w:val="00D56401"/>
    <w:rsid w:val="00D72A49"/>
    <w:rsid w:val="00D73667"/>
    <w:rsid w:val="00DA3539"/>
    <w:rsid w:val="00DE6368"/>
    <w:rsid w:val="00DF2508"/>
    <w:rsid w:val="00E117B3"/>
    <w:rsid w:val="00E14E5F"/>
    <w:rsid w:val="00E20531"/>
    <w:rsid w:val="00E537C1"/>
    <w:rsid w:val="00EA5197"/>
    <w:rsid w:val="00EB13B2"/>
    <w:rsid w:val="00EC03DD"/>
    <w:rsid w:val="00F273E5"/>
    <w:rsid w:val="00F84824"/>
    <w:rsid w:val="00F92AE7"/>
    <w:rsid w:val="00F977A2"/>
    <w:rsid w:val="00FC2C94"/>
    <w:rsid w:val="00FC3E3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B94"/>
    <w:pPr>
      <w:spacing w:after="0" w:line="240" w:lineRule="auto"/>
    </w:pPr>
    <w:rPr>
      <w:rFonts w:ascii="Tahoma" w:eastAsia="Times New Roman" w:hAnsi="Tahoma" w:cs="Times New Roman"/>
    </w:rPr>
  </w:style>
  <w:style w:type="paragraph" w:styleId="Ttulo1">
    <w:name w:val="heading 1"/>
    <w:basedOn w:val="Normal"/>
    <w:next w:val="Normal"/>
    <w:link w:val="Ttulo1Car"/>
    <w:qFormat/>
    <w:rsid w:val="008D5B94"/>
    <w:pPr>
      <w:keepNext/>
      <w:numPr>
        <w:numId w:val="7"/>
      </w:numPr>
      <w:jc w:val="both"/>
      <w:outlineLvl w:val="0"/>
    </w:pPr>
    <w:rPr>
      <w:rFonts w:eastAsia="MS Mincho" w:cs="Tahoma"/>
      <w:b/>
      <w:bCs/>
      <w:color w:val="FF0000"/>
      <w:sz w:val="28"/>
      <w:szCs w:val="28"/>
      <w:lang w:val="es-ES" w:eastAsia="es-ES"/>
    </w:rPr>
  </w:style>
  <w:style w:type="paragraph" w:styleId="Ttulo4">
    <w:name w:val="heading 4"/>
    <w:basedOn w:val="Normal"/>
    <w:next w:val="Normal"/>
    <w:link w:val="Ttulo4Car"/>
    <w:qFormat/>
    <w:rsid w:val="008D5B94"/>
    <w:pPr>
      <w:keepNext/>
      <w:numPr>
        <w:ilvl w:val="3"/>
        <w:numId w:val="7"/>
      </w:numPr>
      <w:outlineLvl w:val="3"/>
    </w:pPr>
    <w:rPr>
      <w:rFonts w:ascii="Arial" w:eastAsia="MS Mincho" w:hAnsi="Arial" w:cs="Arial"/>
      <w:sz w:val="24"/>
      <w:szCs w:val="24"/>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5B94"/>
    <w:rPr>
      <w:rFonts w:ascii="Tahoma" w:eastAsia="MS Mincho" w:hAnsi="Tahoma" w:cs="Tahoma"/>
      <w:b/>
      <w:bCs/>
      <w:color w:val="FF0000"/>
      <w:sz w:val="28"/>
      <w:szCs w:val="28"/>
      <w:lang w:val="es-ES" w:eastAsia="es-ES"/>
    </w:rPr>
  </w:style>
  <w:style w:type="character" w:customStyle="1" w:styleId="Ttulo4Car">
    <w:name w:val="Título 4 Car"/>
    <w:basedOn w:val="Fuentedeprrafopredeter"/>
    <w:link w:val="Ttulo4"/>
    <w:rsid w:val="008D5B94"/>
    <w:rPr>
      <w:rFonts w:ascii="Arial" w:eastAsia="MS Mincho" w:hAnsi="Arial" w:cs="Arial"/>
      <w:sz w:val="24"/>
      <w:szCs w:val="24"/>
      <w:u w:val="single"/>
      <w:lang w:val="es-MX" w:eastAsia="es-ES"/>
    </w:rPr>
  </w:style>
  <w:style w:type="paragraph" w:styleId="Encabezado">
    <w:name w:val="header"/>
    <w:basedOn w:val="Normal"/>
    <w:link w:val="EncabezadoCar"/>
    <w:rsid w:val="008D5B94"/>
    <w:pPr>
      <w:tabs>
        <w:tab w:val="center" w:pos="4419"/>
        <w:tab w:val="right" w:pos="8838"/>
      </w:tabs>
    </w:pPr>
    <w:rPr>
      <w:rFonts w:ascii="Times New Roman" w:hAnsi="Times New Roman"/>
      <w:sz w:val="20"/>
      <w:szCs w:val="24"/>
      <w:lang w:val="es-ES_tradnl" w:eastAsia="es-ES"/>
    </w:rPr>
  </w:style>
  <w:style w:type="character" w:customStyle="1" w:styleId="EncabezadoCar">
    <w:name w:val="Encabezado Car"/>
    <w:basedOn w:val="Fuentedeprrafopredeter"/>
    <w:link w:val="Encabezado"/>
    <w:rsid w:val="008D5B94"/>
    <w:rPr>
      <w:rFonts w:ascii="Times New Roman" w:eastAsia="Times New Roman" w:hAnsi="Times New Roman" w:cs="Times New Roman"/>
      <w:sz w:val="20"/>
      <w:szCs w:val="24"/>
      <w:lang w:val="es-ES_tradnl" w:eastAsia="es-ES"/>
    </w:rPr>
  </w:style>
  <w:style w:type="paragraph" w:styleId="Piedepgina">
    <w:name w:val="footer"/>
    <w:basedOn w:val="Normal"/>
    <w:link w:val="PiedepginaCar"/>
    <w:uiPriority w:val="99"/>
    <w:rsid w:val="008D5B94"/>
    <w:pPr>
      <w:tabs>
        <w:tab w:val="center" w:pos="4320"/>
        <w:tab w:val="right" w:pos="8640"/>
      </w:tabs>
    </w:pPr>
  </w:style>
  <w:style w:type="character" w:customStyle="1" w:styleId="PiedepginaCar">
    <w:name w:val="Pie de página Car"/>
    <w:basedOn w:val="Fuentedeprrafopredeter"/>
    <w:link w:val="Piedepgina"/>
    <w:uiPriority w:val="99"/>
    <w:rsid w:val="008D5B94"/>
    <w:rPr>
      <w:rFonts w:ascii="Tahoma" w:eastAsia="Times New Roman" w:hAnsi="Tahoma" w:cs="Times New Roman"/>
    </w:rPr>
  </w:style>
  <w:style w:type="character" w:styleId="Nmerodepgina">
    <w:name w:val="page number"/>
    <w:basedOn w:val="Fuentedeprrafopredeter"/>
    <w:rsid w:val="008D5B94"/>
  </w:style>
  <w:style w:type="paragraph" w:styleId="Sangradetextonormal">
    <w:name w:val="Body Text Indent"/>
    <w:basedOn w:val="Normal"/>
    <w:link w:val="SangradetextonormalCar"/>
    <w:rsid w:val="008D5B94"/>
    <w:pPr>
      <w:spacing w:after="120"/>
      <w:ind w:left="283"/>
    </w:pPr>
  </w:style>
  <w:style w:type="character" w:customStyle="1" w:styleId="SangradetextonormalCar">
    <w:name w:val="Sangría de texto normal Car"/>
    <w:basedOn w:val="Fuentedeprrafopredeter"/>
    <w:link w:val="Sangradetextonormal"/>
    <w:rsid w:val="008D5B94"/>
    <w:rPr>
      <w:rFonts w:ascii="Tahoma" w:eastAsia="Times New Roman" w:hAnsi="Tahoma" w:cs="Times New Roman"/>
    </w:rPr>
  </w:style>
  <w:style w:type="paragraph" w:styleId="Prrafodelista">
    <w:name w:val="List Paragraph"/>
    <w:aliases w:val="Bullet 1,Use Case List Paragraph"/>
    <w:basedOn w:val="Normal"/>
    <w:link w:val="PrrafodelistaCar"/>
    <w:uiPriority w:val="34"/>
    <w:qFormat/>
    <w:rsid w:val="008D5B94"/>
    <w:pPr>
      <w:ind w:left="720"/>
    </w:pPr>
  </w:style>
  <w:style w:type="table" w:styleId="Tablaconcuadrcula">
    <w:name w:val="Table Grid"/>
    <w:basedOn w:val="Tablanormal"/>
    <w:uiPriority w:val="59"/>
    <w:rsid w:val="008D5B94"/>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semiHidden/>
    <w:unhideWhenUsed/>
    <w:rsid w:val="008D5B94"/>
    <w:rPr>
      <w:sz w:val="20"/>
      <w:szCs w:val="20"/>
    </w:rPr>
  </w:style>
  <w:style w:type="character" w:customStyle="1" w:styleId="TextonotapieCar">
    <w:name w:val="Texto nota pie Car"/>
    <w:basedOn w:val="Fuentedeprrafopredeter"/>
    <w:link w:val="Textonotapie"/>
    <w:uiPriority w:val="99"/>
    <w:semiHidden/>
    <w:rsid w:val="008D5B94"/>
    <w:rPr>
      <w:rFonts w:ascii="Tahoma" w:eastAsia="Times New Roman" w:hAnsi="Tahoma" w:cs="Times New Roman"/>
      <w:sz w:val="20"/>
      <w:szCs w:val="20"/>
    </w:rPr>
  </w:style>
  <w:style w:type="character" w:styleId="Refdenotaalpie">
    <w:name w:val="footnote reference"/>
    <w:basedOn w:val="Fuentedeprrafopredeter"/>
    <w:uiPriority w:val="99"/>
    <w:semiHidden/>
    <w:unhideWhenUsed/>
    <w:rsid w:val="008D5B94"/>
    <w:rPr>
      <w:vertAlign w:val="superscript"/>
    </w:rPr>
  </w:style>
  <w:style w:type="character" w:customStyle="1" w:styleId="PrrafodelistaCar">
    <w:name w:val="Párrafo de lista Car"/>
    <w:aliases w:val="Bullet 1 Car,Use Case List Paragraph Car"/>
    <w:link w:val="Prrafodelista"/>
    <w:uiPriority w:val="34"/>
    <w:locked/>
    <w:rsid w:val="008D5B94"/>
    <w:rPr>
      <w:rFonts w:ascii="Tahoma" w:eastAsia="Times New Roman" w:hAnsi="Tahoma" w:cs="Times New Roman"/>
    </w:rPr>
  </w:style>
  <w:style w:type="paragraph" w:styleId="Textodeglobo">
    <w:name w:val="Balloon Text"/>
    <w:basedOn w:val="Normal"/>
    <w:link w:val="TextodegloboCar"/>
    <w:uiPriority w:val="99"/>
    <w:semiHidden/>
    <w:unhideWhenUsed/>
    <w:rsid w:val="008D5B94"/>
    <w:rPr>
      <w:rFonts w:cs="Tahoma"/>
      <w:sz w:val="16"/>
      <w:szCs w:val="16"/>
    </w:rPr>
  </w:style>
  <w:style w:type="character" w:customStyle="1" w:styleId="TextodegloboCar">
    <w:name w:val="Texto de globo Car"/>
    <w:basedOn w:val="Fuentedeprrafopredeter"/>
    <w:link w:val="Textodeglobo"/>
    <w:uiPriority w:val="99"/>
    <w:semiHidden/>
    <w:rsid w:val="008D5B94"/>
    <w:rPr>
      <w:rFonts w:ascii="Tahoma" w:eastAsia="Times New Roman" w:hAnsi="Tahoma" w:cs="Tahoma"/>
      <w:sz w:val="16"/>
      <w:szCs w:val="16"/>
    </w:rPr>
  </w:style>
  <w:style w:type="character" w:styleId="Refdecomentario">
    <w:name w:val="annotation reference"/>
    <w:basedOn w:val="Fuentedeprrafopredeter"/>
    <w:uiPriority w:val="99"/>
    <w:semiHidden/>
    <w:unhideWhenUsed/>
    <w:rsid w:val="00E14E5F"/>
    <w:rPr>
      <w:sz w:val="16"/>
      <w:szCs w:val="16"/>
    </w:rPr>
  </w:style>
  <w:style w:type="paragraph" w:styleId="Textocomentario">
    <w:name w:val="annotation text"/>
    <w:basedOn w:val="Normal"/>
    <w:link w:val="TextocomentarioCar"/>
    <w:uiPriority w:val="99"/>
    <w:semiHidden/>
    <w:unhideWhenUsed/>
    <w:rsid w:val="00E14E5F"/>
    <w:rPr>
      <w:sz w:val="20"/>
      <w:szCs w:val="20"/>
    </w:rPr>
  </w:style>
  <w:style w:type="character" w:customStyle="1" w:styleId="TextocomentarioCar">
    <w:name w:val="Texto comentario Car"/>
    <w:basedOn w:val="Fuentedeprrafopredeter"/>
    <w:link w:val="Textocomentario"/>
    <w:uiPriority w:val="99"/>
    <w:semiHidden/>
    <w:rsid w:val="00E14E5F"/>
    <w:rPr>
      <w:rFonts w:ascii="Tahoma" w:eastAsia="Times New Roman" w:hAnsi="Tahom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14E5F"/>
    <w:rPr>
      <w:b/>
      <w:bCs/>
    </w:rPr>
  </w:style>
  <w:style w:type="character" w:customStyle="1" w:styleId="AsuntodelcomentarioCar">
    <w:name w:val="Asunto del comentario Car"/>
    <w:basedOn w:val="TextocomentarioCar"/>
    <w:link w:val="Asuntodelcomentario"/>
    <w:uiPriority w:val="99"/>
    <w:semiHidden/>
    <w:rsid w:val="00E14E5F"/>
    <w:rPr>
      <w:rFonts w:ascii="Tahoma" w:eastAsia="Times New Roman" w:hAnsi="Tahom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B94"/>
    <w:pPr>
      <w:spacing w:after="0" w:line="240" w:lineRule="auto"/>
    </w:pPr>
    <w:rPr>
      <w:rFonts w:ascii="Tahoma" w:eastAsia="Times New Roman" w:hAnsi="Tahoma" w:cs="Times New Roman"/>
    </w:rPr>
  </w:style>
  <w:style w:type="paragraph" w:styleId="Ttulo1">
    <w:name w:val="heading 1"/>
    <w:basedOn w:val="Normal"/>
    <w:next w:val="Normal"/>
    <w:link w:val="Ttulo1Car"/>
    <w:qFormat/>
    <w:rsid w:val="008D5B94"/>
    <w:pPr>
      <w:keepNext/>
      <w:numPr>
        <w:numId w:val="7"/>
      </w:numPr>
      <w:jc w:val="both"/>
      <w:outlineLvl w:val="0"/>
    </w:pPr>
    <w:rPr>
      <w:rFonts w:eastAsia="MS Mincho" w:cs="Tahoma"/>
      <w:b/>
      <w:bCs/>
      <w:color w:val="FF0000"/>
      <w:sz w:val="28"/>
      <w:szCs w:val="28"/>
      <w:lang w:val="es-ES" w:eastAsia="es-ES"/>
    </w:rPr>
  </w:style>
  <w:style w:type="paragraph" w:styleId="Ttulo4">
    <w:name w:val="heading 4"/>
    <w:basedOn w:val="Normal"/>
    <w:next w:val="Normal"/>
    <w:link w:val="Ttulo4Car"/>
    <w:qFormat/>
    <w:rsid w:val="008D5B94"/>
    <w:pPr>
      <w:keepNext/>
      <w:numPr>
        <w:ilvl w:val="3"/>
        <w:numId w:val="7"/>
      </w:numPr>
      <w:outlineLvl w:val="3"/>
    </w:pPr>
    <w:rPr>
      <w:rFonts w:ascii="Arial" w:eastAsia="MS Mincho" w:hAnsi="Arial" w:cs="Arial"/>
      <w:sz w:val="24"/>
      <w:szCs w:val="24"/>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5B94"/>
    <w:rPr>
      <w:rFonts w:ascii="Tahoma" w:eastAsia="MS Mincho" w:hAnsi="Tahoma" w:cs="Tahoma"/>
      <w:b/>
      <w:bCs/>
      <w:color w:val="FF0000"/>
      <w:sz w:val="28"/>
      <w:szCs w:val="28"/>
      <w:lang w:val="es-ES" w:eastAsia="es-ES"/>
    </w:rPr>
  </w:style>
  <w:style w:type="character" w:customStyle="1" w:styleId="Ttulo4Car">
    <w:name w:val="Título 4 Car"/>
    <w:basedOn w:val="Fuentedeprrafopredeter"/>
    <w:link w:val="Ttulo4"/>
    <w:rsid w:val="008D5B94"/>
    <w:rPr>
      <w:rFonts w:ascii="Arial" w:eastAsia="MS Mincho" w:hAnsi="Arial" w:cs="Arial"/>
      <w:sz w:val="24"/>
      <w:szCs w:val="24"/>
      <w:u w:val="single"/>
      <w:lang w:val="es-MX" w:eastAsia="es-ES"/>
    </w:rPr>
  </w:style>
  <w:style w:type="paragraph" w:styleId="Encabezado">
    <w:name w:val="header"/>
    <w:basedOn w:val="Normal"/>
    <w:link w:val="EncabezadoCar"/>
    <w:rsid w:val="008D5B94"/>
    <w:pPr>
      <w:tabs>
        <w:tab w:val="center" w:pos="4419"/>
        <w:tab w:val="right" w:pos="8838"/>
      </w:tabs>
    </w:pPr>
    <w:rPr>
      <w:rFonts w:ascii="Times New Roman" w:hAnsi="Times New Roman"/>
      <w:sz w:val="20"/>
      <w:szCs w:val="24"/>
      <w:lang w:val="es-ES_tradnl" w:eastAsia="es-ES"/>
    </w:rPr>
  </w:style>
  <w:style w:type="character" w:customStyle="1" w:styleId="EncabezadoCar">
    <w:name w:val="Encabezado Car"/>
    <w:basedOn w:val="Fuentedeprrafopredeter"/>
    <w:link w:val="Encabezado"/>
    <w:rsid w:val="008D5B94"/>
    <w:rPr>
      <w:rFonts w:ascii="Times New Roman" w:eastAsia="Times New Roman" w:hAnsi="Times New Roman" w:cs="Times New Roman"/>
      <w:sz w:val="20"/>
      <w:szCs w:val="24"/>
      <w:lang w:val="es-ES_tradnl" w:eastAsia="es-ES"/>
    </w:rPr>
  </w:style>
  <w:style w:type="paragraph" w:styleId="Piedepgina">
    <w:name w:val="footer"/>
    <w:basedOn w:val="Normal"/>
    <w:link w:val="PiedepginaCar"/>
    <w:uiPriority w:val="99"/>
    <w:rsid w:val="008D5B94"/>
    <w:pPr>
      <w:tabs>
        <w:tab w:val="center" w:pos="4320"/>
        <w:tab w:val="right" w:pos="8640"/>
      </w:tabs>
    </w:pPr>
  </w:style>
  <w:style w:type="character" w:customStyle="1" w:styleId="PiedepginaCar">
    <w:name w:val="Pie de página Car"/>
    <w:basedOn w:val="Fuentedeprrafopredeter"/>
    <w:link w:val="Piedepgina"/>
    <w:uiPriority w:val="99"/>
    <w:rsid w:val="008D5B94"/>
    <w:rPr>
      <w:rFonts w:ascii="Tahoma" w:eastAsia="Times New Roman" w:hAnsi="Tahoma" w:cs="Times New Roman"/>
    </w:rPr>
  </w:style>
  <w:style w:type="character" w:styleId="Nmerodepgina">
    <w:name w:val="page number"/>
    <w:basedOn w:val="Fuentedeprrafopredeter"/>
    <w:rsid w:val="008D5B94"/>
  </w:style>
  <w:style w:type="paragraph" w:styleId="Sangradetextonormal">
    <w:name w:val="Body Text Indent"/>
    <w:basedOn w:val="Normal"/>
    <w:link w:val="SangradetextonormalCar"/>
    <w:rsid w:val="008D5B94"/>
    <w:pPr>
      <w:spacing w:after="120"/>
      <w:ind w:left="283"/>
    </w:pPr>
  </w:style>
  <w:style w:type="character" w:customStyle="1" w:styleId="SangradetextonormalCar">
    <w:name w:val="Sangría de texto normal Car"/>
    <w:basedOn w:val="Fuentedeprrafopredeter"/>
    <w:link w:val="Sangradetextonormal"/>
    <w:rsid w:val="008D5B94"/>
    <w:rPr>
      <w:rFonts w:ascii="Tahoma" w:eastAsia="Times New Roman" w:hAnsi="Tahoma" w:cs="Times New Roman"/>
    </w:rPr>
  </w:style>
  <w:style w:type="paragraph" w:styleId="Prrafodelista">
    <w:name w:val="List Paragraph"/>
    <w:aliases w:val="Bullet 1,Use Case List Paragraph"/>
    <w:basedOn w:val="Normal"/>
    <w:link w:val="PrrafodelistaCar"/>
    <w:uiPriority w:val="34"/>
    <w:qFormat/>
    <w:rsid w:val="008D5B94"/>
    <w:pPr>
      <w:ind w:left="720"/>
    </w:pPr>
  </w:style>
  <w:style w:type="table" w:styleId="Tablaconcuadrcula">
    <w:name w:val="Table Grid"/>
    <w:basedOn w:val="Tablanormal"/>
    <w:uiPriority w:val="59"/>
    <w:rsid w:val="008D5B94"/>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semiHidden/>
    <w:unhideWhenUsed/>
    <w:rsid w:val="008D5B94"/>
    <w:rPr>
      <w:sz w:val="20"/>
      <w:szCs w:val="20"/>
    </w:rPr>
  </w:style>
  <w:style w:type="character" w:customStyle="1" w:styleId="TextonotapieCar">
    <w:name w:val="Texto nota pie Car"/>
    <w:basedOn w:val="Fuentedeprrafopredeter"/>
    <w:link w:val="Textonotapie"/>
    <w:uiPriority w:val="99"/>
    <w:semiHidden/>
    <w:rsid w:val="008D5B94"/>
    <w:rPr>
      <w:rFonts w:ascii="Tahoma" w:eastAsia="Times New Roman" w:hAnsi="Tahoma" w:cs="Times New Roman"/>
      <w:sz w:val="20"/>
      <w:szCs w:val="20"/>
    </w:rPr>
  </w:style>
  <w:style w:type="character" w:styleId="Refdenotaalpie">
    <w:name w:val="footnote reference"/>
    <w:basedOn w:val="Fuentedeprrafopredeter"/>
    <w:uiPriority w:val="99"/>
    <w:semiHidden/>
    <w:unhideWhenUsed/>
    <w:rsid w:val="008D5B94"/>
    <w:rPr>
      <w:vertAlign w:val="superscript"/>
    </w:rPr>
  </w:style>
  <w:style w:type="character" w:customStyle="1" w:styleId="PrrafodelistaCar">
    <w:name w:val="Párrafo de lista Car"/>
    <w:aliases w:val="Bullet 1 Car,Use Case List Paragraph Car"/>
    <w:link w:val="Prrafodelista"/>
    <w:uiPriority w:val="34"/>
    <w:locked/>
    <w:rsid w:val="008D5B94"/>
    <w:rPr>
      <w:rFonts w:ascii="Tahoma" w:eastAsia="Times New Roman" w:hAnsi="Tahoma" w:cs="Times New Roman"/>
    </w:rPr>
  </w:style>
  <w:style w:type="paragraph" w:styleId="Textodeglobo">
    <w:name w:val="Balloon Text"/>
    <w:basedOn w:val="Normal"/>
    <w:link w:val="TextodegloboCar"/>
    <w:uiPriority w:val="99"/>
    <w:semiHidden/>
    <w:unhideWhenUsed/>
    <w:rsid w:val="008D5B94"/>
    <w:rPr>
      <w:rFonts w:cs="Tahoma"/>
      <w:sz w:val="16"/>
      <w:szCs w:val="16"/>
    </w:rPr>
  </w:style>
  <w:style w:type="character" w:customStyle="1" w:styleId="TextodegloboCar">
    <w:name w:val="Texto de globo Car"/>
    <w:basedOn w:val="Fuentedeprrafopredeter"/>
    <w:link w:val="Textodeglobo"/>
    <w:uiPriority w:val="99"/>
    <w:semiHidden/>
    <w:rsid w:val="008D5B94"/>
    <w:rPr>
      <w:rFonts w:ascii="Tahoma" w:eastAsia="Times New Roman" w:hAnsi="Tahoma" w:cs="Tahoma"/>
      <w:sz w:val="16"/>
      <w:szCs w:val="16"/>
    </w:rPr>
  </w:style>
  <w:style w:type="character" w:styleId="Refdecomentario">
    <w:name w:val="annotation reference"/>
    <w:basedOn w:val="Fuentedeprrafopredeter"/>
    <w:uiPriority w:val="99"/>
    <w:semiHidden/>
    <w:unhideWhenUsed/>
    <w:rsid w:val="00E14E5F"/>
    <w:rPr>
      <w:sz w:val="16"/>
      <w:szCs w:val="16"/>
    </w:rPr>
  </w:style>
  <w:style w:type="paragraph" w:styleId="Textocomentario">
    <w:name w:val="annotation text"/>
    <w:basedOn w:val="Normal"/>
    <w:link w:val="TextocomentarioCar"/>
    <w:uiPriority w:val="99"/>
    <w:semiHidden/>
    <w:unhideWhenUsed/>
    <w:rsid w:val="00E14E5F"/>
    <w:rPr>
      <w:sz w:val="20"/>
      <w:szCs w:val="20"/>
    </w:rPr>
  </w:style>
  <w:style w:type="character" w:customStyle="1" w:styleId="TextocomentarioCar">
    <w:name w:val="Texto comentario Car"/>
    <w:basedOn w:val="Fuentedeprrafopredeter"/>
    <w:link w:val="Textocomentario"/>
    <w:uiPriority w:val="99"/>
    <w:semiHidden/>
    <w:rsid w:val="00E14E5F"/>
    <w:rPr>
      <w:rFonts w:ascii="Tahoma" w:eastAsia="Times New Roman" w:hAnsi="Tahom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14E5F"/>
    <w:rPr>
      <w:b/>
      <w:bCs/>
    </w:rPr>
  </w:style>
  <w:style w:type="character" w:customStyle="1" w:styleId="AsuntodelcomentarioCar">
    <w:name w:val="Asunto del comentario Car"/>
    <w:basedOn w:val="TextocomentarioCar"/>
    <w:link w:val="Asuntodelcomentario"/>
    <w:uiPriority w:val="99"/>
    <w:semiHidden/>
    <w:rsid w:val="00E14E5F"/>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stadoCartel xmlns="f339ac9f-4011-41be-9edd-aa0ec2505ec2" xsi:nil="true"/>
    <DescripcionCartel xmlns="f339ac9f-4011-41be-9edd-aa0ec2505ec2">Venta de Marerial de Monedas Desmonetizadas</DescripcionCartel>
    <FechaPublicacionDocumento xmlns="f339ac9f-4011-41be-9edd-aa0ec2505ec2" xsi:nil="true"/>
    <Entidad xmlns="f339ac9f-4011-41be-9edd-aa0ec2505ec2">BCCR</Entidad>
    <TipoContenido xmlns="8a0a4788-06ca-437b-bfc6-ffe2f4a28eed" xsi:nil="true"/>
    <FechaApertura xmlns="f339ac9f-4011-41be-9edd-aa0ec2505ec2" xsi:nil="true"/>
    <HoraApertura xmlns="f339ac9f-4011-41be-9edd-aa0ec2505ec2" xsi:nil="true"/>
    <AnexosCartel xmlns="f339ac9f-4011-41be-9edd-aa0ec2505ec2">Cartel</AnexosCartel>
    <Anhio xmlns="f339ac9f-4011-41be-9edd-aa0ec2505ec2">2015</Anhio>
    <ContenidoMultilineaHTML xmlns="b9fc4df0-8f56-46e7-b005-54afe0044df7">&lt;p&gt;​Venta de Marerial de Monedas Desmonetizadas​&lt;br&gt;&lt;/p&gt;</ContenidoMultilineaHTML>
  </documentManagement>
</p:properties>
</file>

<file path=customXml/itemProps1.xml><?xml version="1.0" encoding="utf-8"?>
<ds:datastoreItem xmlns:ds="http://schemas.openxmlformats.org/officeDocument/2006/customXml" ds:itemID="{B8A1D04B-70F3-44CA-BABE-5FD30EF06941}"/>
</file>

<file path=customXml/itemProps2.xml><?xml version="1.0" encoding="utf-8"?>
<ds:datastoreItem xmlns:ds="http://schemas.openxmlformats.org/officeDocument/2006/customXml" ds:itemID="{9E78AAA8-4B86-40E7-BAB8-2D21616ED87F}"/>
</file>

<file path=customXml/itemProps3.xml><?xml version="1.0" encoding="utf-8"?>
<ds:datastoreItem xmlns:ds="http://schemas.openxmlformats.org/officeDocument/2006/customXml" ds:itemID="{8CB90722-E8C4-405E-A161-C4FA22CB8749}"/>
</file>

<file path=customXml/itemProps4.xml><?xml version="1.0" encoding="utf-8"?>
<ds:datastoreItem xmlns:ds="http://schemas.openxmlformats.org/officeDocument/2006/customXml" ds:itemID="{5C2DA876-DEAB-449F-A6D4-0D44691F7C7E}"/>
</file>

<file path=docProps/app.xml><?xml version="1.0" encoding="utf-8"?>
<Properties xmlns="http://schemas.openxmlformats.org/officeDocument/2006/extended-properties" xmlns:vt="http://schemas.openxmlformats.org/officeDocument/2006/docPropsVTypes">
  <Template>Normal.dotm</Template>
  <TotalTime>163</TotalTime>
  <Pages>9</Pages>
  <Words>3200</Words>
  <Characters>17603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20762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Cartel 2015VE-000001-BCCR Monedas </dc:title>
  <dc:creator>JIMENEZ MORALES ZAYDA PATRICIA</dc:creator>
  <cp:lastModifiedBy>JIMENEZ MORALES ZAYDA PATRICIA</cp:lastModifiedBy>
  <cp:revision>12</cp:revision>
  <cp:lastPrinted>2015-02-05T17:45:00Z</cp:lastPrinted>
  <dcterms:created xsi:type="dcterms:W3CDTF">2015-01-27T23:03:00Z</dcterms:created>
  <dcterms:modified xsi:type="dcterms:W3CDTF">2015-02-10T19:48:00Z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0x010100DA6CFE36BB95EA4F8F4D6080F9C0ACDF00BD3DDE11BBD3FB40AADE379D11B795E4</vt:lpwstr>
  </property>
  <property fmtid="{D5CDD505-2E9C-101B-9397-08002B2CF9AE}" pid="3" name="Order">
    <vt:r8>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