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9D968" w14:textId="77777777" w:rsidR="00D04ACC" w:rsidRDefault="00D04ACC" w:rsidP="006319CF">
      <w:pPr>
        <w:pStyle w:val="Subttulo"/>
      </w:pPr>
    </w:p>
    <w:p w14:paraId="19D65C9A" w14:textId="77777777" w:rsidR="00E06A78" w:rsidRPr="002F343E" w:rsidRDefault="00E06A78" w:rsidP="00E06A78"/>
    <w:p w14:paraId="4FAB300C" w14:textId="77777777" w:rsidR="00E06A78" w:rsidRPr="002F343E" w:rsidRDefault="00E06A78" w:rsidP="00E06A78"/>
    <w:p w14:paraId="755F2DB9" w14:textId="77777777" w:rsidR="00E06A78" w:rsidRPr="002F343E" w:rsidRDefault="00E06A78" w:rsidP="00E06A78">
      <w:r>
        <w:rPr>
          <w:noProof/>
          <w:lang w:val="es-CR" w:eastAsia="es-CR"/>
        </w:rPr>
        <w:drawing>
          <wp:anchor distT="0" distB="0" distL="114300" distR="114300" simplePos="0" relativeHeight="251659264" behindDoc="0" locked="1" layoutInCell="0" allowOverlap="0" wp14:anchorId="64F08662" wp14:editId="64F08663">
            <wp:simplePos x="0" y="0"/>
            <wp:positionH relativeFrom="column">
              <wp:posOffset>26035</wp:posOffset>
            </wp:positionH>
            <wp:positionV relativeFrom="page">
              <wp:posOffset>1216025</wp:posOffset>
            </wp:positionV>
            <wp:extent cx="1911350" cy="905510"/>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0" cy="905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6A0B97" w14:textId="77777777" w:rsidR="00E06A78" w:rsidRPr="002F343E" w:rsidRDefault="00E06A78" w:rsidP="00E06A78"/>
    <w:p w14:paraId="024B8397" w14:textId="77777777" w:rsidR="00E06A78" w:rsidRPr="002F343E" w:rsidRDefault="00E06A78" w:rsidP="00E06A78"/>
    <w:p w14:paraId="2603E244" w14:textId="77777777" w:rsidR="00E06A78" w:rsidRPr="002F343E" w:rsidRDefault="00E06A78" w:rsidP="00E06A78">
      <w:r>
        <w:rPr>
          <w:noProof/>
          <w:lang w:val="es-CR" w:eastAsia="es-CR"/>
        </w:rPr>
        <mc:AlternateContent>
          <mc:Choice Requires="wps">
            <w:drawing>
              <wp:anchor distT="0" distB="0" distL="114300" distR="114300" simplePos="0" relativeHeight="251656192" behindDoc="0" locked="1" layoutInCell="0" allowOverlap="0" wp14:anchorId="64F08664" wp14:editId="64F08665">
                <wp:simplePos x="0" y="0"/>
                <wp:positionH relativeFrom="column">
                  <wp:posOffset>55245</wp:posOffset>
                </wp:positionH>
                <wp:positionV relativeFrom="page">
                  <wp:posOffset>5343525</wp:posOffset>
                </wp:positionV>
                <wp:extent cx="4797425" cy="1257300"/>
                <wp:effectExtent l="0" t="0" r="0" b="0"/>
                <wp:wrapNone/>
                <wp:docPr id="4" name="9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7425" cy="1257300"/>
                        </a:xfrm>
                        <a:prstGeom prst="rect">
                          <a:avLst/>
                        </a:prstGeom>
                        <a:noFill/>
                        <a:ln w="6350">
                          <a:noFill/>
                        </a:ln>
                        <a:effectLst/>
                      </wps:spPr>
                      <wps:txbx>
                        <w:txbxContent>
                          <w:p w14:paraId="66C4B2BF" w14:textId="77777777" w:rsidR="00412C65" w:rsidRPr="00095AAF" w:rsidRDefault="00412C65" w:rsidP="00E06A78">
                            <w:pPr>
                              <w:pStyle w:val="PortadaTipoLibro"/>
                              <w:spacing w:after="120"/>
                              <w:rPr>
                                <w:sz w:val="28"/>
                                <w:szCs w:val="28"/>
                              </w:rPr>
                            </w:pPr>
                            <w:r>
                              <w:rPr>
                                <w:sz w:val="28"/>
                                <w:szCs w:val="28"/>
                              </w:rPr>
                              <w:t xml:space="preserve">         </w:t>
                            </w:r>
                            <w:r w:rsidRPr="00095AAF">
                              <w:rPr>
                                <w:sz w:val="28"/>
                                <w:szCs w:val="28"/>
                              </w:rPr>
                              <w:t xml:space="preserve">departamento </w:t>
                            </w:r>
                            <w:r>
                              <w:rPr>
                                <w:sz w:val="28"/>
                                <w:szCs w:val="28"/>
                              </w:rPr>
                              <w:t xml:space="preserve">de </w:t>
                            </w:r>
                            <w:r w:rsidRPr="00095AAF">
                              <w:rPr>
                                <w:sz w:val="28"/>
                                <w:szCs w:val="28"/>
                              </w:rPr>
                              <w:t>contabilidad</w:t>
                            </w:r>
                          </w:p>
                          <w:p w14:paraId="230A3729" w14:textId="77777777" w:rsidR="00412C65" w:rsidRPr="003B4C2B" w:rsidRDefault="00412C65" w:rsidP="00E06A78">
                            <w:pPr>
                              <w:pStyle w:val="Portada"/>
                              <w:spacing w:after="120"/>
                              <w:rPr>
                                <w:sz w:val="26"/>
                                <w:szCs w:val="26"/>
                              </w:rPr>
                            </w:pPr>
                            <w:r w:rsidRPr="003B4C2B">
                              <w:rPr>
                                <w:sz w:val="26"/>
                                <w:szCs w:val="26"/>
                              </w:rPr>
                              <w:t xml:space="preserve">NOTAS COMPLEMENTARIAS A LOS </w:t>
                            </w:r>
                          </w:p>
                          <w:p w14:paraId="59F2D757" w14:textId="77777777" w:rsidR="00412C65" w:rsidRPr="008C4A8D" w:rsidRDefault="00412C65" w:rsidP="00E06A78">
                            <w:pPr>
                              <w:pStyle w:val="Portada"/>
                              <w:spacing w:after="120"/>
                              <w:rPr>
                                <w:b w:val="0"/>
                                <w:bCs/>
                                <w:sz w:val="28"/>
                                <w:szCs w:val="28"/>
                              </w:rPr>
                            </w:pPr>
                            <w:r w:rsidRPr="003B4C2B">
                              <w:rPr>
                                <w:sz w:val="26"/>
                                <w:szCs w:val="26"/>
                              </w:rPr>
                              <w:t>ESTADOS FINANCIEROS</w:t>
                            </w:r>
                          </w:p>
                          <w:p w14:paraId="543C0E54" w14:textId="1969211E" w:rsidR="00412C65" w:rsidRPr="002011F1" w:rsidRDefault="00412C65" w:rsidP="002011F1">
                            <w:pPr>
                              <w:pStyle w:val="Portada"/>
                              <w:spacing w:after="120"/>
                              <w:rPr>
                                <w:sz w:val="26"/>
                                <w:szCs w:val="26"/>
                              </w:rPr>
                            </w:pPr>
                            <w:r w:rsidRPr="003B4C2B">
                              <w:rPr>
                                <w:sz w:val="26"/>
                                <w:szCs w:val="26"/>
                              </w:rPr>
                              <w:t xml:space="preserve">Al </w:t>
                            </w:r>
                            <w:r w:rsidR="006A5162">
                              <w:rPr>
                                <w:sz w:val="26"/>
                                <w:szCs w:val="26"/>
                              </w:rPr>
                              <w:t>3</w:t>
                            </w:r>
                            <w:r w:rsidR="003C42E1">
                              <w:rPr>
                                <w:sz w:val="26"/>
                                <w:szCs w:val="26"/>
                              </w:rPr>
                              <w:t>1</w:t>
                            </w:r>
                            <w:r w:rsidR="000843D2">
                              <w:rPr>
                                <w:sz w:val="26"/>
                                <w:szCs w:val="26"/>
                              </w:rPr>
                              <w:t xml:space="preserve"> de </w:t>
                            </w:r>
                            <w:r w:rsidR="003C42E1">
                              <w:rPr>
                                <w:sz w:val="26"/>
                                <w:szCs w:val="26"/>
                              </w:rPr>
                              <w:t>Mayo</w:t>
                            </w:r>
                            <w:r w:rsidR="00DD0E99">
                              <w:rPr>
                                <w:sz w:val="26"/>
                                <w:szCs w:val="26"/>
                              </w:rPr>
                              <w:t xml:space="preserve"> </w:t>
                            </w:r>
                            <w:r w:rsidRPr="003B4C2B">
                              <w:rPr>
                                <w:sz w:val="26"/>
                                <w:szCs w:val="26"/>
                              </w:rPr>
                              <w:t>de</w:t>
                            </w:r>
                            <w:r>
                              <w:rPr>
                                <w:sz w:val="26"/>
                                <w:szCs w:val="26"/>
                              </w:rPr>
                              <w:t>l</w:t>
                            </w:r>
                            <w:r w:rsidRPr="003B4C2B">
                              <w:rPr>
                                <w:sz w:val="26"/>
                                <w:szCs w:val="26"/>
                              </w:rPr>
                              <w:t xml:space="preserve"> </w:t>
                            </w:r>
                            <w:r>
                              <w:rPr>
                                <w:sz w:val="26"/>
                                <w:szCs w:val="26"/>
                              </w:rPr>
                              <w:t>201</w:t>
                            </w:r>
                            <w:r w:rsidR="00DD05F9">
                              <w:rPr>
                                <w:sz w:val="26"/>
                                <w:szCs w:val="2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F08664" id="_x0000_t202" coordsize="21600,21600" o:spt="202" path="m,l,21600r21600,l21600,xe">
                <v:stroke joinstyle="miter"/>
                <v:path gradientshapeok="t" o:connecttype="rect"/>
              </v:shapetype>
              <v:shape id="9 Cuadro de texto" o:spid="_x0000_s1026" type="#_x0000_t202" style="position:absolute;margin-left:4.35pt;margin-top:420.75pt;width:377.75pt;height: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" o:allowincell="f" o:allowoverlap="f" filled="f" stroked="f" strokeweight=".5pt">
                <v:path arrowok="t"/>
                <v:textbox>
                  <w:txbxContent>
                    <w:p w14:paraId="66C4B2BF" w14:textId="77777777" w:rsidR="00412C65" w:rsidRPr="00095AAF" w:rsidRDefault="00412C65" w:rsidP="00E06A78">
                      <w:pPr>
                        <w:pStyle w:val="PortadaTipoLibro"/>
                        <w:spacing w:after="120"/>
                        <w:rPr>
                          <w:sz w:val="28"/>
                          <w:szCs w:val="28"/>
                        </w:rPr>
                      </w:pPr>
                      <w:r>
                        <w:rPr>
                          <w:sz w:val="28"/>
                          <w:szCs w:val="28"/>
                        </w:rPr>
                        <w:t xml:space="preserve">         </w:t>
                      </w:r>
                      <w:r w:rsidRPr="00095AAF">
                        <w:rPr>
                          <w:sz w:val="28"/>
                          <w:szCs w:val="28"/>
                        </w:rPr>
                        <w:t xml:space="preserve">departamento </w:t>
                      </w:r>
                      <w:r>
                        <w:rPr>
                          <w:sz w:val="28"/>
                          <w:szCs w:val="28"/>
                        </w:rPr>
                        <w:t xml:space="preserve">de </w:t>
                      </w:r>
                      <w:r w:rsidRPr="00095AAF">
                        <w:rPr>
                          <w:sz w:val="28"/>
                          <w:szCs w:val="28"/>
                        </w:rPr>
                        <w:t>contabilidad</w:t>
                      </w:r>
                    </w:p>
                    <w:p w14:paraId="230A3729" w14:textId="77777777" w:rsidR="00412C65" w:rsidRPr="003B4C2B" w:rsidRDefault="00412C65" w:rsidP="00E06A78">
                      <w:pPr>
                        <w:pStyle w:val="Portada"/>
                        <w:spacing w:after="120"/>
                        <w:rPr>
                          <w:sz w:val="26"/>
                          <w:szCs w:val="26"/>
                        </w:rPr>
                      </w:pPr>
                      <w:r w:rsidRPr="003B4C2B">
                        <w:rPr>
                          <w:sz w:val="26"/>
                          <w:szCs w:val="26"/>
                        </w:rPr>
                        <w:t xml:space="preserve">NOTAS COMPLEMENTARIAS A LOS </w:t>
                      </w:r>
                    </w:p>
                    <w:p w14:paraId="59F2D757" w14:textId="77777777" w:rsidR="00412C65" w:rsidRPr="008C4A8D" w:rsidRDefault="00412C65" w:rsidP="00E06A78">
                      <w:pPr>
                        <w:pStyle w:val="Portada"/>
                        <w:spacing w:after="120"/>
                        <w:rPr>
                          <w:b w:val="0"/>
                          <w:bCs/>
                          <w:sz w:val="28"/>
                          <w:szCs w:val="28"/>
                        </w:rPr>
                      </w:pPr>
                      <w:r w:rsidRPr="003B4C2B">
                        <w:rPr>
                          <w:sz w:val="26"/>
                          <w:szCs w:val="26"/>
                        </w:rPr>
                        <w:t>ESTADOS FINANCIEROS</w:t>
                      </w:r>
                    </w:p>
                    <w:p w14:paraId="543C0E54" w14:textId="1969211E" w:rsidR="00412C65" w:rsidRPr="002011F1" w:rsidRDefault="00412C65" w:rsidP="002011F1">
                      <w:pPr>
                        <w:pStyle w:val="Portada"/>
                        <w:spacing w:after="120"/>
                        <w:rPr>
                          <w:sz w:val="26"/>
                          <w:szCs w:val="26"/>
                        </w:rPr>
                      </w:pPr>
                      <w:r w:rsidRPr="003B4C2B">
                        <w:rPr>
                          <w:sz w:val="26"/>
                          <w:szCs w:val="26"/>
                        </w:rPr>
                        <w:t xml:space="preserve">Al </w:t>
                      </w:r>
                      <w:r w:rsidR="006A5162">
                        <w:rPr>
                          <w:sz w:val="26"/>
                          <w:szCs w:val="26"/>
                        </w:rPr>
                        <w:t>3</w:t>
                      </w:r>
                      <w:r w:rsidR="003C42E1">
                        <w:rPr>
                          <w:sz w:val="26"/>
                          <w:szCs w:val="26"/>
                        </w:rPr>
                        <w:t>1</w:t>
                      </w:r>
                      <w:r w:rsidR="000843D2">
                        <w:rPr>
                          <w:sz w:val="26"/>
                          <w:szCs w:val="26"/>
                        </w:rPr>
                        <w:t xml:space="preserve"> de </w:t>
                      </w:r>
                      <w:r w:rsidR="003C42E1">
                        <w:rPr>
                          <w:sz w:val="26"/>
                          <w:szCs w:val="26"/>
                        </w:rPr>
                        <w:t>Mayo</w:t>
                      </w:r>
                      <w:r w:rsidR="00DD0E99">
                        <w:rPr>
                          <w:sz w:val="26"/>
                          <w:szCs w:val="26"/>
                        </w:rPr>
                        <w:t xml:space="preserve"> </w:t>
                      </w:r>
                      <w:r w:rsidRPr="003B4C2B">
                        <w:rPr>
                          <w:sz w:val="26"/>
                          <w:szCs w:val="26"/>
                        </w:rPr>
                        <w:t>de</w:t>
                      </w:r>
                      <w:r>
                        <w:rPr>
                          <w:sz w:val="26"/>
                          <w:szCs w:val="26"/>
                        </w:rPr>
                        <w:t>l</w:t>
                      </w:r>
                      <w:r w:rsidRPr="003B4C2B">
                        <w:rPr>
                          <w:sz w:val="26"/>
                          <w:szCs w:val="26"/>
                        </w:rPr>
                        <w:t xml:space="preserve"> </w:t>
                      </w:r>
                      <w:r>
                        <w:rPr>
                          <w:sz w:val="26"/>
                          <w:szCs w:val="26"/>
                        </w:rPr>
                        <w:t>201</w:t>
                      </w:r>
                      <w:r w:rsidR="00DD05F9">
                        <w:rPr>
                          <w:sz w:val="26"/>
                          <w:szCs w:val="26"/>
                        </w:rPr>
                        <w:t>7</w:t>
                      </w:r>
                    </w:p>
                  </w:txbxContent>
                </v:textbox>
                <w10:wrap anchory="page"/>
                <w10:anchorlock/>
              </v:shape>
            </w:pict>
          </mc:Fallback>
        </mc:AlternateContent>
      </w:r>
      <w:r>
        <w:rPr>
          <w:noProof/>
          <w:lang w:val="es-CR" w:eastAsia="es-CR"/>
        </w:rPr>
        <w:drawing>
          <wp:inline distT="0" distB="0" distL="0" distR="0" wp14:anchorId="64F08666" wp14:editId="64F08667">
            <wp:extent cx="5177140" cy="1734820"/>
            <wp:effectExtent l="0" t="0" r="508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ortada-Conta-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177140" cy="1734820"/>
                    </a:xfrm>
                    <a:prstGeom prst="rect">
                      <a:avLst/>
                    </a:prstGeom>
                    <a:noFill/>
                    <a:ln>
                      <a:noFill/>
                    </a:ln>
                  </pic:spPr>
                </pic:pic>
              </a:graphicData>
            </a:graphic>
          </wp:inline>
        </w:drawing>
      </w:r>
    </w:p>
    <w:p w14:paraId="3D2141FF" w14:textId="77777777" w:rsidR="00E06A78" w:rsidRPr="002F343E" w:rsidRDefault="00E06A78" w:rsidP="00E06A78">
      <w:pPr>
        <w:spacing w:after="200"/>
        <w:sectPr w:rsidR="00E06A78" w:rsidRPr="002F343E" w:rsidSect="00E06A78">
          <w:footerReference w:type="even" r:id="rId13"/>
          <w:type w:val="continuous"/>
          <w:pgSz w:w="12240" w:h="15840" w:code="1"/>
          <w:pgMar w:top="1701" w:right="1814" w:bottom="1418" w:left="2268" w:header="567" w:footer="567" w:gutter="0"/>
          <w:pgNumType w:start="0"/>
          <w:cols w:space="708"/>
          <w:titlePg/>
          <w:docGrid w:linePitch="360"/>
        </w:sectPr>
      </w:pPr>
    </w:p>
    <w:p w14:paraId="3FEDA4B6" w14:textId="77777777" w:rsidR="00D04ACC" w:rsidRDefault="00D04ACC" w:rsidP="006319CF">
      <w:pPr>
        <w:pStyle w:val="Subttulo"/>
      </w:pPr>
    </w:p>
    <w:p w14:paraId="1AD4A220" w14:textId="77777777" w:rsidR="00D04ACC" w:rsidRDefault="00D04ACC" w:rsidP="006319CF">
      <w:pPr>
        <w:pStyle w:val="Subttulo"/>
      </w:pPr>
    </w:p>
    <w:p w14:paraId="6A5C6E74" w14:textId="77777777" w:rsidR="00D04ACC" w:rsidRDefault="00D04ACC" w:rsidP="006319CF">
      <w:pPr>
        <w:pStyle w:val="Subttulo"/>
      </w:pPr>
    </w:p>
    <w:p w14:paraId="77064742" w14:textId="77777777" w:rsidR="002011F1" w:rsidRDefault="00AD13F6">
      <w:pPr>
        <w:rPr>
          <w:rFonts w:asciiTheme="majorHAnsi" w:eastAsiaTheme="majorEastAsia" w:hAnsiTheme="majorHAnsi" w:cstheme="majorBidi"/>
          <w:i/>
          <w:iCs/>
          <w:color w:val="4F81BD" w:themeColor="accent1"/>
          <w:spacing w:val="15"/>
        </w:rPr>
      </w:pPr>
      <w:r>
        <w:rPr>
          <w:noProof/>
          <w:lang w:val="es-CR" w:eastAsia="es-CR"/>
        </w:rPr>
        <mc:AlternateContent>
          <mc:Choice Requires="wps">
            <w:drawing>
              <wp:anchor distT="0" distB="0" distL="114300" distR="114300" simplePos="0" relativeHeight="251657216" behindDoc="0" locked="0" layoutInCell="1" allowOverlap="1" wp14:anchorId="64F08668" wp14:editId="64F08669">
                <wp:simplePos x="0" y="0"/>
                <wp:positionH relativeFrom="column">
                  <wp:posOffset>1403985</wp:posOffset>
                </wp:positionH>
                <wp:positionV relativeFrom="paragraph">
                  <wp:posOffset>8310245</wp:posOffset>
                </wp:positionV>
                <wp:extent cx="3894455" cy="349885"/>
                <wp:effectExtent l="0" t="0" r="0" b="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4455"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E806D5" w14:textId="77777777" w:rsidR="00412C65" w:rsidRPr="00C509B6" w:rsidRDefault="00412C65" w:rsidP="00DF3193">
                            <w:pPr>
                              <w:pStyle w:val="Departamento-portada"/>
                            </w:pPr>
                            <w:r w:rsidRPr="00C509B6">
                              <w:t>DEPARTAMENTO DE COTABILIDAD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08668" id="Text Box 12" o:spid="_x0000_s1027" type="#_x0000_t202" style="position:absolute;margin-left:110.55pt;margin-top:654.35pt;width:306.65pt;height:2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6Kw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3x0jQHnr0wPYG3co9CiNbn3HQGbjdD+Bo9nAOvo6rHu5k9VUjIZctFRt2o5QcW0ZryC+0N/2z&#10;qxOOtiDr8YOsIQ7dGumA9o3qbfGgHAjQoU+Pp97YXCo4vExSQuIYowpslyRNkt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" filled="f" stroked="f">
                <v:textbox>
                  <w:txbxContent>
                    <w:p w14:paraId="1EE806D5" w14:textId="77777777" w:rsidR="00412C65" w:rsidRPr="00C509B6" w:rsidRDefault="00412C65" w:rsidP="00DF3193">
                      <w:pPr>
                        <w:pStyle w:val="Departamento-portada"/>
                      </w:pPr>
                      <w:r w:rsidRPr="00C509B6">
                        <w:t>DEPARTAMENTO DE COTABILIDAD</w:t>
                      </w:r>
                    </w:p>
                  </w:txbxContent>
                </v:textbox>
              </v:shape>
            </w:pict>
          </mc:Fallback>
        </mc:AlternateContent>
      </w:r>
      <w:r w:rsidR="00BC62B7">
        <w:br w:type="page"/>
      </w:r>
    </w:p>
    <w:p w14:paraId="465ADA31" w14:textId="77777777" w:rsidR="002011F1" w:rsidRPr="002011F1" w:rsidRDefault="002011F1"/>
    <w:p w14:paraId="26716836" w14:textId="77777777" w:rsidR="00BC62B7" w:rsidRPr="0019670A" w:rsidRDefault="00BC62B7" w:rsidP="0000291B">
      <w:pPr>
        <w:pStyle w:val="Tituloinicial"/>
        <w:spacing w:after="120"/>
        <w:ind w:left="0"/>
        <w:jc w:val="center"/>
        <w:rPr>
          <w:rFonts w:ascii="Times New Roman" w:hAnsi="Times New Roman"/>
          <w:color w:val="333399"/>
        </w:rPr>
      </w:pPr>
      <w:r w:rsidRPr="0019670A">
        <w:rPr>
          <w:rFonts w:ascii="Times New Roman" w:hAnsi="Times New Roman"/>
          <w:color w:val="333399"/>
        </w:rPr>
        <w:t>ÍNDICE</w:t>
      </w:r>
    </w:p>
    <w:p w14:paraId="67B7B45C" w14:textId="77777777" w:rsidR="00626EC7" w:rsidRDefault="007B551B" w:rsidP="00117BED">
      <w:pPr>
        <w:pStyle w:val="Tituloinicial"/>
        <w:spacing w:after="120"/>
        <w:ind w:left="0"/>
        <w:jc w:val="center"/>
        <w:rPr>
          <w:rFonts w:ascii="Times New Roman" w:hAnsi="Times New Roman"/>
          <w:color w:val="333399"/>
        </w:rPr>
      </w:pPr>
      <w:r>
        <w:rPr>
          <w:rFonts w:ascii="Times New Roman" w:hAnsi="Times New Roman"/>
          <w:color w:val="333399"/>
        </w:rPr>
        <w:t xml:space="preserve">NOTAS COMPLEMENTARIAS AL </w:t>
      </w:r>
      <w:r w:rsidR="00FD33D9">
        <w:rPr>
          <w:rFonts w:ascii="Times New Roman" w:hAnsi="Times New Roman"/>
          <w:color w:val="333399"/>
        </w:rPr>
        <w:t>ESTADO</w:t>
      </w:r>
      <w:r>
        <w:rPr>
          <w:rFonts w:ascii="Times New Roman" w:hAnsi="Times New Roman"/>
          <w:color w:val="333399"/>
        </w:rPr>
        <w:t xml:space="preserve"> DE</w:t>
      </w:r>
    </w:p>
    <w:p w14:paraId="0D8F17F9" w14:textId="77777777" w:rsidR="007B551B" w:rsidRDefault="007B551B" w:rsidP="00117BED">
      <w:pPr>
        <w:pStyle w:val="Tituloinicial"/>
        <w:spacing w:after="120"/>
        <w:ind w:left="0"/>
        <w:jc w:val="center"/>
        <w:rPr>
          <w:rFonts w:ascii="Times New Roman" w:hAnsi="Times New Roman"/>
          <w:color w:val="333399"/>
        </w:rPr>
      </w:pPr>
      <w:r>
        <w:rPr>
          <w:rFonts w:ascii="Times New Roman" w:hAnsi="Times New Roman"/>
          <w:color w:val="333399"/>
        </w:rPr>
        <w:t>SITUACI</w:t>
      </w:r>
      <w:r w:rsidR="00A562C3">
        <w:rPr>
          <w:rFonts w:ascii="Times New Roman" w:hAnsi="Times New Roman"/>
          <w:color w:val="333399"/>
        </w:rPr>
        <w:t>Ó</w:t>
      </w:r>
      <w:r>
        <w:rPr>
          <w:rFonts w:ascii="Times New Roman" w:hAnsi="Times New Roman"/>
          <w:color w:val="333399"/>
        </w:rPr>
        <w:t>N FINANCIERA</w:t>
      </w:r>
    </w:p>
    <w:p w14:paraId="45976A2C" w14:textId="33EDBE68" w:rsidR="00BC62B7" w:rsidRDefault="003C42E1" w:rsidP="00117BED">
      <w:pPr>
        <w:pStyle w:val="Tituloinicial"/>
        <w:spacing w:after="120"/>
        <w:ind w:left="0"/>
        <w:jc w:val="center"/>
        <w:rPr>
          <w:rFonts w:ascii="Times New Roman" w:hAnsi="Times New Roman"/>
          <w:color w:val="333399"/>
        </w:rPr>
      </w:pPr>
      <w:r>
        <w:rPr>
          <w:rFonts w:ascii="Times New Roman" w:hAnsi="Times New Roman"/>
          <w:color w:val="333399"/>
        </w:rPr>
        <w:t>MAYO</w:t>
      </w:r>
      <w:r w:rsidR="00DD0E99">
        <w:rPr>
          <w:rFonts w:ascii="Times New Roman" w:hAnsi="Times New Roman"/>
          <w:color w:val="333399"/>
        </w:rPr>
        <w:t xml:space="preserve"> </w:t>
      </w:r>
      <w:r w:rsidR="00DD05F9">
        <w:rPr>
          <w:rFonts w:ascii="Times New Roman" w:hAnsi="Times New Roman"/>
          <w:color w:val="333399"/>
        </w:rPr>
        <w:t>2017</w:t>
      </w:r>
    </w:p>
    <w:p w14:paraId="783B3FDB" w14:textId="77777777" w:rsidR="004C5D5D" w:rsidRPr="0019670A" w:rsidRDefault="004C5D5D" w:rsidP="00117BED">
      <w:pPr>
        <w:pStyle w:val="Tituloinicial"/>
        <w:spacing w:after="120"/>
        <w:ind w:left="0"/>
        <w:jc w:val="center"/>
        <w:rPr>
          <w:rFonts w:ascii="Times New Roman" w:hAnsi="Times New Roman"/>
          <w:color w:val="333399"/>
        </w:rPr>
      </w:pPr>
    </w:p>
    <w:p w14:paraId="5D35DF09" w14:textId="2818F463" w:rsidR="00403D36" w:rsidRDefault="004872CA">
      <w:pPr>
        <w:pStyle w:val="TDC1"/>
        <w:rPr>
          <w:rFonts w:asciiTheme="minorHAnsi" w:eastAsiaTheme="minorEastAsia" w:hAnsiTheme="minorHAnsi" w:cstheme="minorBidi"/>
          <w:b w:val="0"/>
          <w:color w:val="auto"/>
          <w:sz w:val="22"/>
          <w:szCs w:val="22"/>
          <w:lang w:eastAsia="es-CR"/>
        </w:rPr>
      </w:pPr>
      <w:r w:rsidRPr="001C4C27">
        <w:rPr>
          <w:b w:val="0"/>
        </w:rPr>
        <w:fldChar w:fldCharType="begin"/>
      </w:r>
      <w:r w:rsidR="00BC62B7" w:rsidRPr="001C4C27">
        <w:rPr>
          <w:b w:val="0"/>
        </w:rPr>
        <w:instrText xml:space="preserve"> TOC \o "1-3" \h \z \u </w:instrText>
      </w:r>
      <w:r w:rsidRPr="001C4C27">
        <w:rPr>
          <w:b w:val="0"/>
        </w:rPr>
        <w:fldChar w:fldCharType="separate"/>
      </w:r>
    </w:p>
    <w:p w14:paraId="76BA5400"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26" w:history="1">
        <w:r w:rsidRPr="0054137D">
          <w:rPr>
            <w:rStyle w:val="Hipervnculo"/>
          </w:rPr>
          <w:t>INFORMACIÓN A REVELAR ACERCA DEL ESTADO DE SITUACIÓN FINANCIERA AL 31 DE MAYO DEL 2017</w:t>
        </w:r>
        <w:r>
          <w:rPr>
            <w:webHidden/>
          </w:rPr>
          <w:tab/>
        </w:r>
        <w:r>
          <w:rPr>
            <w:webHidden/>
          </w:rPr>
          <w:fldChar w:fldCharType="begin"/>
        </w:r>
        <w:r>
          <w:rPr>
            <w:webHidden/>
          </w:rPr>
          <w:instrText xml:space="preserve"> PAGEREF _Toc486408026 \h </w:instrText>
        </w:r>
        <w:r>
          <w:rPr>
            <w:webHidden/>
          </w:rPr>
        </w:r>
        <w:r>
          <w:rPr>
            <w:webHidden/>
          </w:rPr>
          <w:fldChar w:fldCharType="separate"/>
        </w:r>
        <w:r>
          <w:rPr>
            <w:webHidden/>
          </w:rPr>
          <w:t>1</w:t>
        </w:r>
        <w:r>
          <w:rPr>
            <w:webHidden/>
          </w:rPr>
          <w:fldChar w:fldCharType="end"/>
        </w:r>
      </w:hyperlink>
    </w:p>
    <w:p w14:paraId="65358E3E"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27" w:history="1">
        <w:r w:rsidRPr="0054137D">
          <w:rPr>
            <w:rStyle w:val="Hipervnculo"/>
          </w:rPr>
          <w:t>Entidad que informa</w:t>
        </w:r>
        <w:r>
          <w:rPr>
            <w:webHidden/>
          </w:rPr>
          <w:tab/>
        </w:r>
        <w:r>
          <w:rPr>
            <w:webHidden/>
          </w:rPr>
          <w:fldChar w:fldCharType="begin"/>
        </w:r>
        <w:r>
          <w:rPr>
            <w:webHidden/>
          </w:rPr>
          <w:instrText xml:space="preserve"> PAGEREF _Toc486408027 \h </w:instrText>
        </w:r>
        <w:r>
          <w:rPr>
            <w:webHidden/>
          </w:rPr>
        </w:r>
        <w:r>
          <w:rPr>
            <w:webHidden/>
          </w:rPr>
          <w:fldChar w:fldCharType="separate"/>
        </w:r>
        <w:r>
          <w:rPr>
            <w:webHidden/>
          </w:rPr>
          <w:t>1</w:t>
        </w:r>
        <w:r>
          <w:rPr>
            <w:webHidden/>
          </w:rPr>
          <w:fldChar w:fldCharType="end"/>
        </w:r>
      </w:hyperlink>
    </w:p>
    <w:p w14:paraId="529EBF4F"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28" w:history="1">
        <w:r w:rsidRPr="0054137D">
          <w:rPr>
            <w:rStyle w:val="Hipervnculo"/>
          </w:rPr>
          <w:t>Patrimonio</w:t>
        </w:r>
        <w:r>
          <w:rPr>
            <w:webHidden/>
          </w:rPr>
          <w:tab/>
        </w:r>
        <w:r>
          <w:rPr>
            <w:webHidden/>
          </w:rPr>
          <w:fldChar w:fldCharType="begin"/>
        </w:r>
        <w:r>
          <w:rPr>
            <w:webHidden/>
          </w:rPr>
          <w:instrText xml:space="preserve"> PAGEREF _Toc486408028 \h </w:instrText>
        </w:r>
        <w:r>
          <w:rPr>
            <w:webHidden/>
          </w:rPr>
        </w:r>
        <w:r>
          <w:rPr>
            <w:webHidden/>
          </w:rPr>
          <w:fldChar w:fldCharType="separate"/>
        </w:r>
        <w:r>
          <w:rPr>
            <w:webHidden/>
          </w:rPr>
          <w:t>2</w:t>
        </w:r>
        <w:r>
          <w:rPr>
            <w:webHidden/>
          </w:rPr>
          <w:fldChar w:fldCharType="end"/>
        </w:r>
      </w:hyperlink>
    </w:p>
    <w:p w14:paraId="2F1E0AEC"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29" w:history="1">
        <w:r w:rsidRPr="0054137D">
          <w:rPr>
            <w:rStyle w:val="Hipervnculo"/>
          </w:rPr>
          <w:t>Impuestos</w:t>
        </w:r>
        <w:r>
          <w:rPr>
            <w:webHidden/>
          </w:rPr>
          <w:tab/>
        </w:r>
        <w:r>
          <w:rPr>
            <w:webHidden/>
          </w:rPr>
          <w:fldChar w:fldCharType="begin"/>
        </w:r>
        <w:r>
          <w:rPr>
            <w:webHidden/>
          </w:rPr>
          <w:instrText xml:space="preserve"> PAGEREF _Toc486408029 \h </w:instrText>
        </w:r>
        <w:r>
          <w:rPr>
            <w:webHidden/>
          </w:rPr>
        </w:r>
        <w:r>
          <w:rPr>
            <w:webHidden/>
          </w:rPr>
          <w:fldChar w:fldCharType="separate"/>
        </w:r>
        <w:r>
          <w:rPr>
            <w:webHidden/>
          </w:rPr>
          <w:t>3</w:t>
        </w:r>
        <w:r>
          <w:rPr>
            <w:webHidden/>
          </w:rPr>
          <w:fldChar w:fldCharType="end"/>
        </w:r>
      </w:hyperlink>
    </w:p>
    <w:p w14:paraId="2E95D5AE"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30" w:history="1">
        <w:r w:rsidRPr="0054137D">
          <w:rPr>
            <w:rStyle w:val="Hipervnculo"/>
          </w:rPr>
          <w:t>Ejercicio financiero</w:t>
        </w:r>
        <w:r>
          <w:rPr>
            <w:webHidden/>
          </w:rPr>
          <w:tab/>
        </w:r>
        <w:r>
          <w:rPr>
            <w:webHidden/>
          </w:rPr>
          <w:fldChar w:fldCharType="begin"/>
        </w:r>
        <w:r>
          <w:rPr>
            <w:webHidden/>
          </w:rPr>
          <w:instrText xml:space="preserve"> PAGEREF _Toc486408030 \h </w:instrText>
        </w:r>
        <w:r>
          <w:rPr>
            <w:webHidden/>
          </w:rPr>
        </w:r>
        <w:r>
          <w:rPr>
            <w:webHidden/>
          </w:rPr>
          <w:fldChar w:fldCharType="separate"/>
        </w:r>
        <w:r>
          <w:rPr>
            <w:webHidden/>
          </w:rPr>
          <w:t>3</w:t>
        </w:r>
        <w:r>
          <w:rPr>
            <w:webHidden/>
          </w:rPr>
          <w:fldChar w:fldCharType="end"/>
        </w:r>
      </w:hyperlink>
    </w:p>
    <w:p w14:paraId="453334CD"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31" w:history="1">
        <w:r w:rsidRPr="0054137D">
          <w:rPr>
            <w:rStyle w:val="Hipervnculo"/>
          </w:rPr>
          <w:t>Base contable</w:t>
        </w:r>
        <w:r>
          <w:rPr>
            <w:webHidden/>
          </w:rPr>
          <w:tab/>
        </w:r>
        <w:r>
          <w:rPr>
            <w:webHidden/>
          </w:rPr>
          <w:fldChar w:fldCharType="begin"/>
        </w:r>
        <w:r>
          <w:rPr>
            <w:webHidden/>
          </w:rPr>
          <w:instrText xml:space="preserve"> PAGEREF _Toc486408031 \h </w:instrText>
        </w:r>
        <w:r>
          <w:rPr>
            <w:webHidden/>
          </w:rPr>
        </w:r>
        <w:r>
          <w:rPr>
            <w:webHidden/>
          </w:rPr>
          <w:fldChar w:fldCharType="separate"/>
        </w:r>
        <w:r>
          <w:rPr>
            <w:webHidden/>
          </w:rPr>
          <w:t>3</w:t>
        </w:r>
        <w:r>
          <w:rPr>
            <w:webHidden/>
          </w:rPr>
          <w:fldChar w:fldCharType="end"/>
        </w:r>
      </w:hyperlink>
    </w:p>
    <w:p w14:paraId="587D65FA"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32" w:history="1">
        <w:r w:rsidRPr="0054137D">
          <w:rPr>
            <w:rStyle w:val="Hipervnculo"/>
          </w:rPr>
          <w:t>Moneda funcional y de presentación</w:t>
        </w:r>
        <w:r>
          <w:rPr>
            <w:webHidden/>
          </w:rPr>
          <w:tab/>
        </w:r>
        <w:r>
          <w:rPr>
            <w:webHidden/>
          </w:rPr>
          <w:fldChar w:fldCharType="begin"/>
        </w:r>
        <w:r>
          <w:rPr>
            <w:webHidden/>
          </w:rPr>
          <w:instrText xml:space="preserve"> PAGEREF _Toc486408032 \h </w:instrText>
        </w:r>
        <w:r>
          <w:rPr>
            <w:webHidden/>
          </w:rPr>
        </w:r>
        <w:r>
          <w:rPr>
            <w:webHidden/>
          </w:rPr>
          <w:fldChar w:fldCharType="separate"/>
        </w:r>
        <w:r>
          <w:rPr>
            <w:webHidden/>
          </w:rPr>
          <w:t>3</w:t>
        </w:r>
        <w:r>
          <w:rPr>
            <w:webHidden/>
          </w:rPr>
          <w:fldChar w:fldCharType="end"/>
        </w:r>
      </w:hyperlink>
    </w:p>
    <w:p w14:paraId="5DBE08ED"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33" w:history="1">
        <w:r w:rsidRPr="0054137D">
          <w:rPr>
            <w:rStyle w:val="Hipervnculo"/>
          </w:rPr>
          <w:t>Bases de medición</w:t>
        </w:r>
        <w:r>
          <w:rPr>
            <w:webHidden/>
          </w:rPr>
          <w:tab/>
        </w:r>
        <w:r>
          <w:rPr>
            <w:webHidden/>
          </w:rPr>
          <w:fldChar w:fldCharType="begin"/>
        </w:r>
        <w:r>
          <w:rPr>
            <w:webHidden/>
          </w:rPr>
          <w:instrText xml:space="preserve"> PAGEREF _Toc486408033 \h </w:instrText>
        </w:r>
        <w:r>
          <w:rPr>
            <w:webHidden/>
          </w:rPr>
        </w:r>
        <w:r>
          <w:rPr>
            <w:webHidden/>
          </w:rPr>
          <w:fldChar w:fldCharType="separate"/>
        </w:r>
        <w:r>
          <w:rPr>
            <w:webHidden/>
          </w:rPr>
          <w:t>4</w:t>
        </w:r>
        <w:r>
          <w:rPr>
            <w:webHidden/>
          </w:rPr>
          <w:fldChar w:fldCharType="end"/>
        </w:r>
      </w:hyperlink>
    </w:p>
    <w:p w14:paraId="5E695585"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34" w:history="1">
        <w:r w:rsidRPr="0054137D">
          <w:rPr>
            <w:rStyle w:val="Hipervnculo"/>
          </w:rPr>
          <w:t>Aprobación y Refrendo de Estados Financieros</w:t>
        </w:r>
        <w:r>
          <w:rPr>
            <w:webHidden/>
          </w:rPr>
          <w:tab/>
        </w:r>
        <w:r>
          <w:rPr>
            <w:webHidden/>
          </w:rPr>
          <w:fldChar w:fldCharType="begin"/>
        </w:r>
        <w:r>
          <w:rPr>
            <w:webHidden/>
          </w:rPr>
          <w:instrText xml:space="preserve"> PAGEREF _Toc486408034 \h </w:instrText>
        </w:r>
        <w:r>
          <w:rPr>
            <w:webHidden/>
          </w:rPr>
        </w:r>
        <w:r>
          <w:rPr>
            <w:webHidden/>
          </w:rPr>
          <w:fldChar w:fldCharType="separate"/>
        </w:r>
        <w:r>
          <w:rPr>
            <w:webHidden/>
          </w:rPr>
          <w:t>4</w:t>
        </w:r>
        <w:r>
          <w:rPr>
            <w:webHidden/>
          </w:rPr>
          <w:fldChar w:fldCharType="end"/>
        </w:r>
      </w:hyperlink>
    </w:p>
    <w:p w14:paraId="0A02BEF7"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35" w:history="1">
        <w:r w:rsidRPr="0054137D">
          <w:rPr>
            <w:rStyle w:val="Hipervnculo"/>
          </w:rPr>
          <w:t>Políticas contables significativas</w:t>
        </w:r>
        <w:r>
          <w:rPr>
            <w:webHidden/>
          </w:rPr>
          <w:tab/>
        </w:r>
        <w:r>
          <w:rPr>
            <w:webHidden/>
          </w:rPr>
          <w:fldChar w:fldCharType="begin"/>
        </w:r>
        <w:r>
          <w:rPr>
            <w:webHidden/>
          </w:rPr>
          <w:instrText xml:space="preserve"> PAGEREF _Toc486408035 \h </w:instrText>
        </w:r>
        <w:r>
          <w:rPr>
            <w:webHidden/>
          </w:rPr>
        </w:r>
        <w:r>
          <w:rPr>
            <w:webHidden/>
          </w:rPr>
          <w:fldChar w:fldCharType="separate"/>
        </w:r>
        <w:r>
          <w:rPr>
            <w:webHidden/>
          </w:rPr>
          <w:t>5</w:t>
        </w:r>
        <w:r>
          <w:rPr>
            <w:webHidden/>
          </w:rPr>
          <w:fldChar w:fldCharType="end"/>
        </w:r>
      </w:hyperlink>
    </w:p>
    <w:p w14:paraId="2664AF92"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36" w:history="1">
        <w:r w:rsidRPr="0054137D">
          <w:rPr>
            <w:rStyle w:val="Hipervnculo"/>
          </w:rPr>
          <w:t>Composición del resultado del período</w:t>
        </w:r>
        <w:r>
          <w:rPr>
            <w:webHidden/>
          </w:rPr>
          <w:tab/>
        </w:r>
        <w:r>
          <w:rPr>
            <w:webHidden/>
          </w:rPr>
          <w:fldChar w:fldCharType="begin"/>
        </w:r>
        <w:r>
          <w:rPr>
            <w:webHidden/>
          </w:rPr>
          <w:instrText xml:space="preserve"> PAGEREF _Toc486408036 \h </w:instrText>
        </w:r>
        <w:r>
          <w:rPr>
            <w:webHidden/>
          </w:rPr>
        </w:r>
        <w:r>
          <w:rPr>
            <w:webHidden/>
          </w:rPr>
          <w:fldChar w:fldCharType="separate"/>
        </w:r>
        <w:r>
          <w:rPr>
            <w:webHidden/>
          </w:rPr>
          <w:t>12</w:t>
        </w:r>
        <w:r>
          <w:rPr>
            <w:webHidden/>
          </w:rPr>
          <w:fldChar w:fldCharType="end"/>
        </w:r>
      </w:hyperlink>
    </w:p>
    <w:p w14:paraId="7FB04376" w14:textId="77777777" w:rsidR="00403D36" w:rsidRDefault="00403D36">
      <w:pPr>
        <w:pStyle w:val="TDC1"/>
        <w:rPr>
          <w:rFonts w:asciiTheme="minorHAnsi" w:eastAsiaTheme="minorEastAsia" w:hAnsiTheme="minorHAnsi" w:cstheme="minorBidi"/>
          <w:b w:val="0"/>
          <w:color w:val="auto"/>
          <w:sz w:val="22"/>
          <w:szCs w:val="22"/>
          <w:lang w:eastAsia="es-CR"/>
        </w:rPr>
      </w:pPr>
      <w:hyperlink w:anchor="_Toc486408037" w:history="1">
        <w:r w:rsidRPr="0054137D">
          <w:rPr>
            <w:rStyle w:val="Hipervnculo"/>
          </w:rPr>
          <w:t>Otra información relevante</w:t>
        </w:r>
        <w:r>
          <w:rPr>
            <w:webHidden/>
          </w:rPr>
          <w:tab/>
        </w:r>
        <w:r>
          <w:rPr>
            <w:webHidden/>
          </w:rPr>
          <w:fldChar w:fldCharType="begin"/>
        </w:r>
        <w:r>
          <w:rPr>
            <w:webHidden/>
          </w:rPr>
          <w:instrText xml:space="preserve"> PAGEREF _Toc486408037 \h </w:instrText>
        </w:r>
        <w:r>
          <w:rPr>
            <w:webHidden/>
          </w:rPr>
        </w:r>
        <w:r>
          <w:rPr>
            <w:webHidden/>
          </w:rPr>
          <w:fldChar w:fldCharType="separate"/>
        </w:r>
        <w:r>
          <w:rPr>
            <w:webHidden/>
          </w:rPr>
          <w:t>14</w:t>
        </w:r>
        <w:r>
          <w:rPr>
            <w:webHidden/>
          </w:rPr>
          <w:fldChar w:fldCharType="end"/>
        </w:r>
      </w:hyperlink>
    </w:p>
    <w:p w14:paraId="03465987" w14:textId="77777777" w:rsidR="00BC62B7" w:rsidRPr="000214D5" w:rsidRDefault="004872CA" w:rsidP="00C82E3B">
      <w:pPr>
        <w:jc w:val="both"/>
        <w:rPr>
          <w:lang w:val="es-CR"/>
        </w:rPr>
      </w:pPr>
      <w:r w:rsidRPr="001C4C27">
        <w:rPr>
          <w:lang w:val="es-CR"/>
        </w:rPr>
        <w:fldChar w:fldCharType="end"/>
      </w:r>
    </w:p>
    <w:p w14:paraId="62150885" w14:textId="77777777" w:rsidR="00BC62B7" w:rsidRDefault="00C52B9C" w:rsidP="00C82E3B">
      <w:pPr>
        <w:pStyle w:val="Ttulo1"/>
        <w:jc w:val="both"/>
        <w:rPr>
          <w:rFonts w:ascii="Times New Roman" w:hAnsi="Times New Roman" w:cs="Times New Roman"/>
          <w:color w:val="000080"/>
          <w:sz w:val="28"/>
          <w:szCs w:val="28"/>
          <w:lang w:val="es-CR"/>
        </w:rPr>
        <w:sectPr w:rsidR="00BC62B7" w:rsidSect="00CA28B8">
          <w:headerReference w:type="even" r:id="rId14"/>
          <w:headerReference w:type="default" r:id="rId15"/>
          <w:footerReference w:type="even" r:id="rId16"/>
          <w:footerReference w:type="default" r:id="rId17"/>
          <w:headerReference w:type="first" r:id="rId18"/>
          <w:type w:val="continuous"/>
          <w:pgSz w:w="12240" w:h="15840"/>
          <w:pgMar w:top="1531" w:right="1814" w:bottom="1440" w:left="1814" w:header="709" w:footer="709" w:gutter="0"/>
          <w:pgNumType w:start="1"/>
          <w:cols w:space="708"/>
          <w:titlePg/>
          <w:docGrid w:linePitch="360"/>
        </w:sectPr>
      </w:pPr>
      <w:bookmarkStart w:id="0" w:name="_Toc364432573"/>
      <w:bookmarkStart w:id="1" w:name="_Toc364432676"/>
      <w:bookmarkStart w:id="2" w:name="_Toc365968871"/>
      <w:bookmarkStart w:id="3" w:name="_Toc365969682"/>
      <w:bookmarkStart w:id="4" w:name="_Toc365986233"/>
      <w:bookmarkStart w:id="5" w:name="_Toc367970580"/>
      <w:bookmarkStart w:id="6" w:name="_Toc370748733"/>
      <w:bookmarkStart w:id="7" w:name="_Toc373485998"/>
      <w:bookmarkStart w:id="8" w:name="_Toc373486116"/>
      <w:bookmarkStart w:id="9" w:name="_Toc377031082"/>
      <w:bookmarkStart w:id="10" w:name="_Toc377031918"/>
      <w:bookmarkStart w:id="11" w:name="_Toc392057222"/>
      <w:bookmarkStart w:id="12" w:name="_Toc408236848"/>
      <w:bookmarkStart w:id="13" w:name="_Toc408847935"/>
      <w:bookmarkStart w:id="14" w:name="_Toc408905437"/>
      <w:bookmarkStart w:id="15" w:name="_Toc408925812"/>
      <w:bookmarkStart w:id="16" w:name="_Toc408931544"/>
      <w:bookmarkStart w:id="17" w:name="_Toc409087745"/>
      <w:bookmarkStart w:id="18" w:name="_Toc410391953"/>
      <w:bookmarkStart w:id="19" w:name="_Toc410392082"/>
      <w:bookmarkStart w:id="20" w:name="_Toc410812332"/>
      <w:bookmarkStart w:id="21" w:name="_Toc410986036"/>
      <w:bookmarkStart w:id="22" w:name="_Toc415663916"/>
      <w:bookmarkStart w:id="23" w:name="_Toc416184069"/>
      <w:bookmarkStart w:id="24" w:name="_Toc416185350"/>
      <w:bookmarkStart w:id="25" w:name="_Toc416256986"/>
      <w:bookmarkStart w:id="26" w:name="_Toc416270971"/>
      <w:bookmarkStart w:id="27" w:name="_Toc417468909"/>
      <w:bookmarkStart w:id="28" w:name="_Toc418669528"/>
      <w:bookmarkStart w:id="29" w:name="_Toc420334960"/>
      <w:bookmarkStart w:id="30" w:name="_Toc421260454"/>
      <w:bookmarkStart w:id="31" w:name="_Toc423956078"/>
      <w:bookmarkStart w:id="32" w:name="_Toc424047180"/>
      <w:bookmarkStart w:id="33" w:name="_Toc426624078"/>
      <w:bookmarkStart w:id="34" w:name="_Toc426632231"/>
      <w:bookmarkStart w:id="35" w:name="_Toc426632301"/>
      <w:bookmarkStart w:id="36" w:name="_Toc426720093"/>
      <w:bookmarkStart w:id="37" w:name="_Toc426724635"/>
      <w:bookmarkStart w:id="38" w:name="_Toc428543246"/>
      <w:bookmarkStart w:id="39" w:name="_Toc429138205"/>
      <w:bookmarkStart w:id="40" w:name="_Toc429148764"/>
      <w:bookmarkStart w:id="41" w:name="_Toc429407543"/>
      <w:bookmarkStart w:id="42" w:name="_Toc431544464"/>
      <w:bookmarkStart w:id="43" w:name="_Toc436822869"/>
      <w:bookmarkStart w:id="44" w:name="_Toc436986847"/>
      <w:bookmarkStart w:id="45" w:name="_Toc442876343"/>
      <w:bookmarkStart w:id="46" w:name="_Toc442878150"/>
      <w:bookmarkStart w:id="47" w:name="_Toc444610371"/>
      <w:bookmarkStart w:id="48" w:name="_Toc445278604"/>
      <w:bookmarkStart w:id="49" w:name="_Toc445294004"/>
      <w:bookmarkStart w:id="50" w:name="_Toc447876401"/>
      <w:bookmarkStart w:id="51" w:name="_Toc447876803"/>
      <w:bookmarkStart w:id="52" w:name="_Toc449686083"/>
      <w:bookmarkStart w:id="53" w:name="_Toc449686227"/>
      <w:bookmarkStart w:id="54" w:name="_Toc450209942"/>
      <w:bookmarkStart w:id="55" w:name="_Toc450557278"/>
      <w:bookmarkStart w:id="56" w:name="_Toc452732255"/>
      <w:bookmarkStart w:id="57" w:name="_Toc453080661"/>
      <w:bookmarkStart w:id="58" w:name="_Toc460937568"/>
      <w:bookmarkStart w:id="59" w:name="_Toc463254016"/>
      <w:bookmarkStart w:id="60" w:name="_Toc465238279"/>
      <w:bookmarkStart w:id="61" w:name="_Toc465867886"/>
      <w:bookmarkStart w:id="62" w:name="_Toc468202415"/>
      <w:bookmarkStart w:id="63" w:name="_Toc468869026"/>
      <w:bookmarkStart w:id="64" w:name="_Toc473551552"/>
      <w:bookmarkStart w:id="65" w:name="_Toc473644292"/>
      <w:bookmarkStart w:id="66" w:name="_Toc473644390"/>
      <w:bookmarkStart w:id="67" w:name="_Toc476060406"/>
      <w:bookmarkStart w:id="68" w:name="_Toc476219091"/>
      <w:bookmarkStart w:id="69" w:name="_Toc476663437"/>
      <w:bookmarkStart w:id="70" w:name="_Toc478457070"/>
      <w:bookmarkStart w:id="71" w:name="_Toc481156820"/>
      <w:bookmarkStart w:id="72" w:name="_Toc483813022"/>
      <w:bookmarkStart w:id="73" w:name="_Toc486406141"/>
      <w:bookmarkStart w:id="74" w:name="_Toc486408025"/>
      <w:r>
        <w:rPr>
          <w:noProof/>
          <w:lang w:val="es-CR" w:eastAsia="es-CR"/>
        </w:rPr>
        <mc:AlternateContent>
          <mc:Choice Requires="wps">
            <w:drawing>
              <wp:anchor distT="0" distB="0" distL="114300" distR="114300" simplePos="0" relativeHeight="251658240" behindDoc="0" locked="0" layoutInCell="1" allowOverlap="1" wp14:anchorId="64F0866A" wp14:editId="64F0866B">
                <wp:simplePos x="0" y="0"/>
                <wp:positionH relativeFrom="column">
                  <wp:posOffset>4925060</wp:posOffset>
                </wp:positionH>
                <wp:positionV relativeFrom="paragraph">
                  <wp:posOffset>4263390</wp:posOffset>
                </wp:positionV>
                <wp:extent cx="847725" cy="257175"/>
                <wp:effectExtent l="0" t="0" r="9525" b="9525"/>
                <wp:wrapNone/>
                <wp:docPr id="18" name="18 Cuadro de texto"/>
                <wp:cNvGraphicFramePr/>
                <a:graphic xmlns:a="http://schemas.openxmlformats.org/drawingml/2006/main">
                  <a:graphicData uri="http://schemas.microsoft.com/office/word/2010/wordprocessingShape">
                    <wps:wsp>
                      <wps:cNvSpPr txBox="1"/>
                      <wps:spPr>
                        <a:xfrm>
                          <a:off x="0" y="0"/>
                          <a:ext cx="84772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C5483C" w14:textId="77777777" w:rsidR="00412C65" w:rsidRPr="00C52B9C" w:rsidRDefault="00412C65" w:rsidP="00C52B9C">
                            <w:pPr>
                              <w:rPr>
                                <w:lang w:val="es-C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F0866A" id="18 Cuadro de texto" o:spid="_x0000_s1028" type="#_x0000_t202" style="position:absolute;left:0;text-align:left;margin-left:387.8pt;margin-top:335.7pt;width:66.75pt;height:20.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" fillcolor="white [3201]" stroked="f" strokeweight=".5pt">
                <v:textbox>
                  <w:txbxContent>
                    <w:p w14:paraId="6FC5483C" w14:textId="77777777" w:rsidR="00412C65" w:rsidRPr="00C52B9C" w:rsidRDefault="00412C65" w:rsidP="00C52B9C">
                      <w:pPr>
                        <w:rPr>
                          <w:lang w:val="es-CR"/>
                        </w:rPr>
                      </w:pPr>
                    </w:p>
                  </w:txbxContent>
                </v:textbox>
              </v:shape>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E710CE5" w14:textId="330A1278" w:rsidR="00BC62B7" w:rsidRDefault="00D4440F" w:rsidP="001248BD">
      <w:pPr>
        <w:pStyle w:val="Ttulo1"/>
        <w:jc w:val="center"/>
        <w:rPr>
          <w:lang w:val="es-CR"/>
        </w:rPr>
      </w:pPr>
      <w:bookmarkStart w:id="75" w:name="_Toc409087746"/>
      <w:bookmarkStart w:id="76" w:name="_Toc486408026"/>
      <w:r>
        <w:rPr>
          <w:rFonts w:ascii="Times New Roman" w:hAnsi="Times New Roman" w:cs="Times New Roman"/>
          <w:color w:val="000080"/>
          <w:sz w:val="28"/>
          <w:szCs w:val="28"/>
          <w:lang w:val="es-CR"/>
        </w:rPr>
        <w:t xml:space="preserve">INFORMACIÓN A REVELAR </w:t>
      </w:r>
      <w:r w:rsidR="00A562C3">
        <w:rPr>
          <w:rFonts w:ascii="Times New Roman" w:hAnsi="Times New Roman" w:cs="Times New Roman"/>
          <w:color w:val="000080"/>
          <w:sz w:val="28"/>
          <w:szCs w:val="28"/>
          <w:lang w:val="es-CR"/>
        </w:rPr>
        <w:t xml:space="preserve">ACERCA DEL </w:t>
      </w:r>
      <w:r w:rsidR="002E6DBB">
        <w:rPr>
          <w:rFonts w:ascii="Times New Roman" w:hAnsi="Times New Roman" w:cs="Times New Roman"/>
          <w:color w:val="000080"/>
          <w:sz w:val="28"/>
          <w:szCs w:val="28"/>
          <w:lang w:val="es-CR"/>
        </w:rPr>
        <w:t xml:space="preserve">ESTADO </w:t>
      </w:r>
      <w:r w:rsidR="006A52AF">
        <w:rPr>
          <w:rFonts w:ascii="Times New Roman" w:hAnsi="Times New Roman" w:cs="Times New Roman"/>
          <w:color w:val="000080"/>
          <w:sz w:val="28"/>
          <w:szCs w:val="28"/>
          <w:lang w:val="es-CR"/>
        </w:rPr>
        <w:t xml:space="preserve">DE </w:t>
      </w:r>
      <w:r w:rsidR="00607CB9">
        <w:rPr>
          <w:rFonts w:ascii="Times New Roman" w:hAnsi="Times New Roman" w:cs="Times New Roman"/>
          <w:color w:val="000080"/>
          <w:sz w:val="28"/>
          <w:szCs w:val="28"/>
          <w:lang w:val="es-CR"/>
        </w:rPr>
        <w:t>SITUACI</w:t>
      </w:r>
      <w:r w:rsidR="006A52AF">
        <w:rPr>
          <w:rFonts w:ascii="Times New Roman" w:hAnsi="Times New Roman" w:cs="Times New Roman"/>
          <w:color w:val="000080"/>
          <w:sz w:val="28"/>
          <w:szCs w:val="28"/>
          <w:lang w:val="es-CR"/>
        </w:rPr>
        <w:t>Ó</w:t>
      </w:r>
      <w:r w:rsidR="00607CB9">
        <w:rPr>
          <w:rFonts w:ascii="Times New Roman" w:hAnsi="Times New Roman" w:cs="Times New Roman"/>
          <w:color w:val="000080"/>
          <w:sz w:val="28"/>
          <w:szCs w:val="28"/>
          <w:lang w:val="es-CR"/>
        </w:rPr>
        <w:t>N FINANCIERA</w:t>
      </w:r>
      <w:r w:rsidR="00607CB9" w:rsidRPr="00C82E3B">
        <w:rPr>
          <w:rFonts w:ascii="Times New Roman" w:hAnsi="Times New Roman" w:cs="Times New Roman"/>
          <w:color w:val="000080"/>
          <w:sz w:val="28"/>
          <w:szCs w:val="28"/>
          <w:lang w:val="es-CR"/>
        </w:rPr>
        <w:br/>
        <w:t xml:space="preserve">AL </w:t>
      </w:r>
      <w:r w:rsidR="00A26987">
        <w:rPr>
          <w:rFonts w:ascii="Times New Roman" w:hAnsi="Times New Roman" w:cs="Times New Roman"/>
          <w:color w:val="000080"/>
          <w:sz w:val="28"/>
          <w:szCs w:val="28"/>
          <w:lang w:val="es-CR"/>
        </w:rPr>
        <w:t>3</w:t>
      </w:r>
      <w:r w:rsidR="00403D36">
        <w:rPr>
          <w:rFonts w:ascii="Times New Roman" w:hAnsi="Times New Roman" w:cs="Times New Roman"/>
          <w:color w:val="000080"/>
          <w:sz w:val="28"/>
          <w:szCs w:val="28"/>
          <w:lang w:val="es-CR"/>
        </w:rPr>
        <w:t>1</w:t>
      </w:r>
      <w:r w:rsidR="00874890">
        <w:rPr>
          <w:rFonts w:ascii="Times New Roman" w:hAnsi="Times New Roman" w:cs="Times New Roman"/>
          <w:color w:val="000080"/>
          <w:sz w:val="28"/>
          <w:szCs w:val="28"/>
          <w:lang w:val="es-CR"/>
        </w:rPr>
        <w:t xml:space="preserve"> </w:t>
      </w:r>
      <w:r w:rsidR="000843D2">
        <w:rPr>
          <w:rFonts w:ascii="Times New Roman" w:hAnsi="Times New Roman" w:cs="Times New Roman"/>
          <w:color w:val="000080"/>
          <w:sz w:val="28"/>
          <w:szCs w:val="28"/>
          <w:lang w:val="es-CR"/>
        </w:rPr>
        <w:t xml:space="preserve">DE </w:t>
      </w:r>
      <w:bookmarkEnd w:id="75"/>
      <w:r w:rsidR="00403D36">
        <w:rPr>
          <w:rFonts w:ascii="Times New Roman" w:hAnsi="Times New Roman" w:cs="Times New Roman"/>
          <w:color w:val="000080"/>
          <w:sz w:val="28"/>
          <w:szCs w:val="28"/>
          <w:lang w:val="es-CR"/>
        </w:rPr>
        <w:t>MAYO</w:t>
      </w:r>
      <w:r w:rsidR="00DD0E99">
        <w:rPr>
          <w:rFonts w:ascii="Times New Roman" w:hAnsi="Times New Roman" w:cs="Times New Roman"/>
          <w:color w:val="000080"/>
          <w:sz w:val="28"/>
          <w:szCs w:val="28"/>
          <w:lang w:val="es-CR"/>
        </w:rPr>
        <w:t xml:space="preserve"> </w:t>
      </w:r>
      <w:r w:rsidR="00DD05F9">
        <w:rPr>
          <w:rFonts w:ascii="Times New Roman" w:hAnsi="Times New Roman" w:cs="Times New Roman"/>
          <w:color w:val="000080"/>
          <w:sz w:val="28"/>
          <w:szCs w:val="28"/>
          <w:lang w:val="es-CR"/>
        </w:rPr>
        <w:t>DEL 2017</w:t>
      </w:r>
      <w:bookmarkEnd w:id="76"/>
    </w:p>
    <w:p w14:paraId="5208AAFF" w14:textId="77777777" w:rsidR="00CB5A74" w:rsidRDefault="00CB5A74" w:rsidP="00C82E3B">
      <w:pPr>
        <w:jc w:val="both"/>
        <w:rPr>
          <w:lang w:val="es-CR"/>
        </w:rPr>
      </w:pPr>
    </w:p>
    <w:p w14:paraId="3A34B818" w14:textId="44C87CC2" w:rsidR="00BB39F4" w:rsidRDefault="00BB39F4" w:rsidP="00C82E3B">
      <w:pPr>
        <w:jc w:val="both"/>
        <w:rPr>
          <w:lang w:val="es-CR"/>
        </w:rPr>
      </w:pPr>
    </w:p>
    <w:p w14:paraId="3194D194" w14:textId="77777777" w:rsidR="005B2AF5" w:rsidRPr="00607CB9" w:rsidRDefault="005B2AF5" w:rsidP="005B2AF5">
      <w:pPr>
        <w:pStyle w:val="Ttulo1"/>
        <w:jc w:val="both"/>
        <w:rPr>
          <w:rFonts w:ascii="Times New Roman" w:hAnsi="Times New Roman" w:cs="Times New Roman"/>
          <w:color w:val="000080"/>
          <w:sz w:val="24"/>
          <w:szCs w:val="24"/>
          <w:lang w:val="es-CR"/>
        </w:rPr>
      </w:pPr>
      <w:bookmarkStart w:id="77" w:name="_Toc486408027"/>
      <w:r w:rsidRPr="00607CB9">
        <w:rPr>
          <w:rFonts w:ascii="Times New Roman" w:hAnsi="Times New Roman" w:cs="Times New Roman"/>
          <w:color w:val="000080"/>
          <w:sz w:val="24"/>
          <w:szCs w:val="24"/>
          <w:lang w:val="es-CR"/>
        </w:rPr>
        <w:t>Entidad que informa</w:t>
      </w:r>
      <w:bookmarkEnd w:id="77"/>
    </w:p>
    <w:p w14:paraId="3538E58C" w14:textId="77777777" w:rsidR="005B2AF5" w:rsidRDefault="005B2AF5" w:rsidP="00CB5A74">
      <w:pPr>
        <w:rPr>
          <w:rFonts w:ascii="Calibri" w:eastAsia="Calibri" w:hAnsi="Calibri"/>
          <w:sz w:val="22"/>
          <w:szCs w:val="22"/>
          <w:lang w:val="es-CR"/>
        </w:rPr>
      </w:pPr>
    </w:p>
    <w:p w14:paraId="62CAE9F9" w14:textId="77777777" w:rsidR="005B2AF5" w:rsidRPr="00A76EEB" w:rsidRDefault="005B2AF5" w:rsidP="00607CB9">
      <w:pPr>
        <w:jc w:val="both"/>
        <w:rPr>
          <w:rFonts w:eastAsia="Calibri"/>
          <w:szCs w:val="22"/>
          <w:lang w:val="es-CR"/>
        </w:rPr>
      </w:pPr>
      <w:r w:rsidRPr="00A76EEB">
        <w:rPr>
          <w:rFonts w:eastAsia="Calibri"/>
          <w:szCs w:val="22"/>
          <w:lang w:val="es-CR"/>
        </w:rPr>
        <w:t xml:space="preserve">El Banco Central de Costa Rica (en adelante, “BCCR” o el “Banco”) es una institución autónoma de derecho público con personería jurídica y patrimonio propio, de vida ilimitada, que forma parte del Sistema Bancario Nacional, y se encuentra domiciliado en San José, Costa Rica.  Fue constituido mediante la Ley No.1130 del 28 de enero de 1950; sus operaciones se encuentran reguladas por lo estipulado en su Ley Orgánica (Ley No.7558 del 3 de noviembre de 1995). </w:t>
      </w:r>
    </w:p>
    <w:p w14:paraId="1D7EE58D" w14:textId="77777777" w:rsidR="00607CB9" w:rsidRPr="00A76EEB" w:rsidRDefault="00607CB9" w:rsidP="00607CB9">
      <w:pPr>
        <w:jc w:val="both"/>
        <w:rPr>
          <w:rFonts w:eastAsia="Calibri"/>
          <w:szCs w:val="22"/>
          <w:lang w:val="es-CR"/>
        </w:rPr>
      </w:pPr>
    </w:p>
    <w:p w14:paraId="283921E0" w14:textId="77777777" w:rsidR="005B2AF5" w:rsidRPr="00A76EEB" w:rsidRDefault="005B2AF5" w:rsidP="00607CB9">
      <w:pPr>
        <w:jc w:val="both"/>
        <w:rPr>
          <w:rFonts w:eastAsia="Calibri"/>
          <w:szCs w:val="22"/>
          <w:lang w:val="es-CR"/>
        </w:rPr>
      </w:pPr>
      <w:r w:rsidRPr="00A76EEB">
        <w:rPr>
          <w:rFonts w:eastAsia="Calibri"/>
          <w:szCs w:val="22"/>
          <w:lang w:val="es-CR"/>
        </w:rPr>
        <w:t xml:space="preserve">Las responsabilidades del BCCR están orientadas a mantener la estabilidad interna y externa de la moneda nacional y asegurar su conversión a otras monedas.  Estas responsabilidades se enmarcan en las funciones que se detallan a continuación: </w:t>
      </w:r>
    </w:p>
    <w:p w14:paraId="32D54513" w14:textId="77777777" w:rsidR="00607CB9" w:rsidRPr="00CB5A74" w:rsidRDefault="00607CB9" w:rsidP="00607CB9">
      <w:pPr>
        <w:jc w:val="both"/>
        <w:rPr>
          <w:rFonts w:eastAsia="Calibri"/>
          <w:lang w:val="es-CR"/>
        </w:rPr>
      </w:pPr>
    </w:p>
    <w:p w14:paraId="3AC7B44F" w14:textId="77777777" w:rsidR="00607CB9" w:rsidRPr="00CB5A74" w:rsidRDefault="005B2AF5" w:rsidP="00C112B1">
      <w:pPr>
        <w:pStyle w:val="Prrafodelista"/>
        <w:numPr>
          <w:ilvl w:val="0"/>
          <w:numId w:val="11"/>
        </w:numPr>
        <w:ind w:left="567" w:hanging="283"/>
        <w:jc w:val="both"/>
        <w:rPr>
          <w:rFonts w:eastAsia="Calibri"/>
          <w:b/>
          <w:i/>
          <w:lang w:val="es-CR"/>
        </w:rPr>
      </w:pPr>
      <w:r w:rsidRPr="00CB5A74">
        <w:rPr>
          <w:rFonts w:eastAsia="Calibri"/>
          <w:b/>
          <w:i/>
          <w:lang w:val="es-CR"/>
        </w:rPr>
        <w:t xml:space="preserve">Política monetaria y </w:t>
      </w:r>
      <w:r w:rsidR="00CB5A74" w:rsidRPr="00CB5A74">
        <w:rPr>
          <w:rFonts w:eastAsia="Calibri"/>
          <w:b/>
          <w:i/>
          <w:lang w:val="es-CR"/>
        </w:rPr>
        <w:t>emisión</w:t>
      </w:r>
      <w:r w:rsidRPr="00CB5A74">
        <w:rPr>
          <w:rFonts w:eastAsia="Calibri"/>
          <w:b/>
          <w:i/>
          <w:lang w:val="es-CR"/>
        </w:rPr>
        <w:t xml:space="preserve"> de la moneda</w:t>
      </w:r>
    </w:p>
    <w:p w14:paraId="1A5CFC57" w14:textId="77777777" w:rsidR="005B2AF5" w:rsidRPr="00CB5A74" w:rsidRDefault="005B2AF5" w:rsidP="00CB5A74">
      <w:pPr>
        <w:spacing w:before="120"/>
        <w:ind w:left="567"/>
        <w:jc w:val="both"/>
        <w:rPr>
          <w:rFonts w:eastAsia="Calibri"/>
          <w:lang w:val="es-CR"/>
        </w:rPr>
      </w:pPr>
      <w:r w:rsidRPr="00CB5A74">
        <w:rPr>
          <w:rFonts w:eastAsia="Calibri"/>
          <w:lang w:val="es-CR"/>
        </w:rPr>
        <w:t xml:space="preserve">Evitar o moderar las tendencias inflacionistas o deflacionistas que puedan surgir en el mercado monetario y crediticio. </w:t>
      </w:r>
    </w:p>
    <w:p w14:paraId="7C494D93" w14:textId="77777777" w:rsidR="005B2AF5" w:rsidRPr="00CB5A74" w:rsidRDefault="005B2AF5" w:rsidP="00886247">
      <w:pPr>
        <w:ind w:left="567"/>
        <w:jc w:val="both"/>
        <w:rPr>
          <w:rFonts w:eastAsia="Calibri"/>
          <w:lang w:val="es-CR"/>
        </w:rPr>
      </w:pPr>
      <w:r w:rsidRPr="00CB5A74">
        <w:rPr>
          <w:rFonts w:eastAsia="Calibri"/>
          <w:lang w:val="es-CR"/>
        </w:rPr>
        <w:t xml:space="preserve">Asegurar la emisión de billetes y monedas, de acuerdo con las necesidades reales de la economía nacional. </w:t>
      </w:r>
    </w:p>
    <w:p w14:paraId="2331F48B" w14:textId="77777777" w:rsidR="00607CB9" w:rsidRPr="00CB5A74" w:rsidRDefault="00607CB9" w:rsidP="00607CB9">
      <w:pPr>
        <w:jc w:val="both"/>
        <w:rPr>
          <w:rFonts w:eastAsia="Calibri"/>
          <w:lang w:val="es-CR"/>
        </w:rPr>
      </w:pPr>
    </w:p>
    <w:p w14:paraId="4E7F40F4" w14:textId="77777777" w:rsidR="00607CB9" w:rsidRPr="00CB5A74" w:rsidRDefault="005B2AF5" w:rsidP="00C112B1">
      <w:pPr>
        <w:pStyle w:val="Prrafodelista"/>
        <w:numPr>
          <w:ilvl w:val="0"/>
          <w:numId w:val="11"/>
        </w:numPr>
        <w:ind w:left="567" w:hanging="283"/>
        <w:jc w:val="both"/>
        <w:rPr>
          <w:rFonts w:eastAsia="Calibri"/>
          <w:b/>
          <w:i/>
          <w:lang w:val="es-CR"/>
        </w:rPr>
      </w:pPr>
      <w:r w:rsidRPr="00CB5A74">
        <w:rPr>
          <w:rFonts w:eastAsia="Calibri"/>
          <w:b/>
          <w:i/>
          <w:lang w:val="es-CR"/>
        </w:rPr>
        <w:t>Política cambiaria y gestión de reservas monetarias internacionales</w:t>
      </w:r>
    </w:p>
    <w:p w14:paraId="02EB9CEC" w14:textId="77777777" w:rsidR="005B2AF5" w:rsidRPr="00CB5A74" w:rsidRDefault="005B2AF5" w:rsidP="00CB5A74">
      <w:pPr>
        <w:spacing w:before="120"/>
        <w:ind w:left="567"/>
        <w:jc w:val="both"/>
        <w:rPr>
          <w:rFonts w:eastAsia="Calibri"/>
          <w:lang w:val="es-CR"/>
        </w:rPr>
      </w:pPr>
      <w:r w:rsidRPr="00CB5A74">
        <w:rPr>
          <w:rFonts w:eastAsia="Calibri"/>
          <w:lang w:val="es-CR"/>
        </w:rPr>
        <w:t>Mantener el valor externo y de la conversión de la moneda nacional.</w:t>
      </w:r>
    </w:p>
    <w:p w14:paraId="23EFB9C4" w14:textId="77777777" w:rsidR="005B2AF5" w:rsidRPr="00CB5A74" w:rsidRDefault="005B2AF5" w:rsidP="00886247">
      <w:pPr>
        <w:ind w:left="567"/>
        <w:jc w:val="both"/>
        <w:rPr>
          <w:rFonts w:eastAsia="Calibri"/>
          <w:lang w:val="es-CR"/>
        </w:rPr>
      </w:pPr>
      <w:r w:rsidRPr="00CB5A74">
        <w:rPr>
          <w:rFonts w:eastAsia="Calibri"/>
          <w:lang w:val="es-CR"/>
        </w:rPr>
        <w:t>Velar por la custodia y la administración de las reservas monetarias internacionales del país para el logro de la estabilidad económica general.</w:t>
      </w:r>
    </w:p>
    <w:p w14:paraId="3EB6583E" w14:textId="77777777" w:rsidR="00607CB9" w:rsidRPr="00CB5A74" w:rsidRDefault="00607CB9" w:rsidP="00607CB9">
      <w:pPr>
        <w:jc w:val="both"/>
        <w:rPr>
          <w:rFonts w:eastAsia="Calibri"/>
          <w:lang w:val="es-CR"/>
        </w:rPr>
      </w:pPr>
    </w:p>
    <w:p w14:paraId="74640A4D" w14:textId="77777777" w:rsidR="005B2AF5" w:rsidRPr="00CB5A74" w:rsidRDefault="005B2AF5" w:rsidP="00C112B1">
      <w:pPr>
        <w:pStyle w:val="Prrafodelista"/>
        <w:numPr>
          <w:ilvl w:val="0"/>
          <w:numId w:val="11"/>
        </w:numPr>
        <w:ind w:left="567" w:hanging="283"/>
        <w:jc w:val="both"/>
        <w:rPr>
          <w:rFonts w:eastAsia="Calibri"/>
          <w:b/>
          <w:i/>
          <w:lang w:val="es-CR"/>
        </w:rPr>
      </w:pPr>
      <w:r w:rsidRPr="00CB5A74">
        <w:rPr>
          <w:rFonts w:eastAsia="Calibri"/>
          <w:b/>
          <w:i/>
          <w:lang w:val="es-CR"/>
        </w:rPr>
        <w:t>Sistema financiero</w:t>
      </w:r>
    </w:p>
    <w:p w14:paraId="3CEC2CA0" w14:textId="77777777" w:rsidR="005B2AF5" w:rsidRPr="00CB5A74" w:rsidRDefault="005B2AF5" w:rsidP="00CB5A74">
      <w:pPr>
        <w:spacing w:before="120"/>
        <w:ind w:left="567"/>
        <w:jc w:val="both"/>
        <w:rPr>
          <w:rFonts w:eastAsia="Calibri"/>
          <w:lang w:val="es-CR"/>
        </w:rPr>
      </w:pPr>
      <w:r w:rsidRPr="00CB5A74">
        <w:rPr>
          <w:rFonts w:eastAsia="Calibri"/>
          <w:lang w:val="es-CR"/>
        </w:rPr>
        <w:t>Promover un sistema financiero estable, eficiente y competitivo, procurando condiciones favorables al robustecimiento, la liquidez, la solvencia y el buen funcionamiento del Sistema Financiero Nacional.</w:t>
      </w:r>
    </w:p>
    <w:p w14:paraId="4B78CB51" w14:textId="77777777" w:rsidR="005B2AF5" w:rsidRPr="00CB5A74" w:rsidRDefault="005B2AF5" w:rsidP="00886247">
      <w:pPr>
        <w:ind w:left="567"/>
        <w:jc w:val="both"/>
        <w:rPr>
          <w:rFonts w:eastAsia="Calibri"/>
          <w:lang w:val="es-CR"/>
        </w:rPr>
      </w:pPr>
      <w:r w:rsidRPr="00CB5A74">
        <w:rPr>
          <w:rFonts w:eastAsia="Calibri"/>
          <w:lang w:val="es-CR"/>
        </w:rPr>
        <w:t xml:space="preserve">Establecer las regulaciones para la creación, el funcionamiento y el control de las entidades financieras. </w:t>
      </w:r>
    </w:p>
    <w:p w14:paraId="741CD06B" w14:textId="77777777" w:rsidR="005B2AF5" w:rsidRPr="00CB5A74" w:rsidRDefault="005B2AF5" w:rsidP="00886247">
      <w:pPr>
        <w:ind w:left="567"/>
        <w:jc w:val="both"/>
        <w:rPr>
          <w:rFonts w:eastAsia="Calibri"/>
          <w:lang w:val="es-CR"/>
        </w:rPr>
      </w:pPr>
      <w:r w:rsidRPr="00CB5A74">
        <w:rPr>
          <w:rFonts w:eastAsia="Calibri"/>
          <w:lang w:val="es-CR"/>
        </w:rPr>
        <w:t>Definir las políticas generales de crédito y la vigilancia y coordinación de dicho sistema.</w:t>
      </w:r>
    </w:p>
    <w:p w14:paraId="10748B97" w14:textId="77777777" w:rsidR="005B2AF5" w:rsidRPr="00CB5A74" w:rsidRDefault="005B2AF5" w:rsidP="00886247">
      <w:pPr>
        <w:ind w:left="567"/>
        <w:jc w:val="both"/>
        <w:rPr>
          <w:rFonts w:eastAsia="Calibri"/>
          <w:lang w:val="es-CR"/>
        </w:rPr>
      </w:pPr>
      <w:r w:rsidRPr="00CB5A74">
        <w:rPr>
          <w:rFonts w:eastAsia="Calibri"/>
          <w:lang w:val="es-CR"/>
        </w:rPr>
        <w:t>Custodiar los encajes legales de los intermediarios financieros.</w:t>
      </w:r>
    </w:p>
    <w:p w14:paraId="621BD6ED" w14:textId="77777777" w:rsidR="00607CB9" w:rsidRPr="00CB5A74" w:rsidRDefault="00607CB9" w:rsidP="00607CB9">
      <w:pPr>
        <w:jc w:val="both"/>
        <w:rPr>
          <w:rFonts w:eastAsia="Calibri"/>
          <w:lang w:val="es-CR"/>
        </w:rPr>
      </w:pPr>
    </w:p>
    <w:p w14:paraId="61112F57" w14:textId="77777777" w:rsidR="005B2AF5" w:rsidRPr="00CB5A74" w:rsidRDefault="00CB5A74" w:rsidP="00C112B1">
      <w:pPr>
        <w:pStyle w:val="Prrafodelista"/>
        <w:numPr>
          <w:ilvl w:val="0"/>
          <w:numId w:val="11"/>
        </w:numPr>
        <w:ind w:left="567" w:hanging="283"/>
        <w:jc w:val="both"/>
        <w:rPr>
          <w:rFonts w:eastAsia="Calibri"/>
          <w:b/>
          <w:i/>
          <w:lang w:val="es-CR"/>
        </w:rPr>
      </w:pPr>
      <w:r w:rsidRPr="00CB5A74">
        <w:rPr>
          <w:rFonts w:eastAsia="Calibri"/>
          <w:b/>
          <w:i/>
          <w:lang w:val="es-CR"/>
        </w:rPr>
        <w:t xml:space="preserve">Agente </w:t>
      </w:r>
      <w:r w:rsidR="005B2AF5" w:rsidRPr="00CB5A74">
        <w:rPr>
          <w:rFonts w:eastAsia="Calibri"/>
          <w:b/>
          <w:i/>
          <w:lang w:val="es-CR"/>
        </w:rPr>
        <w:t xml:space="preserve">del Estado </w:t>
      </w:r>
    </w:p>
    <w:p w14:paraId="6B52165D" w14:textId="77777777" w:rsidR="005B2AF5" w:rsidRDefault="005B2AF5" w:rsidP="00CB5A74">
      <w:pPr>
        <w:spacing w:before="120"/>
        <w:ind w:left="567"/>
        <w:jc w:val="both"/>
        <w:rPr>
          <w:rFonts w:eastAsia="Calibri"/>
          <w:lang w:val="es-CR"/>
        </w:rPr>
      </w:pPr>
      <w:r w:rsidRPr="00CB5A74">
        <w:rPr>
          <w:rFonts w:eastAsia="Calibri"/>
          <w:lang w:val="es-CR"/>
        </w:rPr>
        <w:t>Cumplir la función de consejero y banco-cajero del Estado.</w:t>
      </w:r>
    </w:p>
    <w:p w14:paraId="040861A2" w14:textId="7AE4D4C2" w:rsidR="00C91EDF" w:rsidRDefault="00C91EDF" w:rsidP="00CB5A74">
      <w:pPr>
        <w:spacing w:before="120"/>
        <w:ind w:left="567"/>
        <w:jc w:val="both"/>
        <w:rPr>
          <w:rFonts w:eastAsia="Calibri"/>
          <w:lang w:val="es-CR"/>
        </w:rPr>
      </w:pPr>
    </w:p>
    <w:p w14:paraId="14F44AC3" w14:textId="77777777" w:rsidR="00C91EDF" w:rsidRPr="00CB5A74" w:rsidRDefault="00C91EDF" w:rsidP="00CB5A74">
      <w:pPr>
        <w:spacing w:before="120"/>
        <w:ind w:left="567"/>
        <w:jc w:val="both"/>
        <w:rPr>
          <w:rFonts w:eastAsia="Calibri"/>
          <w:lang w:val="es-CR"/>
        </w:rPr>
      </w:pPr>
    </w:p>
    <w:p w14:paraId="365B6BCE" w14:textId="77777777" w:rsidR="005B2AF5" w:rsidRPr="00CB5A74" w:rsidRDefault="005B2AF5" w:rsidP="00C112B1">
      <w:pPr>
        <w:pStyle w:val="Prrafodelista"/>
        <w:numPr>
          <w:ilvl w:val="0"/>
          <w:numId w:val="11"/>
        </w:numPr>
        <w:ind w:left="567" w:hanging="283"/>
        <w:jc w:val="both"/>
        <w:rPr>
          <w:rFonts w:eastAsia="Calibri"/>
          <w:b/>
          <w:i/>
          <w:lang w:val="es-CR"/>
        </w:rPr>
      </w:pPr>
      <w:r w:rsidRPr="00CB5A74">
        <w:rPr>
          <w:rFonts w:eastAsia="Calibri"/>
          <w:b/>
          <w:i/>
          <w:lang w:val="es-CR"/>
        </w:rPr>
        <w:t>Sistema de pagos</w:t>
      </w:r>
    </w:p>
    <w:p w14:paraId="6C439234" w14:textId="77777777" w:rsidR="005B2AF5" w:rsidRPr="00CB5A74" w:rsidRDefault="005B2AF5" w:rsidP="00CB5A74">
      <w:pPr>
        <w:spacing w:before="120"/>
        <w:ind w:left="567"/>
        <w:jc w:val="both"/>
        <w:rPr>
          <w:rFonts w:eastAsia="Calibri"/>
          <w:lang w:val="es-CR"/>
        </w:rPr>
      </w:pPr>
      <w:r w:rsidRPr="00CB5A74">
        <w:rPr>
          <w:rFonts w:eastAsia="Calibri"/>
          <w:lang w:val="es-CR"/>
        </w:rPr>
        <w:t xml:space="preserve">Promover la eficiencia del sistema de pagos internos y externos y mantener su normal funcionamiento. </w:t>
      </w:r>
    </w:p>
    <w:p w14:paraId="774CC2F5" w14:textId="77777777" w:rsidR="005B2AF5" w:rsidRDefault="005B2AF5" w:rsidP="00886247">
      <w:pPr>
        <w:ind w:left="567"/>
        <w:jc w:val="both"/>
        <w:rPr>
          <w:rFonts w:eastAsia="Calibri"/>
          <w:lang w:val="es-CR"/>
        </w:rPr>
      </w:pPr>
      <w:r w:rsidRPr="00CB5A74">
        <w:rPr>
          <w:rFonts w:eastAsia="Calibri"/>
          <w:lang w:val="es-CR"/>
        </w:rPr>
        <w:t>Velar por el adecuado establecimiento, operación y vigilancia de los sistemas de compensación.</w:t>
      </w:r>
    </w:p>
    <w:p w14:paraId="56E02AC3" w14:textId="77777777" w:rsidR="00050850" w:rsidRPr="00CB5A74" w:rsidRDefault="00050850" w:rsidP="00886247">
      <w:pPr>
        <w:ind w:left="567"/>
        <w:jc w:val="both"/>
        <w:rPr>
          <w:rFonts w:eastAsia="Calibri"/>
          <w:lang w:val="es-CR"/>
        </w:rPr>
      </w:pPr>
    </w:p>
    <w:p w14:paraId="70D55B1F" w14:textId="77777777" w:rsidR="005B2AF5" w:rsidRPr="00CB5A74" w:rsidRDefault="005B2AF5" w:rsidP="00CB5A74">
      <w:pPr>
        <w:pStyle w:val="Prrafodelista"/>
        <w:numPr>
          <w:ilvl w:val="0"/>
          <w:numId w:val="11"/>
        </w:numPr>
        <w:ind w:left="568" w:hanging="284"/>
        <w:jc w:val="both"/>
        <w:rPr>
          <w:rFonts w:eastAsia="Calibri"/>
          <w:b/>
          <w:i/>
          <w:lang w:val="es-CR"/>
        </w:rPr>
      </w:pPr>
      <w:r w:rsidRPr="00CB5A74">
        <w:rPr>
          <w:rFonts w:eastAsia="Calibri"/>
          <w:b/>
          <w:i/>
          <w:lang w:val="es-CR"/>
        </w:rPr>
        <w:t>Otras funciones</w:t>
      </w:r>
    </w:p>
    <w:p w14:paraId="44159DC3" w14:textId="77777777" w:rsidR="005B2AF5" w:rsidRPr="00CB5A74" w:rsidRDefault="005B2AF5" w:rsidP="00CB5A74">
      <w:pPr>
        <w:spacing w:before="120"/>
        <w:ind w:left="567"/>
        <w:jc w:val="both"/>
        <w:rPr>
          <w:rFonts w:eastAsia="Calibri"/>
          <w:lang w:val="es-CR"/>
        </w:rPr>
      </w:pPr>
      <w:r w:rsidRPr="00CB5A74">
        <w:rPr>
          <w:rFonts w:eastAsia="Calibri"/>
          <w:lang w:val="es-CR"/>
        </w:rPr>
        <w:t>Contribuir al ordenado desarrollo de la economía costarricense, a fin de lograr la ocupación plena de los recursos productivos del país.</w:t>
      </w:r>
    </w:p>
    <w:p w14:paraId="0C521217" w14:textId="77777777" w:rsidR="005B2AF5" w:rsidRPr="00CB5A74" w:rsidRDefault="005B2AF5" w:rsidP="00C31E6F">
      <w:pPr>
        <w:ind w:left="567"/>
        <w:jc w:val="both"/>
        <w:rPr>
          <w:rFonts w:eastAsia="Calibri"/>
          <w:lang w:val="es-CR"/>
        </w:rPr>
      </w:pPr>
      <w:r w:rsidRPr="00CB5A74">
        <w:rPr>
          <w:rFonts w:eastAsia="Calibri"/>
          <w:lang w:val="es-CR"/>
        </w:rPr>
        <w:t xml:space="preserve">Colaborar con los organismos de carácter económico del país, para el mejor logro de sus fines. </w:t>
      </w:r>
    </w:p>
    <w:p w14:paraId="438CC470" w14:textId="77777777" w:rsidR="005B2AF5" w:rsidRPr="00CB5A74" w:rsidRDefault="005B2AF5" w:rsidP="00C31E6F">
      <w:pPr>
        <w:ind w:left="567"/>
        <w:jc w:val="both"/>
        <w:rPr>
          <w:rFonts w:eastAsia="Calibri"/>
          <w:lang w:val="es-CR"/>
        </w:rPr>
      </w:pPr>
      <w:r w:rsidRPr="00CB5A74">
        <w:rPr>
          <w:rFonts w:eastAsia="Calibri"/>
          <w:lang w:val="es-CR"/>
        </w:rPr>
        <w:t xml:space="preserve">Desempeñar cualesquiera otras funciones que, de acuerdo con su condición esencial de Banco Central, le correspondan. Incluyen la gestión de política monetaria y cambiaria, cajero del estado, entre otros. </w:t>
      </w:r>
    </w:p>
    <w:p w14:paraId="0A58CC7D" w14:textId="77777777" w:rsidR="005B2AF5" w:rsidRPr="00CB5A74" w:rsidRDefault="005B2AF5" w:rsidP="00C31E6F">
      <w:pPr>
        <w:ind w:left="567"/>
        <w:jc w:val="both"/>
        <w:rPr>
          <w:rFonts w:eastAsia="Calibri"/>
          <w:lang w:val="es-CR"/>
        </w:rPr>
      </w:pPr>
      <w:r w:rsidRPr="00CB5A74">
        <w:rPr>
          <w:rFonts w:eastAsia="Calibri"/>
          <w:lang w:val="es-CR"/>
        </w:rPr>
        <w:t>El establecimiento de las regulaciones para la creación, el funcionamiento y el control de las entidades financieras.</w:t>
      </w:r>
    </w:p>
    <w:p w14:paraId="0BA99C0C" w14:textId="77777777" w:rsidR="005B2AF5" w:rsidRPr="00CB5A74" w:rsidRDefault="005B2AF5" w:rsidP="00C31E6F">
      <w:pPr>
        <w:ind w:left="567"/>
        <w:jc w:val="both"/>
        <w:rPr>
          <w:rFonts w:eastAsia="Calibri"/>
          <w:lang w:val="es-CR"/>
        </w:rPr>
      </w:pPr>
      <w:r w:rsidRPr="00CB5A74">
        <w:rPr>
          <w:rFonts w:eastAsia="Calibri"/>
          <w:lang w:val="es-CR"/>
        </w:rPr>
        <w:t>Parte de los objetivos del BCCR se logran a través de los Órganos de Desconcentración Máxima (ODM) entre ellos el  Consejo Nacional de Supervisión del Sistema Financiero (CONASSIF), órgano colegiado que tiene a cargo la dirección de:</w:t>
      </w:r>
    </w:p>
    <w:p w14:paraId="04D43A86" w14:textId="77777777" w:rsidR="005B2AF5" w:rsidRPr="00CB5A74" w:rsidRDefault="005B2AF5" w:rsidP="00C31E6F">
      <w:pPr>
        <w:ind w:left="567"/>
        <w:jc w:val="both"/>
        <w:rPr>
          <w:rFonts w:eastAsia="Calibri"/>
          <w:lang w:val="es-CR"/>
        </w:rPr>
      </w:pPr>
      <w:r w:rsidRPr="00CB5A74">
        <w:rPr>
          <w:rFonts w:eastAsia="Calibri"/>
          <w:lang w:val="es-CR"/>
        </w:rPr>
        <w:t>Superintendencia  General de Entidades Financieras (SUGEF).</w:t>
      </w:r>
    </w:p>
    <w:p w14:paraId="5CD5E911" w14:textId="77777777" w:rsidR="005B2AF5" w:rsidRPr="00CB5A74" w:rsidRDefault="005B2AF5" w:rsidP="00C31E6F">
      <w:pPr>
        <w:ind w:left="567"/>
        <w:jc w:val="both"/>
        <w:rPr>
          <w:rFonts w:eastAsia="Calibri"/>
          <w:lang w:val="es-CR"/>
        </w:rPr>
      </w:pPr>
      <w:r w:rsidRPr="00CB5A74">
        <w:rPr>
          <w:rFonts w:eastAsia="Calibri"/>
          <w:lang w:val="es-CR"/>
        </w:rPr>
        <w:t>Superintendencia General de Valores (SUGEVAL).</w:t>
      </w:r>
    </w:p>
    <w:p w14:paraId="155B0878" w14:textId="77777777" w:rsidR="005B2AF5" w:rsidRPr="00CB5A74" w:rsidRDefault="005B2AF5" w:rsidP="00C31E6F">
      <w:pPr>
        <w:ind w:left="567"/>
        <w:jc w:val="both"/>
        <w:rPr>
          <w:rFonts w:eastAsia="Calibri"/>
          <w:lang w:val="es-CR"/>
        </w:rPr>
      </w:pPr>
      <w:r w:rsidRPr="00CB5A74">
        <w:rPr>
          <w:rFonts w:eastAsia="Calibri"/>
          <w:lang w:val="es-CR"/>
        </w:rPr>
        <w:t xml:space="preserve">Superintendencia de Pensiones (SUPEN). </w:t>
      </w:r>
    </w:p>
    <w:p w14:paraId="6060AE85" w14:textId="77777777" w:rsidR="005B2AF5" w:rsidRDefault="005B2AF5" w:rsidP="00C31E6F">
      <w:pPr>
        <w:ind w:left="567"/>
        <w:jc w:val="both"/>
        <w:rPr>
          <w:rFonts w:eastAsia="Calibri"/>
          <w:lang w:val="es-CR"/>
        </w:rPr>
      </w:pPr>
      <w:r w:rsidRPr="00CB5A74">
        <w:rPr>
          <w:rFonts w:eastAsia="Calibri"/>
          <w:lang w:val="es-CR"/>
        </w:rPr>
        <w:t>Superintendencia General de Seguros (SUGESE).</w:t>
      </w:r>
    </w:p>
    <w:p w14:paraId="781416BB" w14:textId="77777777" w:rsidR="00AA3101" w:rsidRPr="00CB5A74" w:rsidRDefault="00AA3101" w:rsidP="00C31E6F">
      <w:pPr>
        <w:ind w:left="567"/>
        <w:jc w:val="both"/>
        <w:rPr>
          <w:rFonts w:eastAsia="Calibri"/>
          <w:lang w:val="es-CR"/>
        </w:rPr>
      </w:pPr>
    </w:p>
    <w:p w14:paraId="35B8EBC9" w14:textId="77777777" w:rsidR="005B2AF5" w:rsidRPr="00CB5A74" w:rsidRDefault="00CB5A74" w:rsidP="00607CB9">
      <w:pPr>
        <w:pStyle w:val="Ttulo1"/>
        <w:jc w:val="both"/>
        <w:rPr>
          <w:rFonts w:ascii="Times New Roman" w:hAnsi="Times New Roman" w:cs="Times New Roman"/>
          <w:color w:val="000080"/>
          <w:sz w:val="24"/>
          <w:szCs w:val="24"/>
          <w:lang w:val="es-CR"/>
        </w:rPr>
      </w:pPr>
      <w:bookmarkStart w:id="78" w:name="_Toc486408028"/>
      <w:r w:rsidRPr="00CB5A74">
        <w:rPr>
          <w:rFonts w:ascii="Times New Roman" w:hAnsi="Times New Roman" w:cs="Times New Roman"/>
          <w:color w:val="000080"/>
          <w:sz w:val="24"/>
          <w:szCs w:val="24"/>
          <w:lang w:val="es-CR"/>
        </w:rPr>
        <w:t>Patrimonio</w:t>
      </w:r>
      <w:bookmarkEnd w:id="78"/>
    </w:p>
    <w:p w14:paraId="123A4E92" w14:textId="77777777" w:rsidR="00CB5A74" w:rsidRPr="00CB5A74" w:rsidRDefault="00CB5A74" w:rsidP="00CB5A74">
      <w:pPr>
        <w:rPr>
          <w:lang w:val="es-CR"/>
        </w:rPr>
      </w:pPr>
    </w:p>
    <w:p w14:paraId="61E4F4A1" w14:textId="77777777" w:rsidR="00CB5A74" w:rsidRPr="00CB5A74" w:rsidRDefault="00CB5A74" w:rsidP="00CB5A74">
      <w:pPr>
        <w:pStyle w:val="Prrafodelista"/>
        <w:numPr>
          <w:ilvl w:val="0"/>
          <w:numId w:val="22"/>
        </w:numPr>
        <w:ind w:left="641" w:hanging="357"/>
        <w:jc w:val="both"/>
        <w:rPr>
          <w:rFonts w:eastAsia="Calibri"/>
          <w:lang w:val="es-CR"/>
        </w:rPr>
      </w:pPr>
      <w:r w:rsidRPr="00CB5A74">
        <w:rPr>
          <w:rFonts w:eastAsia="Calibri"/>
          <w:b/>
          <w:i/>
          <w:lang w:val="es-CR"/>
        </w:rPr>
        <w:t>Capital Social</w:t>
      </w:r>
    </w:p>
    <w:p w14:paraId="2789AA2B" w14:textId="77777777" w:rsidR="005B2AF5" w:rsidRPr="00CB5A74" w:rsidRDefault="005B2AF5" w:rsidP="00CB5A74">
      <w:pPr>
        <w:spacing w:before="120"/>
        <w:ind w:left="567"/>
        <w:jc w:val="both"/>
        <w:rPr>
          <w:rFonts w:eastAsia="Calibri"/>
          <w:lang w:val="es-CR"/>
        </w:rPr>
      </w:pPr>
      <w:r w:rsidRPr="00CB5A74">
        <w:rPr>
          <w:rFonts w:eastAsia="Calibri"/>
          <w:lang w:val="es-CR"/>
        </w:rPr>
        <w:t>El capital del BCCR asciende a ¢5 millones, el cual fue establecido en el Capítulo II Capital, reservas y utilidades, Artículo 9 de la Ley 1552 del 23 de abril de 1953, ley que fue derogada posteriormente por la actual Ley Orgánica del Banco Central (Ley 755</w:t>
      </w:r>
      <w:r w:rsidR="00841F31">
        <w:rPr>
          <w:rFonts w:eastAsia="Calibri"/>
          <w:lang w:val="es-CR"/>
        </w:rPr>
        <w:t>8</w:t>
      </w:r>
      <w:r w:rsidRPr="00CB5A74">
        <w:rPr>
          <w:rFonts w:eastAsia="Calibri"/>
          <w:lang w:val="es-CR"/>
        </w:rPr>
        <w:t>).</w:t>
      </w:r>
    </w:p>
    <w:p w14:paraId="6751F9C0" w14:textId="77777777" w:rsidR="005B2AF5" w:rsidRPr="00CB5A74" w:rsidRDefault="005B2AF5" w:rsidP="00CB5A74">
      <w:pPr>
        <w:ind w:left="567"/>
        <w:jc w:val="both"/>
        <w:rPr>
          <w:rFonts w:eastAsia="Calibri"/>
          <w:lang w:val="es-CR"/>
        </w:rPr>
      </w:pPr>
    </w:p>
    <w:p w14:paraId="4EE73B8D" w14:textId="77777777" w:rsidR="006A52AF" w:rsidRPr="00CB5A74" w:rsidRDefault="005B2AF5" w:rsidP="00050850">
      <w:pPr>
        <w:ind w:left="567"/>
        <w:jc w:val="both"/>
        <w:rPr>
          <w:rFonts w:eastAsia="Calibri"/>
          <w:lang w:val="es-CR"/>
        </w:rPr>
      </w:pPr>
      <w:r w:rsidRPr="00CB5A74">
        <w:rPr>
          <w:rFonts w:eastAsia="Calibri"/>
          <w:lang w:val="es-CR"/>
        </w:rPr>
        <w:t>La capi</w:t>
      </w:r>
      <w:r w:rsidR="00B847EA">
        <w:rPr>
          <w:rFonts w:eastAsia="Calibri"/>
          <w:lang w:val="es-CR"/>
        </w:rPr>
        <w:t>talización de operaciones cuasi</w:t>
      </w:r>
      <w:r w:rsidRPr="00CB5A74">
        <w:rPr>
          <w:rFonts w:eastAsia="Calibri"/>
          <w:lang w:val="es-CR"/>
        </w:rPr>
        <w:t>fiscales tiene su origen en 1995 con la nueva Ley Orgánica del Banco Central Ley 7558, la que en su artículo 175 contempla la capitalización parcial del BCCR por parte del Gobierno de Costa Rica; sustentado en el hecho de que las operaciones cuasi fiscales están relacionadas básicamente con la concesión de créditos al Gobierno de Costa Rica y a instituciones públicas en condiciones financieras inferiores a las de mercado y a las pérdidas derivadas del esquema cambiario; situación que provocó un desbalance entre los activos rentables y pasivos con costo; así como un costo financiero de los pasivos más alto que el rendimiento generado por los activos. Desde la promulgación de la Ley 7558 en 1995, el Gobierno de Costa Rica ha capitalizado al BCCR en tres oportunidades: en 1996 por la suma de ¢110.927 millones, en el 2005 por un monto de ¢95.065 millones y la tercera capitalización aplicada en el 2007 por un monto de ¢84.934 millones.  Las aportaciones se aplicaron como capitalización de las operaciones cuas</w:t>
      </w:r>
      <w:r w:rsidR="00B847EA">
        <w:rPr>
          <w:rFonts w:eastAsia="Calibri"/>
          <w:lang w:val="es-CR"/>
        </w:rPr>
        <w:t>i</w:t>
      </w:r>
      <w:r w:rsidRPr="00CB5A74">
        <w:rPr>
          <w:rFonts w:eastAsia="Calibri"/>
          <w:lang w:val="es-CR"/>
        </w:rPr>
        <w:t>fiscales asumidas por el Gobierno de Costa Rica.</w:t>
      </w:r>
    </w:p>
    <w:p w14:paraId="4F043E2F" w14:textId="77777777" w:rsidR="00E13AD5" w:rsidRDefault="00E13AD5" w:rsidP="00E148F4">
      <w:pPr>
        <w:rPr>
          <w:rFonts w:eastAsia="Calibri"/>
          <w:b/>
          <w:i/>
          <w:lang w:val="es-CR"/>
        </w:rPr>
      </w:pPr>
    </w:p>
    <w:p w14:paraId="2411B512" w14:textId="77777777" w:rsidR="00E13AD5" w:rsidRDefault="00E13AD5" w:rsidP="00E148F4">
      <w:pPr>
        <w:rPr>
          <w:rFonts w:eastAsia="Calibri"/>
          <w:b/>
          <w:i/>
          <w:lang w:val="es-CR"/>
        </w:rPr>
      </w:pPr>
    </w:p>
    <w:p w14:paraId="2FA4BF14" w14:textId="77777777" w:rsidR="00E13AD5" w:rsidRDefault="00E13AD5" w:rsidP="00E148F4">
      <w:pPr>
        <w:rPr>
          <w:rFonts w:eastAsia="Calibri"/>
          <w:b/>
          <w:i/>
          <w:lang w:val="es-CR"/>
        </w:rPr>
      </w:pPr>
    </w:p>
    <w:p w14:paraId="32274994" w14:textId="34BA8D69" w:rsidR="005B2AF5" w:rsidRPr="00CB5A74" w:rsidRDefault="005B2AF5" w:rsidP="00E148F4">
      <w:pPr>
        <w:rPr>
          <w:rFonts w:eastAsia="Calibri"/>
          <w:b/>
          <w:i/>
          <w:lang w:val="es-CR"/>
        </w:rPr>
      </w:pPr>
      <w:r w:rsidRPr="00CB5A74">
        <w:rPr>
          <w:rFonts w:eastAsia="Calibri"/>
          <w:b/>
          <w:i/>
          <w:lang w:val="es-CR"/>
        </w:rPr>
        <w:t>Distribución de Utilidades</w:t>
      </w:r>
    </w:p>
    <w:p w14:paraId="283E83FD" w14:textId="77777777" w:rsidR="005B2AF5" w:rsidRPr="00CB5A74" w:rsidRDefault="005B2AF5" w:rsidP="00CB5A74">
      <w:pPr>
        <w:spacing w:before="120"/>
        <w:ind w:left="567"/>
        <w:jc w:val="both"/>
        <w:rPr>
          <w:rFonts w:eastAsia="Calibri"/>
          <w:lang w:val="es-CR"/>
        </w:rPr>
      </w:pPr>
      <w:r w:rsidRPr="00CB5A74">
        <w:rPr>
          <w:rFonts w:eastAsia="Calibri"/>
          <w:lang w:val="es-CR"/>
        </w:rPr>
        <w:t xml:space="preserve">De acuerdo con lo dispuesto en la Ley Orgánica del Banco Central, Capítulo I, Sección II, Artículo No.10, las utilidades netas del Banco Central se distribuirán de la siguiente manera: </w:t>
      </w:r>
    </w:p>
    <w:p w14:paraId="015A56DB" w14:textId="77777777" w:rsidR="005B2AF5" w:rsidRPr="00CB5A74" w:rsidRDefault="005B2AF5" w:rsidP="00C31E6F">
      <w:pPr>
        <w:ind w:left="567"/>
        <w:jc w:val="both"/>
        <w:rPr>
          <w:rFonts w:eastAsia="Calibri"/>
          <w:lang w:val="es-CR"/>
        </w:rPr>
      </w:pPr>
      <w:r w:rsidRPr="00CB5A74">
        <w:rPr>
          <w:rFonts w:eastAsia="Calibri"/>
          <w:lang w:val="es-CR"/>
        </w:rPr>
        <w:t xml:space="preserve">El cincuenta por ciento (50%) para incrementar la reserva legal, mientras esta no haya alcanzado un monto igual al doble de su capital. </w:t>
      </w:r>
    </w:p>
    <w:p w14:paraId="01C2D027" w14:textId="77777777" w:rsidR="00754D54" w:rsidRPr="00CB5A74" w:rsidRDefault="005B2AF5" w:rsidP="00C31E6F">
      <w:pPr>
        <w:ind w:left="567"/>
        <w:jc w:val="both"/>
        <w:rPr>
          <w:rFonts w:eastAsia="Calibri"/>
          <w:lang w:val="es-CR"/>
        </w:rPr>
      </w:pPr>
      <w:r w:rsidRPr="00CB5A74">
        <w:rPr>
          <w:rFonts w:eastAsia="Calibri"/>
          <w:lang w:val="es-CR"/>
        </w:rPr>
        <w:t xml:space="preserve">El veinticinco por ciento (25%) para abonar a la Cuenta de amortizaciones de la moneda acuñada. </w:t>
      </w:r>
    </w:p>
    <w:p w14:paraId="29B80B50" w14:textId="77777777" w:rsidR="005B2AF5" w:rsidRPr="00CB5A74" w:rsidRDefault="005B2AF5" w:rsidP="00CB5A74">
      <w:pPr>
        <w:ind w:left="567"/>
        <w:jc w:val="both"/>
        <w:rPr>
          <w:rFonts w:eastAsia="Calibri"/>
          <w:lang w:val="es-CR"/>
        </w:rPr>
      </w:pPr>
      <w:r w:rsidRPr="00CB5A74">
        <w:rPr>
          <w:rFonts w:eastAsia="Calibri"/>
          <w:lang w:val="es-CR"/>
        </w:rPr>
        <w:t xml:space="preserve">El remanente, para amortización de activos, constitución de otras reservas y amortización de su propia deuda, con propósitos de saneamiento monetario. </w:t>
      </w:r>
    </w:p>
    <w:p w14:paraId="1496C24F" w14:textId="77777777" w:rsidR="00F778C3" w:rsidRPr="00CB5A74" w:rsidRDefault="00841F31" w:rsidP="00F778C3">
      <w:pPr>
        <w:ind w:left="567"/>
        <w:jc w:val="both"/>
        <w:rPr>
          <w:rFonts w:eastAsia="Calibri"/>
          <w:lang w:val="es-CR"/>
        </w:rPr>
      </w:pPr>
      <w:r>
        <w:rPr>
          <w:rFonts w:eastAsia="Calibri"/>
          <w:lang w:val="es-CR"/>
        </w:rPr>
        <w:t xml:space="preserve">Adicionalmente, en la </w:t>
      </w:r>
      <w:r w:rsidR="00A76EEB">
        <w:rPr>
          <w:rFonts w:eastAsia="Calibri"/>
          <w:lang w:val="es-CR"/>
        </w:rPr>
        <w:t>L</w:t>
      </w:r>
      <w:r>
        <w:rPr>
          <w:rFonts w:eastAsia="Calibri"/>
          <w:lang w:val="es-CR"/>
        </w:rPr>
        <w:t xml:space="preserve">ey Nacional de Emergencias y Prevención del Riesgo y  Ley de Asociaciones Cooperativas y Creación del Instituto Nacional de Fomento Cooperativo se establece una distribución del </w:t>
      </w:r>
      <w:r w:rsidR="00F778C3" w:rsidRPr="00CB5A74">
        <w:rPr>
          <w:rFonts w:eastAsia="Calibri"/>
          <w:lang w:val="es-CR"/>
        </w:rPr>
        <w:t xml:space="preserve">diez por ciento (10%) para el Instituto de Fomento Cooperativo (INFOCOOP) y </w:t>
      </w:r>
      <w:r>
        <w:rPr>
          <w:rFonts w:eastAsia="Calibri"/>
          <w:lang w:val="es-CR"/>
        </w:rPr>
        <w:t xml:space="preserve">un 3% para </w:t>
      </w:r>
      <w:r w:rsidR="00F778C3" w:rsidRPr="00CB5A74">
        <w:rPr>
          <w:rFonts w:eastAsia="Calibri"/>
          <w:lang w:val="es-CR"/>
        </w:rPr>
        <w:t>la Comisión Nacional de Emergencia</w:t>
      </w:r>
      <w:r>
        <w:rPr>
          <w:rFonts w:eastAsia="Calibri"/>
          <w:lang w:val="es-CR"/>
        </w:rPr>
        <w:t>.</w:t>
      </w:r>
    </w:p>
    <w:p w14:paraId="76A90B67" w14:textId="77777777" w:rsidR="00754D54" w:rsidRPr="00CB5A74" w:rsidRDefault="00754D54" w:rsidP="00754D54">
      <w:pPr>
        <w:jc w:val="both"/>
        <w:rPr>
          <w:rFonts w:eastAsia="Calibri"/>
          <w:lang w:val="es-CR"/>
        </w:rPr>
      </w:pPr>
    </w:p>
    <w:p w14:paraId="4E27678A" w14:textId="77777777" w:rsidR="005B2AF5" w:rsidRPr="00CB5A74" w:rsidRDefault="005B2AF5" w:rsidP="00CB5A74">
      <w:pPr>
        <w:pStyle w:val="Prrafodelista"/>
        <w:numPr>
          <w:ilvl w:val="0"/>
          <w:numId w:val="22"/>
        </w:numPr>
        <w:jc w:val="both"/>
        <w:rPr>
          <w:rFonts w:eastAsia="Calibri"/>
          <w:b/>
          <w:i/>
          <w:lang w:val="es-CR"/>
        </w:rPr>
      </w:pPr>
      <w:r w:rsidRPr="00CB5A74">
        <w:rPr>
          <w:rFonts w:eastAsia="Calibri"/>
          <w:b/>
          <w:i/>
          <w:lang w:val="es-CR"/>
        </w:rPr>
        <w:t>Reservas</w:t>
      </w:r>
    </w:p>
    <w:p w14:paraId="58BBF7C4" w14:textId="77777777" w:rsidR="005B2AF5" w:rsidRDefault="005B2AF5" w:rsidP="00F778C3">
      <w:pPr>
        <w:spacing w:before="120"/>
        <w:ind w:left="567"/>
        <w:jc w:val="both"/>
        <w:rPr>
          <w:rFonts w:eastAsia="Calibri"/>
          <w:lang w:val="es-CR"/>
        </w:rPr>
      </w:pPr>
      <w:r w:rsidRPr="00CB5A74">
        <w:rPr>
          <w:rFonts w:eastAsia="Calibri"/>
          <w:lang w:val="es-CR"/>
        </w:rPr>
        <w:t>De acuerdo con la Ley Orgánica del Banco Central de Costa Rica, se debe realizar una reserva legal que se calcula anualmente con base en las utilidades del periodo de un año terminado en diciembre, la cual está determinada en un 50% de las utilidades del periodo y se aplica en forma semestral, mientras no se haya alcanzado un monto igual al doble de su capital.  Al 31 de diciembre la reserva legal del BCCR es por ¢10 millones, habiendo alcanzado ya el doble de su capital.</w:t>
      </w:r>
    </w:p>
    <w:p w14:paraId="3E1D03DA" w14:textId="77777777" w:rsidR="005923C1" w:rsidRPr="005923C1" w:rsidRDefault="005923C1" w:rsidP="00F778C3">
      <w:pPr>
        <w:spacing w:before="120"/>
        <w:ind w:left="567"/>
        <w:jc w:val="both"/>
        <w:rPr>
          <w:rFonts w:eastAsia="Calibri"/>
          <w:lang w:val="es-CR"/>
        </w:rPr>
      </w:pPr>
      <w:r w:rsidRPr="005923C1">
        <w:rPr>
          <w:lang w:val="es-CR"/>
        </w:rPr>
        <w:t>Asimismo con base en los artículos 8 y 11 de la Ley Orgánica del Banco Central, el resultado n</w:t>
      </w:r>
      <w:r>
        <w:rPr>
          <w:lang w:val="es-CR"/>
        </w:rPr>
        <w:t>eto del semestre por concepto de</w:t>
      </w:r>
      <w:r w:rsidRPr="005923C1">
        <w:rPr>
          <w:lang w:val="es-CR"/>
        </w:rPr>
        <w:t xml:space="preserve"> revaluaciones monetarias, luego de su registro en el estado de resultados</w:t>
      </w:r>
      <w:r>
        <w:rPr>
          <w:lang w:val="es-CR"/>
        </w:rPr>
        <w:t>,</w:t>
      </w:r>
      <w:r w:rsidRPr="005923C1">
        <w:rPr>
          <w:lang w:val="es-CR"/>
        </w:rPr>
        <w:t xml:space="preserve"> se traslada a la sección de Patrimonio del Estado de Situación Financiera como parte del ejercicio de liquidación semestral de pérdidas y ganancias. Debido a que el resultado acumulado por revaluaciones monetarias es superavitario, se const</w:t>
      </w:r>
      <w:r>
        <w:rPr>
          <w:lang w:val="es-CR"/>
        </w:rPr>
        <w:t>ituyó una r</w:t>
      </w:r>
      <w:r w:rsidRPr="005923C1">
        <w:rPr>
          <w:lang w:val="es-CR"/>
        </w:rPr>
        <w:t>eserva por fluctuaciones de tipo de cambio de forma que el Banco no pueda disponer de esos recursos para ningún propósito</w:t>
      </w:r>
      <w:r w:rsidR="004C66BA">
        <w:rPr>
          <w:lang w:val="es-CR"/>
        </w:rPr>
        <w:t>.</w:t>
      </w:r>
    </w:p>
    <w:p w14:paraId="7A29A060" w14:textId="77777777" w:rsidR="00CB5A74" w:rsidRPr="009060CE" w:rsidRDefault="00CB5A74" w:rsidP="009060CE">
      <w:pPr>
        <w:pStyle w:val="Ttulo1"/>
        <w:jc w:val="both"/>
        <w:rPr>
          <w:rFonts w:ascii="Times New Roman" w:hAnsi="Times New Roman" w:cs="Times New Roman"/>
          <w:color w:val="000080"/>
          <w:sz w:val="24"/>
          <w:szCs w:val="24"/>
          <w:lang w:val="es-CR"/>
        </w:rPr>
      </w:pPr>
      <w:bookmarkStart w:id="79" w:name="_Toc486408029"/>
      <w:r w:rsidRPr="009060CE">
        <w:rPr>
          <w:rFonts w:ascii="Times New Roman" w:hAnsi="Times New Roman" w:cs="Times New Roman"/>
          <w:color w:val="000080"/>
          <w:sz w:val="24"/>
          <w:szCs w:val="24"/>
          <w:lang w:val="es-CR"/>
        </w:rPr>
        <w:t>Impuestos</w:t>
      </w:r>
      <w:bookmarkEnd w:id="79"/>
    </w:p>
    <w:p w14:paraId="29FA8F71" w14:textId="77777777" w:rsidR="00CB5A74" w:rsidRDefault="00841F31" w:rsidP="009060CE">
      <w:pPr>
        <w:spacing w:before="120"/>
        <w:jc w:val="both"/>
        <w:rPr>
          <w:rFonts w:eastAsia="Calibri"/>
          <w:lang w:val="es-CR"/>
        </w:rPr>
      </w:pPr>
      <w:r>
        <w:rPr>
          <w:rFonts w:eastAsia="Calibri"/>
          <w:lang w:val="es-CR"/>
        </w:rPr>
        <w:t xml:space="preserve">El BCCR como gran contribuyente del impuesto sobre la renta aplica todo lo establecido </w:t>
      </w:r>
      <w:r w:rsidR="0004584D">
        <w:rPr>
          <w:rFonts w:eastAsia="Calibri"/>
          <w:lang w:val="es-CR"/>
        </w:rPr>
        <w:t>en esta</w:t>
      </w:r>
      <w:r w:rsidR="00CB5A74" w:rsidRPr="00CB5A74">
        <w:rPr>
          <w:rFonts w:eastAsia="Calibri"/>
          <w:lang w:val="es-CR"/>
        </w:rPr>
        <w:t xml:space="preserve"> Ley </w:t>
      </w:r>
      <w:r w:rsidR="0004584D">
        <w:rPr>
          <w:rFonts w:eastAsia="Calibri"/>
          <w:lang w:val="es-CR"/>
        </w:rPr>
        <w:t>y su Reglamento, así como</w:t>
      </w:r>
      <w:r>
        <w:rPr>
          <w:rFonts w:eastAsia="Calibri"/>
          <w:lang w:val="es-CR"/>
        </w:rPr>
        <w:t xml:space="preserve"> otra normativa </w:t>
      </w:r>
      <w:r w:rsidR="00CB5A74" w:rsidRPr="00CB5A74">
        <w:rPr>
          <w:rFonts w:eastAsia="Calibri"/>
          <w:lang w:val="es-CR"/>
        </w:rPr>
        <w:t xml:space="preserve">relacionada, </w:t>
      </w:r>
      <w:r w:rsidR="0004584D">
        <w:rPr>
          <w:rFonts w:eastAsia="Calibri"/>
          <w:lang w:val="es-CR"/>
        </w:rPr>
        <w:t>la cual es de</w:t>
      </w:r>
      <w:r w:rsidR="00CB5A74" w:rsidRPr="00CB5A74">
        <w:rPr>
          <w:rFonts w:eastAsia="Calibri"/>
          <w:lang w:val="es-CR"/>
        </w:rPr>
        <w:t xml:space="preserve"> acatamiento obligatorio. </w:t>
      </w:r>
    </w:p>
    <w:p w14:paraId="0C5DB29A" w14:textId="77777777" w:rsidR="00C0747A" w:rsidRPr="00C0747A" w:rsidRDefault="00C0747A" w:rsidP="00C0747A">
      <w:pPr>
        <w:pStyle w:val="Ttulo1"/>
        <w:jc w:val="both"/>
        <w:rPr>
          <w:rFonts w:ascii="Times New Roman" w:hAnsi="Times New Roman" w:cs="Times New Roman"/>
          <w:color w:val="000080"/>
          <w:sz w:val="24"/>
          <w:szCs w:val="24"/>
          <w:lang w:val="es-CR"/>
        </w:rPr>
      </w:pPr>
      <w:bookmarkStart w:id="80" w:name="_Toc486408030"/>
      <w:r w:rsidRPr="00C0747A">
        <w:rPr>
          <w:rFonts w:ascii="Times New Roman" w:hAnsi="Times New Roman" w:cs="Times New Roman"/>
          <w:color w:val="000080"/>
          <w:sz w:val="24"/>
          <w:szCs w:val="24"/>
          <w:lang w:val="es-CR"/>
        </w:rPr>
        <w:t xml:space="preserve">Ejercicio </w:t>
      </w:r>
      <w:r w:rsidR="00A72AF9">
        <w:rPr>
          <w:rFonts w:ascii="Times New Roman" w:hAnsi="Times New Roman" w:cs="Times New Roman"/>
          <w:color w:val="000080"/>
          <w:sz w:val="24"/>
          <w:szCs w:val="24"/>
          <w:lang w:val="es-CR"/>
        </w:rPr>
        <w:t>f</w:t>
      </w:r>
      <w:r w:rsidRPr="00C0747A">
        <w:rPr>
          <w:rFonts w:ascii="Times New Roman" w:hAnsi="Times New Roman" w:cs="Times New Roman"/>
          <w:color w:val="000080"/>
          <w:sz w:val="24"/>
          <w:szCs w:val="24"/>
          <w:lang w:val="es-CR"/>
        </w:rPr>
        <w:t>inanciero</w:t>
      </w:r>
      <w:bookmarkEnd w:id="80"/>
    </w:p>
    <w:p w14:paraId="01997B8A" w14:textId="77777777" w:rsidR="00C0747A" w:rsidRPr="00210703" w:rsidRDefault="00C0747A" w:rsidP="00C0747A">
      <w:pPr>
        <w:jc w:val="both"/>
        <w:rPr>
          <w:i/>
          <w:iCs/>
          <w:lang w:val="es-CR"/>
        </w:rPr>
      </w:pPr>
      <w:r>
        <w:rPr>
          <w:rFonts w:eastAsia="Calibri"/>
          <w:lang w:val="es-CR"/>
        </w:rPr>
        <w:t>El Artículo 9 de la Ley Orgánica indica que</w:t>
      </w:r>
      <w:r w:rsidRPr="009E0B44">
        <w:rPr>
          <w:rFonts w:eastAsia="Calibri"/>
          <w:lang w:val="es-CR"/>
        </w:rPr>
        <w:t>:</w:t>
      </w:r>
      <w:r>
        <w:rPr>
          <w:i/>
          <w:iCs/>
          <w:lang w:val="es-CR"/>
        </w:rPr>
        <w:t xml:space="preserve"> “</w:t>
      </w:r>
      <w:r w:rsidRPr="00210703">
        <w:rPr>
          <w:i/>
          <w:iCs/>
          <w:lang w:val="es-CR"/>
        </w:rPr>
        <w:t>El ejercicio financiero del Banco será el año natural. Sin embargo, practicará una liquidación completa y formal de sus ganancias y pérdidas independientes, al cierre de cada semestre y para su validez deberá ser aprobada por el Auditor Interno del Banco</w:t>
      </w:r>
      <w:r w:rsidR="00A72AF9">
        <w:rPr>
          <w:i/>
          <w:iCs/>
          <w:lang w:val="es-CR"/>
        </w:rPr>
        <w:t>”.</w:t>
      </w:r>
    </w:p>
    <w:p w14:paraId="78251C72" w14:textId="77777777" w:rsidR="00754D54" w:rsidRPr="00CB5A74" w:rsidRDefault="005B2AF5" w:rsidP="00754D54">
      <w:pPr>
        <w:pStyle w:val="Ttulo1"/>
        <w:jc w:val="both"/>
        <w:rPr>
          <w:rFonts w:ascii="Times New Roman" w:hAnsi="Times New Roman" w:cs="Times New Roman"/>
          <w:lang w:val="es-CR"/>
        </w:rPr>
      </w:pPr>
      <w:bookmarkStart w:id="81" w:name="_Toc486408031"/>
      <w:r w:rsidRPr="00CB5A74">
        <w:rPr>
          <w:rFonts w:ascii="Times New Roman" w:hAnsi="Times New Roman" w:cs="Times New Roman"/>
          <w:color w:val="000080"/>
          <w:sz w:val="24"/>
          <w:szCs w:val="24"/>
          <w:lang w:val="es-CR"/>
        </w:rPr>
        <w:t xml:space="preserve">Base </w:t>
      </w:r>
      <w:r w:rsidR="00B847EA">
        <w:rPr>
          <w:rFonts w:ascii="Times New Roman" w:hAnsi="Times New Roman" w:cs="Times New Roman"/>
          <w:color w:val="000080"/>
          <w:sz w:val="24"/>
          <w:szCs w:val="24"/>
          <w:lang w:val="es-CR"/>
        </w:rPr>
        <w:t>contable</w:t>
      </w:r>
      <w:bookmarkEnd w:id="81"/>
      <w:r w:rsidR="00DB4563" w:rsidRPr="00CB5A74">
        <w:rPr>
          <w:rFonts w:ascii="Times New Roman" w:hAnsi="Times New Roman" w:cs="Times New Roman"/>
          <w:color w:val="000080"/>
          <w:sz w:val="24"/>
          <w:szCs w:val="24"/>
          <w:lang w:val="es-CR"/>
        </w:rPr>
        <w:t xml:space="preserve"> </w:t>
      </w:r>
    </w:p>
    <w:p w14:paraId="42C12DE9" w14:textId="77777777" w:rsidR="005B2AF5" w:rsidRPr="00CB5A74" w:rsidRDefault="00CB5A74" w:rsidP="00754D54">
      <w:pPr>
        <w:jc w:val="both"/>
        <w:rPr>
          <w:rFonts w:eastAsia="Calibri"/>
          <w:lang w:val="es-CR"/>
        </w:rPr>
      </w:pPr>
      <w:r w:rsidRPr="00CB5A74">
        <w:rPr>
          <w:rFonts w:eastAsia="Calibri"/>
          <w:lang w:val="es-CR"/>
        </w:rPr>
        <w:t>Los Estados Financieros</w:t>
      </w:r>
      <w:r w:rsidR="00DB4563" w:rsidRPr="00CB5A74">
        <w:rPr>
          <w:rFonts w:eastAsia="Calibri"/>
          <w:lang w:val="es-CR"/>
        </w:rPr>
        <w:t xml:space="preserve"> y las notas que se adjuntan son preparadas tomando como referencia las N</w:t>
      </w:r>
      <w:r w:rsidR="00C97254" w:rsidRPr="00CB5A74">
        <w:rPr>
          <w:rFonts w:eastAsia="Calibri"/>
          <w:lang w:val="es-CR"/>
        </w:rPr>
        <w:t xml:space="preserve">ormas </w:t>
      </w:r>
      <w:r w:rsidR="00DB4563" w:rsidRPr="00CB5A74">
        <w:rPr>
          <w:rFonts w:eastAsia="Calibri"/>
          <w:lang w:val="es-CR"/>
        </w:rPr>
        <w:t>I</w:t>
      </w:r>
      <w:r w:rsidR="00C97254" w:rsidRPr="00CB5A74">
        <w:rPr>
          <w:rFonts w:eastAsia="Calibri"/>
          <w:lang w:val="es-CR"/>
        </w:rPr>
        <w:t>nternacion</w:t>
      </w:r>
      <w:r w:rsidR="0004584D">
        <w:rPr>
          <w:rFonts w:eastAsia="Calibri"/>
          <w:lang w:val="es-CR"/>
        </w:rPr>
        <w:t>al</w:t>
      </w:r>
      <w:r w:rsidR="00C97254" w:rsidRPr="00CB5A74">
        <w:rPr>
          <w:rFonts w:eastAsia="Calibri"/>
          <w:lang w:val="es-CR"/>
        </w:rPr>
        <w:t xml:space="preserve">es de Información </w:t>
      </w:r>
      <w:r w:rsidR="00DB4563" w:rsidRPr="00CB5A74">
        <w:rPr>
          <w:rFonts w:eastAsia="Calibri"/>
          <w:lang w:val="es-CR"/>
        </w:rPr>
        <w:t>F</w:t>
      </w:r>
      <w:r w:rsidR="00C97254" w:rsidRPr="00CB5A74">
        <w:rPr>
          <w:rFonts w:eastAsia="Calibri"/>
          <w:lang w:val="es-CR"/>
        </w:rPr>
        <w:t xml:space="preserve">inanciera. </w:t>
      </w:r>
    </w:p>
    <w:p w14:paraId="080B29A0" w14:textId="77777777" w:rsidR="005B2AF5" w:rsidRPr="00F53244" w:rsidRDefault="005B2AF5" w:rsidP="00607CB9">
      <w:pPr>
        <w:pStyle w:val="Ttulo1"/>
        <w:jc w:val="both"/>
        <w:rPr>
          <w:rFonts w:ascii="Times New Roman" w:hAnsi="Times New Roman" w:cs="Times New Roman"/>
          <w:color w:val="000099"/>
          <w:sz w:val="24"/>
          <w:szCs w:val="24"/>
          <w:lang w:val="es-CR"/>
        </w:rPr>
      </w:pPr>
      <w:bookmarkStart w:id="82" w:name="_Toc486408032"/>
      <w:r w:rsidRPr="00F53244">
        <w:rPr>
          <w:rFonts w:ascii="Times New Roman" w:hAnsi="Times New Roman" w:cs="Times New Roman"/>
          <w:color w:val="000099"/>
          <w:sz w:val="24"/>
          <w:szCs w:val="24"/>
          <w:lang w:val="es-CR"/>
        </w:rPr>
        <w:t>Moneda funcional y de presentación</w:t>
      </w:r>
      <w:bookmarkEnd w:id="82"/>
    </w:p>
    <w:p w14:paraId="2F489AC5" w14:textId="77777777" w:rsidR="005B2AF5" w:rsidRPr="00CB5A74" w:rsidRDefault="005B2AF5" w:rsidP="00754D54">
      <w:pPr>
        <w:jc w:val="both"/>
        <w:rPr>
          <w:rFonts w:eastAsia="Calibri"/>
          <w:lang w:val="es-CR"/>
        </w:rPr>
      </w:pPr>
      <w:r w:rsidRPr="00CB5A74">
        <w:rPr>
          <w:rFonts w:eastAsia="Calibri"/>
          <w:lang w:val="es-CR"/>
        </w:rPr>
        <w:t xml:space="preserve">Estos estados financieros son presentados en colones costarricenses, que es la moneda funcional del BCCR.  </w:t>
      </w:r>
    </w:p>
    <w:p w14:paraId="60EC6FDE" w14:textId="77777777" w:rsidR="005B2AF5" w:rsidRPr="00CB5A74" w:rsidRDefault="005B2AF5" w:rsidP="00AA3101">
      <w:pPr>
        <w:pStyle w:val="Ttulo1"/>
        <w:spacing w:before="120" w:after="0"/>
        <w:jc w:val="both"/>
        <w:rPr>
          <w:lang w:val="es-CR" w:eastAsia="es-CR"/>
        </w:rPr>
      </w:pPr>
      <w:bookmarkStart w:id="83" w:name="_Toc486408033"/>
      <w:r w:rsidRPr="00F53244">
        <w:rPr>
          <w:rFonts w:ascii="Times New Roman" w:hAnsi="Times New Roman" w:cs="Times New Roman"/>
          <w:color w:val="000099"/>
          <w:sz w:val="24"/>
          <w:szCs w:val="24"/>
          <w:lang w:val="es-CR"/>
        </w:rPr>
        <w:t>Bases de medición</w:t>
      </w:r>
      <w:bookmarkEnd w:id="83"/>
    </w:p>
    <w:p w14:paraId="698C8EB5" w14:textId="77777777" w:rsidR="005B2AF5" w:rsidRPr="00CB5A74" w:rsidRDefault="005B2AF5" w:rsidP="00AA3101">
      <w:pPr>
        <w:tabs>
          <w:tab w:val="left" w:pos="1440"/>
        </w:tabs>
        <w:spacing w:before="120"/>
        <w:contextualSpacing/>
        <w:jc w:val="both"/>
        <w:rPr>
          <w:color w:val="000000"/>
          <w:lang w:val="es-CR" w:eastAsia="es-CR"/>
        </w:rPr>
      </w:pPr>
      <w:r w:rsidRPr="00CB5A74">
        <w:rPr>
          <w:color w:val="000000"/>
          <w:lang w:val="es-CR" w:eastAsia="es-CR"/>
        </w:rPr>
        <w:t>Los estados financieros han sido preparados sobre la base del costo histórico con excepción de las siguientes partidas:</w:t>
      </w:r>
    </w:p>
    <w:p w14:paraId="504BA7A5" w14:textId="77777777" w:rsidR="005B2AF5" w:rsidRPr="00CB5A74" w:rsidRDefault="005B2AF5" w:rsidP="00754D54">
      <w:pPr>
        <w:tabs>
          <w:tab w:val="left" w:pos="426"/>
        </w:tabs>
        <w:ind w:left="426" w:firstLine="11"/>
        <w:contextualSpacing/>
        <w:jc w:val="both"/>
        <w:rPr>
          <w:lang w:val="es-CR" w:eastAsia="es-CR"/>
        </w:rPr>
      </w:pPr>
    </w:p>
    <w:p w14:paraId="016B4262" w14:textId="77777777" w:rsidR="005B2AF5" w:rsidRPr="00A72AF9" w:rsidRDefault="005B2AF5" w:rsidP="00A72AF9">
      <w:pPr>
        <w:pStyle w:val="Prrafodelista"/>
        <w:numPr>
          <w:ilvl w:val="0"/>
          <w:numId w:val="28"/>
        </w:numPr>
        <w:autoSpaceDE w:val="0"/>
        <w:autoSpaceDN w:val="0"/>
        <w:adjustRightInd w:val="0"/>
        <w:jc w:val="both"/>
        <w:rPr>
          <w:color w:val="000000"/>
          <w:lang w:val="es-CR" w:eastAsia="es-CR"/>
        </w:rPr>
      </w:pPr>
      <w:r w:rsidRPr="00A72AF9">
        <w:rPr>
          <w:color w:val="000000"/>
          <w:lang w:val="es-CR" w:eastAsia="es-CR"/>
        </w:rPr>
        <w:t>Instrumentos financieros derivados medidos al valor razonable</w:t>
      </w:r>
      <w:r w:rsidR="003C3C99" w:rsidRPr="00A72AF9">
        <w:rPr>
          <w:color w:val="000000"/>
          <w:lang w:val="es-CR" w:eastAsia="es-CR"/>
        </w:rPr>
        <w:t>.</w:t>
      </w:r>
    </w:p>
    <w:p w14:paraId="0ADE4A20" w14:textId="77777777" w:rsidR="005B2AF5" w:rsidRPr="00A72AF9" w:rsidRDefault="005B2AF5" w:rsidP="00A72AF9">
      <w:pPr>
        <w:pStyle w:val="Prrafodelista"/>
        <w:numPr>
          <w:ilvl w:val="0"/>
          <w:numId w:val="28"/>
        </w:numPr>
        <w:autoSpaceDE w:val="0"/>
        <w:autoSpaceDN w:val="0"/>
        <w:adjustRightInd w:val="0"/>
        <w:jc w:val="both"/>
        <w:rPr>
          <w:color w:val="000000"/>
          <w:lang w:val="es-CR" w:eastAsia="es-CR"/>
        </w:rPr>
      </w:pPr>
      <w:r w:rsidRPr="00A72AF9">
        <w:rPr>
          <w:color w:val="000000"/>
          <w:lang w:val="es-CR" w:eastAsia="es-CR"/>
        </w:rPr>
        <w:t>Instrumentos financieros al valor razonable con efectos a resultados</w:t>
      </w:r>
      <w:r w:rsidR="003C3C99" w:rsidRPr="00A72AF9">
        <w:rPr>
          <w:color w:val="000000"/>
          <w:lang w:val="es-CR" w:eastAsia="es-CR"/>
        </w:rPr>
        <w:t>.</w:t>
      </w:r>
    </w:p>
    <w:p w14:paraId="0CCE5AA9" w14:textId="77777777" w:rsidR="005B2AF5" w:rsidRPr="00A72AF9" w:rsidRDefault="005B2AF5" w:rsidP="00A72AF9">
      <w:pPr>
        <w:pStyle w:val="Prrafodelista"/>
        <w:numPr>
          <w:ilvl w:val="0"/>
          <w:numId w:val="28"/>
        </w:numPr>
        <w:autoSpaceDE w:val="0"/>
        <w:autoSpaceDN w:val="0"/>
        <w:adjustRightInd w:val="0"/>
        <w:jc w:val="both"/>
        <w:rPr>
          <w:color w:val="000000"/>
          <w:lang w:val="es-CR" w:eastAsia="es-CR"/>
        </w:rPr>
      </w:pPr>
      <w:r w:rsidRPr="00A72AF9">
        <w:rPr>
          <w:color w:val="000000"/>
          <w:lang w:val="es-CR" w:eastAsia="es-CR"/>
        </w:rPr>
        <w:t>Activos financieros disponibles para la venta medidos al valor razonable</w:t>
      </w:r>
      <w:r w:rsidR="003C3C99" w:rsidRPr="00A72AF9">
        <w:rPr>
          <w:color w:val="000000"/>
          <w:lang w:val="es-CR" w:eastAsia="es-CR"/>
        </w:rPr>
        <w:t>.</w:t>
      </w:r>
    </w:p>
    <w:p w14:paraId="6378CABD" w14:textId="77777777" w:rsidR="005B2AF5" w:rsidRPr="00A72AF9" w:rsidRDefault="005B2AF5" w:rsidP="00A72AF9">
      <w:pPr>
        <w:pStyle w:val="Prrafodelista"/>
        <w:numPr>
          <w:ilvl w:val="0"/>
          <w:numId w:val="28"/>
        </w:numPr>
        <w:autoSpaceDE w:val="0"/>
        <w:autoSpaceDN w:val="0"/>
        <w:adjustRightInd w:val="0"/>
        <w:jc w:val="both"/>
        <w:rPr>
          <w:color w:val="000000"/>
          <w:lang w:val="es-CR" w:eastAsia="es-CR"/>
        </w:rPr>
      </w:pPr>
      <w:r w:rsidRPr="00A72AF9">
        <w:rPr>
          <w:color w:val="000000"/>
          <w:lang w:val="es-CR" w:eastAsia="es-CR"/>
        </w:rPr>
        <w:t>Propiedades de inversión medidas al valor razonable</w:t>
      </w:r>
      <w:r w:rsidR="003C3C99" w:rsidRPr="00A72AF9">
        <w:rPr>
          <w:color w:val="000000"/>
          <w:lang w:val="es-CR" w:eastAsia="es-CR"/>
        </w:rPr>
        <w:t>.</w:t>
      </w:r>
    </w:p>
    <w:p w14:paraId="2C06A5D7" w14:textId="77777777" w:rsidR="005B2AF5" w:rsidRPr="00A72AF9" w:rsidRDefault="005B2AF5" w:rsidP="00A72AF9">
      <w:pPr>
        <w:pStyle w:val="Prrafodelista"/>
        <w:numPr>
          <w:ilvl w:val="0"/>
          <w:numId w:val="28"/>
        </w:numPr>
        <w:autoSpaceDE w:val="0"/>
        <w:autoSpaceDN w:val="0"/>
        <w:adjustRightInd w:val="0"/>
        <w:jc w:val="both"/>
        <w:rPr>
          <w:color w:val="000000"/>
          <w:lang w:val="es-CR" w:eastAsia="es-CR"/>
        </w:rPr>
      </w:pPr>
      <w:r w:rsidRPr="00A72AF9">
        <w:rPr>
          <w:color w:val="000000"/>
          <w:lang w:val="es-CR" w:eastAsia="es-CR"/>
        </w:rPr>
        <w:t xml:space="preserve">Beneficios definidos a empleados medidos al valor presente de la obligación determinado </w:t>
      </w:r>
      <w:r w:rsidR="00B847EA" w:rsidRPr="00A72AF9">
        <w:rPr>
          <w:color w:val="000000"/>
          <w:lang w:val="es-CR" w:eastAsia="es-CR"/>
        </w:rPr>
        <w:t>por</w:t>
      </w:r>
      <w:r w:rsidRPr="00A72AF9">
        <w:rPr>
          <w:color w:val="000000"/>
          <w:lang w:val="es-CR" w:eastAsia="es-CR"/>
        </w:rPr>
        <w:t xml:space="preserve"> métodos actuariales.</w:t>
      </w:r>
    </w:p>
    <w:p w14:paraId="1614FDED" w14:textId="77777777" w:rsidR="00AA3101" w:rsidRDefault="00AA3101" w:rsidP="00A72AF9">
      <w:pPr>
        <w:tabs>
          <w:tab w:val="left" w:pos="1440"/>
        </w:tabs>
        <w:contextualSpacing/>
        <w:jc w:val="both"/>
        <w:rPr>
          <w:color w:val="000000"/>
          <w:lang w:val="es-CR" w:eastAsia="es-CR"/>
        </w:rPr>
      </w:pPr>
    </w:p>
    <w:p w14:paraId="75CD4C3C" w14:textId="1445EAC4" w:rsidR="00FB3272" w:rsidRPr="00A72AF9" w:rsidRDefault="00FD33D9" w:rsidP="00A72AF9">
      <w:pPr>
        <w:tabs>
          <w:tab w:val="left" w:pos="1440"/>
        </w:tabs>
        <w:contextualSpacing/>
        <w:jc w:val="both"/>
        <w:rPr>
          <w:color w:val="000000"/>
          <w:lang w:val="es-CR" w:eastAsia="es-CR"/>
        </w:rPr>
      </w:pPr>
      <w:r w:rsidRPr="00CB5A74">
        <w:rPr>
          <w:color w:val="000000"/>
          <w:lang w:val="es-CR" w:eastAsia="es-CR"/>
        </w:rPr>
        <w:t xml:space="preserve">Al </w:t>
      </w:r>
      <w:r w:rsidR="00A26987">
        <w:rPr>
          <w:color w:val="000000"/>
          <w:lang w:val="es-CR" w:eastAsia="es-CR"/>
        </w:rPr>
        <w:t>3</w:t>
      </w:r>
      <w:r w:rsidR="00A24444">
        <w:rPr>
          <w:color w:val="000000"/>
          <w:lang w:val="es-CR" w:eastAsia="es-CR"/>
        </w:rPr>
        <w:t>0</w:t>
      </w:r>
      <w:r w:rsidR="001A1D25">
        <w:rPr>
          <w:color w:val="000000"/>
          <w:lang w:val="es-CR" w:eastAsia="es-CR"/>
        </w:rPr>
        <w:t xml:space="preserve"> de </w:t>
      </w:r>
      <w:r w:rsidR="00A24444">
        <w:rPr>
          <w:color w:val="000000"/>
          <w:lang w:val="es-CR" w:eastAsia="es-CR"/>
        </w:rPr>
        <w:t>abril</w:t>
      </w:r>
      <w:r w:rsidR="00741934">
        <w:rPr>
          <w:color w:val="000000"/>
          <w:lang w:val="es-CR" w:eastAsia="es-CR"/>
        </w:rPr>
        <w:t>,</w:t>
      </w:r>
      <w:r w:rsidRPr="00CB5A74">
        <w:rPr>
          <w:color w:val="000000"/>
          <w:lang w:val="es-CR" w:eastAsia="es-CR"/>
        </w:rPr>
        <w:t xml:space="preserve"> los tipos de cambio de las principales monedas utilizadas en la preparación de los estados financieros, así como los factores de equi</w:t>
      </w:r>
      <w:r w:rsidR="006E37D8">
        <w:rPr>
          <w:color w:val="000000"/>
          <w:lang w:val="es-CR" w:eastAsia="es-CR"/>
        </w:rPr>
        <w:t>valencia se detallan como sigue:</w:t>
      </w:r>
      <w:r w:rsidRPr="00A72AF9">
        <w:rPr>
          <w:color w:val="000000"/>
          <w:lang w:val="es-CR" w:eastAsia="es-CR"/>
        </w:rPr>
        <w:t xml:space="preserve"> </w:t>
      </w:r>
    </w:p>
    <w:tbl>
      <w:tblPr>
        <w:tblpPr w:leftFromText="180" w:rightFromText="180" w:vertAnchor="text" w:horzAnchor="margin" w:tblpXSpec="center" w:tblpY="66"/>
        <w:tblW w:w="9248" w:type="dxa"/>
        <w:tblCellSpacing w:w="20" w:type="dxa"/>
        <w:tblBorders>
          <w:top w:val="outset" w:sz="6" w:space="0" w:color="000080"/>
          <w:left w:val="outset" w:sz="6" w:space="0" w:color="000080"/>
          <w:bottom w:val="inset" w:sz="6" w:space="0" w:color="000080"/>
          <w:right w:val="inset" w:sz="6" w:space="0" w:color="000080"/>
        </w:tblBorders>
        <w:tblLayout w:type="fixed"/>
        <w:tblLook w:val="0000" w:firstRow="0" w:lastRow="0" w:firstColumn="0" w:lastColumn="0" w:noHBand="0" w:noVBand="0"/>
      </w:tblPr>
      <w:tblGrid>
        <w:gridCol w:w="2692"/>
        <w:gridCol w:w="2307"/>
        <w:gridCol w:w="2049"/>
        <w:gridCol w:w="2200"/>
      </w:tblGrid>
      <w:tr w:rsidR="00650193" w:rsidRPr="00D65625" w14:paraId="0F90A788" w14:textId="77777777" w:rsidTr="00E13AD5">
        <w:trPr>
          <w:trHeight w:val="2"/>
          <w:tblCellSpacing w:w="20" w:type="dxa"/>
        </w:trPr>
        <w:tc>
          <w:tcPr>
            <w:tcW w:w="2632" w:type="dxa"/>
            <w:tcBorders>
              <w:top w:val="outset" w:sz="6" w:space="0" w:color="000080"/>
            </w:tcBorders>
            <w:shd w:val="clear" w:color="auto" w:fill="333399"/>
            <w:noWrap/>
            <w:vAlign w:val="bottom"/>
          </w:tcPr>
          <w:p w14:paraId="3FA0D035" w14:textId="77777777" w:rsidR="003523DF" w:rsidRPr="00A76EEB" w:rsidRDefault="003523DF" w:rsidP="00650193">
            <w:pPr>
              <w:pStyle w:val="Tabla-texto-principal"/>
              <w:framePr w:hSpace="0" w:wrap="auto" w:vAnchor="margin" w:hAnchor="text" w:xAlign="left" w:yAlign="inline"/>
            </w:pPr>
            <w:r w:rsidRPr="00A76EEB">
              <w:t>Moneda</w:t>
            </w:r>
          </w:p>
        </w:tc>
        <w:tc>
          <w:tcPr>
            <w:tcW w:w="2267" w:type="dxa"/>
            <w:tcBorders>
              <w:top w:val="outset" w:sz="6" w:space="0" w:color="000080"/>
            </w:tcBorders>
            <w:shd w:val="clear" w:color="auto" w:fill="333399"/>
            <w:noWrap/>
            <w:vAlign w:val="bottom"/>
          </w:tcPr>
          <w:p w14:paraId="17605CBF" w14:textId="77777777" w:rsidR="003523DF" w:rsidRPr="00A76EEB" w:rsidRDefault="003523DF" w:rsidP="00650193">
            <w:pPr>
              <w:pStyle w:val="Tabla-texto-principal"/>
              <w:framePr w:hSpace="0" w:wrap="auto" w:vAnchor="margin" w:hAnchor="text" w:xAlign="left" w:yAlign="inline"/>
            </w:pPr>
            <w:r w:rsidRPr="00A76EEB">
              <w:t>Referencia de Intercambio</w:t>
            </w:r>
          </w:p>
        </w:tc>
        <w:tc>
          <w:tcPr>
            <w:tcW w:w="2009" w:type="dxa"/>
            <w:tcBorders>
              <w:top w:val="outset" w:sz="6" w:space="0" w:color="000080"/>
            </w:tcBorders>
            <w:shd w:val="clear" w:color="auto" w:fill="333399"/>
            <w:noWrap/>
            <w:vAlign w:val="bottom"/>
          </w:tcPr>
          <w:p w14:paraId="66D2B68B" w14:textId="60B30D2B" w:rsidR="003523DF" w:rsidRPr="0019670A" w:rsidRDefault="00EA7BC2" w:rsidP="00161FA0">
            <w:pPr>
              <w:pStyle w:val="Tabla-texto-principal"/>
              <w:framePr w:hSpace="0" w:wrap="auto" w:vAnchor="margin" w:hAnchor="text" w:xAlign="left" w:yAlign="inline"/>
              <w:ind w:left="-285" w:right="-113"/>
            </w:pPr>
            <w:r>
              <w:t xml:space="preserve"> </w:t>
            </w:r>
            <w:r w:rsidR="00161FA0">
              <w:t xml:space="preserve">31 Mayo </w:t>
            </w:r>
            <w:r w:rsidR="00953F19" w:rsidRPr="0049565F">
              <w:t>2017</w:t>
            </w:r>
          </w:p>
        </w:tc>
        <w:tc>
          <w:tcPr>
            <w:tcW w:w="2140" w:type="dxa"/>
            <w:tcBorders>
              <w:top w:val="outset" w:sz="6" w:space="0" w:color="000080"/>
            </w:tcBorders>
            <w:shd w:val="clear" w:color="auto" w:fill="333399"/>
            <w:vAlign w:val="bottom"/>
          </w:tcPr>
          <w:p w14:paraId="3CB1E450" w14:textId="0152F1EB" w:rsidR="003523DF" w:rsidRPr="0019670A" w:rsidRDefault="00633A76" w:rsidP="00403D36">
            <w:pPr>
              <w:pStyle w:val="Tabla-texto-principal"/>
              <w:framePr w:hSpace="0" w:wrap="auto" w:vAnchor="margin" w:hAnchor="text" w:xAlign="left" w:yAlign="inline"/>
              <w:ind w:left="-285" w:right="-113"/>
            </w:pPr>
            <w:r>
              <w:t>3</w:t>
            </w:r>
            <w:r w:rsidR="00403D36">
              <w:t>0</w:t>
            </w:r>
            <w:r w:rsidR="00161FA0">
              <w:t xml:space="preserve"> </w:t>
            </w:r>
            <w:r w:rsidR="00403D36">
              <w:t>Abril</w:t>
            </w:r>
            <w:r w:rsidR="00161FA0">
              <w:t xml:space="preserve"> </w:t>
            </w:r>
            <w:r w:rsidR="00C52FB0">
              <w:t>2017</w:t>
            </w:r>
          </w:p>
        </w:tc>
      </w:tr>
      <w:tr w:rsidR="00AA3101" w:rsidRPr="00D65625" w14:paraId="19D6EDF2" w14:textId="77777777" w:rsidTr="00E13AD5">
        <w:trPr>
          <w:trHeight w:val="2"/>
          <w:tblCellSpacing w:w="20" w:type="dxa"/>
        </w:trPr>
        <w:tc>
          <w:tcPr>
            <w:tcW w:w="2632" w:type="dxa"/>
            <w:noWrap/>
          </w:tcPr>
          <w:p w14:paraId="3B77D769" w14:textId="77777777" w:rsidR="003523DF" w:rsidRPr="00650193" w:rsidRDefault="003523DF" w:rsidP="00650193">
            <w:pPr>
              <w:pStyle w:val="texto-cuadros"/>
              <w:framePr w:hSpace="0" w:wrap="auto" w:vAnchor="margin" w:hAnchor="text" w:yAlign="inline"/>
              <w:rPr>
                <w:b/>
                <w:sz w:val="16"/>
                <w:szCs w:val="16"/>
              </w:rPr>
            </w:pPr>
            <w:r w:rsidRPr="00650193">
              <w:rPr>
                <w:b/>
                <w:sz w:val="16"/>
                <w:szCs w:val="16"/>
              </w:rPr>
              <w:t>Dólar EE.UU.</w:t>
            </w:r>
          </w:p>
        </w:tc>
        <w:tc>
          <w:tcPr>
            <w:tcW w:w="2267" w:type="dxa"/>
            <w:noWrap/>
          </w:tcPr>
          <w:p w14:paraId="7F8FAA29" w14:textId="77777777" w:rsidR="003523DF" w:rsidRPr="00650193" w:rsidRDefault="003523DF" w:rsidP="00650193">
            <w:pPr>
              <w:pStyle w:val="texto-cuadros"/>
              <w:framePr w:hSpace="0" w:wrap="auto" w:vAnchor="margin" w:hAnchor="text" w:yAlign="inline"/>
              <w:jc w:val="center"/>
              <w:rPr>
                <w:rFonts w:ascii="Book Antiqua" w:hAnsi="Book Antiqua" w:cs="Arial"/>
                <w:color w:val="333399"/>
                <w:sz w:val="16"/>
                <w:szCs w:val="16"/>
              </w:rPr>
            </w:pPr>
          </w:p>
        </w:tc>
        <w:tc>
          <w:tcPr>
            <w:tcW w:w="2009" w:type="dxa"/>
            <w:noWrap/>
          </w:tcPr>
          <w:p w14:paraId="457FF0FD" w14:textId="77777777" w:rsidR="003523DF" w:rsidRPr="00650193" w:rsidRDefault="003523DF" w:rsidP="00650193">
            <w:pPr>
              <w:pStyle w:val="texto-cuadros"/>
              <w:framePr w:hSpace="0" w:wrap="auto" w:vAnchor="margin" w:hAnchor="text" w:yAlign="inline"/>
              <w:rPr>
                <w:sz w:val="16"/>
                <w:szCs w:val="16"/>
              </w:rPr>
            </w:pPr>
            <w:r w:rsidRPr="00650193">
              <w:rPr>
                <w:sz w:val="16"/>
                <w:szCs w:val="16"/>
              </w:rPr>
              <w:t> </w:t>
            </w:r>
          </w:p>
        </w:tc>
        <w:tc>
          <w:tcPr>
            <w:tcW w:w="2140" w:type="dxa"/>
          </w:tcPr>
          <w:p w14:paraId="584CEAC2" w14:textId="77777777" w:rsidR="003523DF" w:rsidRPr="00650193" w:rsidRDefault="003523DF" w:rsidP="00650193">
            <w:pPr>
              <w:pStyle w:val="texto-cuadros"/>
              <w:framePr w:hSpace="0" w:wrap="auto" w:vAnchor="margin" w:hAnchor="text" w:yAlign="inline"/>
              <w:rPr>
                <w:sz w:val="16"/>
                <w:szCs w:val="16"/>
              </w:rPr>
            </w:pPr>
            <w:r w:rsidRPr="00650193">
              <w:rPr>
                <w:sz w:val="16"/>
                <w:szCs w:val="16"/>
              </w:rPr>
              <w:t> </w:t>
            </w:r>
          </w:p>
        </w:tc>
      </w:tr>
      <w:tr w:rsidR="006A5162" w:rsidRPr="003A0A63" w14:paraId="4268C376" w14:textId="77777777" w:rsidTr="00E13AD5">
        <w:trPr>
          <w:trHeight w:val="4"/>
          <w:tblCellSpacing w:w="20" w:type="dxa"/>
        </w:trPr>
        <w:tc>
          <w:tcPr>
            <w:tcW w:w="2632" w:type="dxa"/>
            <w:noWrap/>
          </w:tcPr>
          <w:p w14:paraId="65730BBE" w14:textId="340CE67E" w:rsidR="006A5162" w:rsidRPr="00650193" w:rsidRDefault="006A5162" w:rsidP="006A5162">
            <w:pPr>
              <w:pStyle w:val="texto-cuadros"/>
              <w:framePr w:hSpace="0" w:wrap="auto" w:vAnchor="margin" w:hAnchor="text" w:yAlign="inline"/>
              <w:rPr>
                <w:sz w:val="16"/>
                <w:szCs w:val="16"/>
              </w:rPr>
            </w:pPr>
            <w:r w:rsidRPr="00650193">
              <w:rPr>
                <w:sz w:val="16"/>
                <w:szCs w:val="16"/>
              </w:rPr>
              <w:t>Colón Costarricense (T.C.P.P MONEX)</w:t>
            </w:r>
          </w:p>
        </w:tc>
        <w:tc>
          <w:tcPr>
            <w:tcW w:w="2267" w:type="dxa"/>
            <w:noWrap/>
          </w:tcPr>
          <w:p w14:paraId="09966606"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Colones por dólar</w:t>
            </w:r>
          </w:p>
        </w:tc>
        <w:tc>
          <w:tcPr>
            <w:tcW w:w="2009" w:type="dxa"/>
            <w:noWrap/>
          </w:tcPr>
          <w:p w14:paraId="69D49A2B" w14:textId="57796A70" w:rsidR="006A5162" w:rsidRPr="00403D36" w:rsidRDefault="00403D36" w:rsidP="00403D36">
            <w:pPr>
              <w:pStyle w:val="texto-cuadros"/>
              <w:framePr w:hSpace="0" w:wrap="auto" w:vAnchor="margin" w:hAnchor="text" w:yAlign="inline"/>
              <w:jc w:val="right"/>
              <w:rPr>
                <w:sz w:val="16"/>
                <w:szCs w:val="16"/>
              </w:rPr>
            </w:pPr>
            <w:r>
              <w:rPr>
                <w:sz w:val="16"/>
                <w:szCs w:val="16"/>
              </w:rPr>
              <w:t>570,60000</w:t>
            </w:r>
          </w:p>
        </w:tc>
        <w:tc>
          <w:tcPr>
            <w:tcW w:w="2140" w:type="dxa"/>
          </w:tcPr>
          <w:p w14:paraId="1C2B40FC" w14:textId="51AE2E9E" w:rsidR="006A5162" w:rsidRPr="00820AC6" w:rsidRDefault="00403D36" w:rsidP="006A5162">
            <w:pPr>
              <w:pStyle w:val="texto-cuadros"/>
              <w:framePr w:hSpace="0" w:wrap="auto" w:vAnchor="margin" w:hAnchor="text" w:yAlign="inline"/>
              <w:jc w:val="right"/>
              <w:rPr>
                <w:sz w:val="16"/>
                <w:szCs w:val="16"/>
              </w:rPr>
            </w:pPr>
            <w:r>
              <w:rPr>
                <w:sz w:val="16"/>
                <w:szCs w:val="16"/>
              </w:rPr>
              <w:t>566,93000</w:t>
            </w:r>
          </w:p>
        </w:tc>
      </w:tr>
      <w:tr w:rsidR="006A5162" w:rsidRPr="003A0A63" w14:paraId="1D1EEFC6" w14:textId="77777777" w:rsidTr="00E13AD5">
        <w:trPr>
          <w:trHeight w:val="4"/>
          <w:tblCellSpacing w:w="20" w:type="dxa"/>
        </w:trPr>
        <w:tc>
          <w:tcPr>
            <w:tcW w:w="2632" w:type="dxa"/>
            <w:noWrap/>
          </w:tcPr>
          <w:p w14:paraId="481F5D62" w14:textId="008496A4" w:rsidR="006A5162" w:rsidRPr="00650193" w:rsidRDefault="006A5162" w:rsidP="006A5162">
            <w:pPr>
              <w:pStyle w:val="texto-cuadros"/>
              <w:framePr w:hSpace="0" w:wrap="auto" w:vAnchor="margin" w:hAnchor="text" w:yAlign="inline"/>
              <w:rPr>
                <w:sz w:val="16"/>
                <w:szCs w:val="16"/>
              </w:rPr>
            </w:pPr>
            <w:r w:rsidRPr="00650193">
              <w:rPr>
                <w:sz w:val="16"/>
                <w:szCs w:val="16"/>
              </w:rPr>
              <w:t>Libra Esterlina</w:t>
            </w:r>
          </w:p>
        </w:tc>
        <w:tc>
          <w:tcPr>
            <w:tcW w:w="2267" w:type="dxa"/>
            <w:noWrap/>
          </w:tcPr>
          <w:p w14:paraId="764E586F"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Dólares por unidad</w:t>
            </w:r>
          </w:p>
        </w:tc>
        <w:tc>
          <w:tcPr>
            <w:tcW w:w="2009" w:type="dxa"/>
            <w:noWrap/>
          </w:tcPr>
          <w:p w14:paraId="36A38061" w14:textId="13428CC0" w:rsidR="006A5162" w:rsidRPr="00403D36" w:rsidRDefault="00403D36" w:rsidP="00403D36">
            <w:pPr>
              <w:pStyle w:val="texto-cuadros"/>
              <w:framePr w:hSpace="0" w:wrap="auto" w:vAnchor="margin" w:hAnchor="text" w:yAlign="inline"/>
              <w:jc w:val="right"/>
              <w:rPr>
                <w:sz w:val="16"/>
                <w:szCs w:val="16"/>
              </w:rPr>
            </w:pPr>
            <w:r>
              <w:rPr>
                <w:sz w:val="16"/>
                <w:szCs w:val="16"/>
              </w:rPr>
              <w:t>1,28900</w:t>
            </w:r>
          </w:p>
        </w:tc>
        <w:tc>
          <w:tcPr>
            <w:tcW w:w="2140" w:type="dxa"/>
          </w:tcPr>
          <w:p w14:paraId="3980CC00" w14:textId="642997FE" w:rsidR="006A5162" w:rsidRPr="00650193" w:rsidRDefault="00403D36" w:rsidP="006A5162">
            <w:pPr>
              <w:pStyle w:val="texto-cuadros"/>
              <w:framePr w:hSpace="0" w:wrap="auto" w:vAnchor="margin" w:hAnchor="text" w:yAlign="inline"/>
              <w:jc w:val="right"/>
              <w:rPr>
                <w:sz w:val="16"/>
                <w:szCs w:val="16"/>
              </w:rPr>
            </w:pPr>
            <w:r>
              <w:rPr>
                <w:sz w:val="16"/>
                <w:szCs w:val="16"/>
              </w:rPr>
              <w:t>1,29510</w:t>
            </w:r>
          </w:p>
        </w:tc>
      </w:tr>
      <w:tr w:rsidR="006A5162" w:rsidRPr="003A0A63" w14:paraId="565645A0" w14:textId="77777777" w:rsidTr="00E13AD5">
        <w:trPr>
          <w:trHeight w:val="2"/>
          <w:tblCellSpacing w:w="20" w:type="dxa"/>
        </w:trPr>
        <w:tc>
          <w:tcPr>
            <w:tcW w:w="2632" w:type="dxa"/>
            <w:noWrap/>
          </w:tcPr>
          <w:p w14:paraId="46E13541" w14:textId="65022A6B" w:rsidR="006A5162" w:rsidRPr="00650193" w:rsidRDefault="006A5162" w:rsidP="006A5162">
            <w:pPr>
              <w:pStyle w:val="texto-cuadros"/>
              <w:framePr w:hSpace="0" w:wrap="auto" w:vAnchor="margin" w:hAnchor="text" w:yAlign="inline"/>
              <w:rPr>
                <w:sz w:val="16"/>
                <w:szCs w:val="16"/>
              </w:rPr>
            </w:pPr>
            <w:r w:rsidRPr="00650193">
              <w:rPr>
                <w:sz w:val="16"/>
                <w:szCs w:val="16"/>
              </w:rPr>
              <w:t>Franco Suizo</w:t>
            </w:r>
          </w:p>
        </w:tc>
        <w:tc>
          <w:tcPr>
            <w:tcW w:w="2267" w:type="dxa"/>
            <w:noWrap/>
          </w:tcPr>
          <w:p w14:paraId="48C4CC8A"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Unidades por dólar</w:t>
            </w:r>
          </w:p>
        </w:tc>
        <w:tc>
          <w:tcPr>
            <w:tcW w:w="2009" w:type="dxa"/>
            <w:noWrap/>
          </w:tcPr>
          <w:p w14:paraId="40E7A060" w14:textId="65AC79A1" w:rsidR="006A5162" w:rsidRPr="00403D36" w:rsidRDefault="00403D36" w:rsidP="00403D36">
            <w:pPr>
              <w:pStyle w:val="texto-cuadros"/>
              <w:framePr w:hSpace="0" w:wrap="auto" w:vAnchor="margin" w:hAnchor="text" w:yAlign="inline"/>
              <w:jc w:val="right"/>
              <w:rPr>
                <w:sz w:val="16"/>
                <w:szCs w:val="16"/>
              </w:rPr>
            </w:pPr>
            <w:r>
              <w:rPr>
                <w:sz w:val="16"/>
                <w:szCs w:val="16"/>
              </w:rPr>
              <w:t>0,96780</w:t>
            </w:r>
          </w:p>
        </w:tc>
        <w:tc>
          <w:tcPr>
            <w:tcW w:w="2140" w:type="dxa"/>
          </w:tcPr>
          <w:p w14:paraId="11005F57" w14:textId="480E508F" w:rsidR="006A5162" w:rsidRPr="00650193" w:rsidRDefault="00403D36" w:rsidP="006A5162">
            <w:pPr>
              <w:pStyle w:val="texto-cuadros"/>
              <w:framePr w:hSpace="0" w:wrap="auto" w:vAnchor="margin" w:hAnchor="text" w:yAlign="inline"/>
              <w:jc w:val="right"/>
              <w:rPr>
                <w:sz w:val="16"/>
                <w:szCs w:val="16"/>
              </w:rPr>
            </w:pPr>
            <w:r>
              <w:rPr>
                <w:sz w:val="16"/>
                <w:szCs w:val="16"/>
              </w:rPr>
              <w:t>0,99460</w:t>
            </w:r>
          </w:p>
        </w:tc>
      </w:tr>
      <w:tr w:rsidR="006A5162" w:rsidRPr="00D65625" w14:paraId="731A0B85" w14:textId="77777777" w:rsidTr="00E13AD5">
        <w:trPr>
          <w:trHeight w:val="2"/>
          <w:tblCellSpacing w:w="20" w:type="dxa"/>
        </w:trPr>
        <w:tc>
          <w:tcPr>
            <w:tcW w:w="2632" w:type="dxa"/>
            <w:noWrap/>
          </w:tcPr>
          <w:p w14:paraId="46B9EDBB" w14:textId="33045E1D" w:rsidR="006A5162" w:rsidRPr="00650193" w:rsidRDefault="006A5162" w:rsidP="006A5162">
            <w:pPr>
              <w:pStyle w:val="texto-cuadros"/>
              <w:framePr w:hSpace="0" w:wrap="auto" w:vAnchor="margin" w:hAnchor="text" w:yAlign="inline"/>
              <w:rPr>
                <w:sz w:val="16"/>
                <w:szCs w:val="16"/>
              </w:rPr>
            </w:pPr>
            <w:r w:rsidRPr="00650193">
              <w:rPr>
                <w:sz w:val="16"/>
                <w:szCs w:val="16"/>
              </w:rPr>
              <w:t>Peso Mexicano</w:t>
            </w:r>
          </w:p>
        </w:tc>
        <w:tc>
          <w:tcPr>
            <w:tcW w:w="2267" w:type="dxa"/>
            <w:noWrap/>
          </w:tcPr>
          <w:p w14:paraId="65E1FA45"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Unidades por dólar</w:t>
            </w:r>
          </w:p>
        </w:tc>
        <w:tc>
          <w:tcPr>
            <w:tcW w:w="2009" w:type="dxa"/>
            <w:noWrap/>
          </w:tcPr>
          <w:p w14:paraId="294B1304" w14:textId="47D6FB7C" w:rsidR="006A5162" w:rsidRPr="00403D36" w:rsidRDefault="00403D36" w:rsidP="00403D36">
            <w:pPr>
              <w:pStyle w:val="texto-cuadros"/>
              <w:framePr w:hSpace="0" w:wrap="auto" w:vAnchor="margin" w:hAnchor="text" w:yAlign="inline"/>
              <w:jc w:val="right"/>
              <w:rPr>
                <w:sz w:val="16"/>
                <w:szCs w:val="16"/>
              </w:rPr>
            </w:pPr>
            <w:r>
              <w:rPr>
                <w:sz w:val="16"/>
                <w:szCs w:val="16"/>
              </w:rPr>
              <w:t>18,61990</w:t>
            </w:r>
          </w:p>
        </w:tc>
        <w:tc>
          <w:tcPr>
            <w:tcW w:w="2140" w:type="dxa"/>
          </w:tcPr>
          <w:p w14:paraId="40255426" w14:textId="46EE6788" w:rsidR="006A5162" w:rsidRPr="002A1280" w:rsidRDefault="00403D36" w:rsidP="006A5162">
            <w:pPr>
              <w:pStyle w:val="texto-cuadros"/>
              <w:framePr w:hSpace="0" w:wrap="auto" w:vAnchor="margin" w:hAnchor="text" w:yAlign="inline"/>
              <w:jc w:val="right"/>
              <w:rPr>
                <w:sz w:val="16"/>
                <w:szCs w:val="16"/>
              </w:rPr>
            </w:pPr>
            <w:r>
              <w:rPr>
                <w:sz w:val="16"/>
                <w:szCs w:val="16"/>
              </w:rPr>
              <w:t>18,82060</w:t>
            </w:r>
          </w:p>
        </w:tc>
      </w:tr>
      <w:tr w:rsidR="006A5162" w:rsidRPr="00D65625" w14:paraId="0C738D1C" w14:textId="77777777" w:rsidTr="00E13AD5">
        <w:trPr>
          <w:trHeight w:val="2"/>
          <w:tblCellSpacing w:w="20" w:type="dxa"/>
        </w:trPr>
        <w:tc>
          <w:tcPr>
            <w:tcW w:w="2632" w:type="dxa"/>
            <w:noWrap/>
          </w:tcPr>
          <w:p w14:paraId="4938E5BA" w14:textId="6AF831CB" w:rsidR="006A5162" w:rsidRPr="00650193" w:rsidRDefault="006A5162" w:rsidP="006A5162">
            <w:pPr>
              <w:pStyle w:val="texto-cuadros"/>
              <w:framePr w:hSpace="0" w:wrap="auto" w:vAnchor="margin" w:hAnchor="text" w:yAlign="inline"/>
              <w:rPr>
                <w:sz w:val="16"/>
                <w:szCs w:val="16"/>
              </w:rPr>
            </w:pPr>
            <w:r w:rsidRPr="00650193">
              <w:rPr>
                <w:sz w:val="16"/>
                <w:szCs w:val="16"/>
              </w:rPr>
              <w:t>Dólar Canadiense</w:t>
            </w:r>
          </w:p>
        </w:tc>
        <w:tc>
          <w:tcPr>
            <w:tcW w:w="2267" w:type="dxa"/>
            <w:noWrap/>
          </w:tcPr>
          <w:p w14:paraId="26D1E684"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Unidades por dólar</w:t>
            </w:r>
          </w:p>
        </w:tc>
        <w:tc>
          <w:tcPr>
            <w:tcW w:w="2009" w:type="dxa"/>
            <w:noWrap/>
          </w:tcPr>
          <w:p w14:paraId="5D85168A" w14:textId="01CF51B6" w:rsidR="006A5162" w:rsidRPr="00403D36" w:rsidRDefault="006A5162" w:rsidP="006A5162">
            <w:pPr>
              <w:pStyle w:val="texto-cuadros"/>
              <w:framePr w:hSpace="0" w:wrap="auto" w:vAnchor="margin" w:hAnchor="text" w:yAlign="inline"/>
              <w:jc w:val="right"/>
              <w:rPr>
                <w:sz w:val="16"/>
                <w:szCs w:val="16"/>
              </w:rPr>
            </w:pPr>
            <w:r w:rsidRPr="00403D36">
              <w:rPr>
                <w:sz w:val="16"/>
                <w:szCs w:val="16"/>
              </w:rPr>
              <w:t>1,35000</w:t>
            </w:r>
          </w:p>
        </w:tc>
        <w:tc>
          <w:tcPr>
            <w:tcW w:w="2140" w:type="dxa"/>
          </w:tcPr>
          <w:p w14:paraId="55BE9C00" w14:textId="41289AC4" w:rsidR="006A5162" w:rsidRPr="00650193" w:rsidRDefault="00403D36" w:rsidP="006A5162">
            <w:pPr>
              <w:pStyle w:val="texto-cuadros"/>
              <w:framePr w:hSpace="0" w:wrap="auto" w:vAnchor="margin" w:hAnchor="text" w:yAlign="inline"/>
              <w:jc w:val="right"/>
              <w:rPr>
                <w:sz w:val="16"/>
                <w:szCs w:val="16"/>
              </w:rPr>
            </w:pPr>
            <w:r>
              <w:rPr>
                <w:sz w:val="16"/>
                <w:szCs w:val="16"/>
              </w:rPr>
              <w:t>1,36530</w:t>
            </w:r>
          </w:p>
        </w:tc>
      </w:tr>
      <w:tr w:rsidR="006A5162" w:rsidRPr="00A776E7" w14:paraId="387A1AF9" w14:textId="77777777" w:rsidTr="00E13AD5">
        <w:trPr>
          <w:trHeight w:val="2"/>
          <w:tblCellSpacing w:w="20" w:type="dxa"/>
        </w:trPr>
        <w:tc>
          <w:tcPr>
            <w:tcW w:w="2632" w:type="dxa"/>
            <w:noWrap/>
          </w:tcPr>
          <w:p w14:paraId="47F92E3C" w14:textId="63CC101C" w:rsidR="006A5162" w:rsidRPr="00650193" w:rsidRDefault="006A5162" w:rsidP="006A5162">
            <w:pPr>
              <w:pStyle w:val="texto-cuadros"/>
              <w:framePr w:hSpace="0" w:wrap="auto" w:vAnchor="margin" w:hAnchor="text" w:yAlign="inline"/>
              <w:rPr>
                <w:sz w:val="16"/>
                <w:szCs w:val="16"/>
              </w:rPr>
            </w:pPr>
            <w:r w:rsidRPr="00650193">
              <w:rPr>
                <w:sz w:val="16"/>
                <w:szCs w:val="16"/>
              </w:rPr>
              <w:t>Yen Japonés</w:t>
            </w:r>
          </w:p>
        </w:tc>
        <w:tc>
          <w:tcPr>
            <w:tcW w:w="2267" w:type="dxa"/>
            <w:noWrap/>
          </w:tcPr>
          <w:p w14:paraId="3D6F7D14"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Unidades por dólar</w:t>
            </w:r>
          </w:p>
        </w:tc>
        <w:tc>
          <w:tcPr>
            <w:tcW w:w="2009" w:type="dxa"/>
            <w:noWrap/>
          </w:tcPr>
          <w:p w14:paraId="791E3477" w14:textId="5C20D8E6" w:rsidR="006A5162" w:rsidRPr="00403D36" w:rsidRDefault="006A5162" w:rsidP="006A5162">
            <w:pPr>
              <w:pStyle w:val="texto-cuadros"/>
              <w:framePr w:hSpace="0" w:wrap="auto" w:vAnchor="margin" w:hAnchor="text" w:yAlign="inline"/>
              <w:jc w:val="right"/>
              <w:rPr>
                <w:sz w:val="16"/>
                <w:szCs w:val="16"/>
              </w:rPr>
            </w:pPr>
            <w:r w:rsidRPr="00403D36">
              <w:rPr>
                <w:sz w:val="16"/>
                <w:szCs w:val="16"/>
              </w:rPr>
              <w:t>110,78000</w:t>
            </w:r>
          </w:p>
        </w:tc>
        <w:tc>
          <w:tcPr>
            <w:tcW w:w="2140" w:type="dxa"/>
          </w:tcPr>
          <w:p w14:paraId="16CFAF05" w14:textId="409E0452" w:rsidR="006A5162" w:rsidRPr="00650193" w:rsidRDefault="00403D36" w:rsidP="006A5162">
            <w:pPr>
              <w:pStyle w:val="texto-cuadros"/>
              <w:framePr w:hSpace="0" w:wrap="auto" w:vAnchor="margin" w:hAnchor="text" w:yAlign="inline"/>
              <w:jc w:val="right"/>
              <w:rPr>
                <w:sz w:val="16"/>
                <w:szCs w:val="16"/>
              </w:rPr>
            </w:pPr>
            <w:r>
              <w:rPr>
                <w:sz w:val="16"/>
                <w:szCs w:val="16"/>
              </w:rPr>
              <w:t>111,49000</w:t>
            </w:r>
          </w:p>
        </w:tc>
      </w:tr>
      <w:tr w:rsidR="006A5162" w:rsidRPr="00A776E7" w14:paraId="232CFE9E" w14:textId="77777777" w:rsidTr="00E13AD5">
        <w:trPr>
          <w:trHeight w:val="2"/>
          <w:tblCellSpacing w:w="20" w:type="dxa"/>
        </w:trPr>
        <w:tc>
          <w:tcPr>
            <w:tcW w:w="2632" w:type="dxa"/>
            <w:noWrap/>
          </w:tcPr>
          <w:p w14:paraId="3F699939" w14:textId="27D704CB" w:rsidR="006A5162" w:rsidRPr="00650193" w:rsidRDefault="006A5162" w:rsidP="006A5162">
            <w:pPr>
              <w:pStyle w:val="texto-cuadros"/>
              <w:framePr w:hSpace="0" w:wrap="auto" w:vAnchor="margin" w:hAnchor="text" w:yAlign="inline"/>
              <w:rPr>
                <w:sz w:val="16"/>
                <w:szCs w:val="16"/>
              </w:rPr>
            </w:pPr>
            <w:r w:rsidRPr="00650193">
              <w:rPr>
                <w:sz w:val="16"/>
                <w:szCs w:val="16"/>
              </w:rPr>
              <w:t>Euro Europeo</w:t>
            </w:r>
          </w:p>
        </w:tc>
        <w:tc>
          <w:tcPr>
            <w:tcW w:w="2267" w:type="dxa"/>
            <w:noWrap/>
          </w:tcPr>
          <w:p w14:paraId="51280695"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Dólares por unidad</w:t>
            </w:r>
          </w:p>
        </w:tc>
        <w:tc>
          <w:tcPr>
            <w:tcW w:w="2009" w:type="dxa"/>
            <w:noWrap/>
          </w:tcPr>
          <w:p w14:paraId="07916B08" w14:textId="4724A947" w:rsidR="006A5162" w:rsidRPr="00403D36" w:rsidRDefault="006A5162" w:rsidP="006A5162">
            <w:pPr>
              <w:pStyle w:val="texto-cuadros"/>
              <w:framePr w:hSpace="0" w:wrap="auto" w:vAnchor="margin" w:hAnchor="text" w:yAlign="inline"/>
              <w:jc w:val="right"/>
              <w:rPr>
                <w:sz w:val="16"/>
                <w:szCs w:val="16"/>
              </w:rPr>
            </w:pPr>
            <w:r w:rsidRPr="00403D36">
              <w:rPr>
                <w:sz w:val="16"/>
                <w:szCs w:val="16"/>
              </w:rPr>
              <w:t>1,1244</w:t>
            </w:r>
            <w:bookmarkStart w:id="84" w:name="_GoBack"/>
            <w:bookmarkEnd w:id="84"/>
            <w:r w:rsidRPr="00403D36">
              <w:rPr>
                <w:sz w:val="16"/>
                <w:szCs w:val="16"/>
              </w:rPr>
              <w:t>0</w:t>
            </w:r>
          </w:p>
        </w:tc>
        <w:tc>
          <w:tcPr>
            <w:tcW w:w="2140" w:type="dxa"/>
          </w:tcPr>
          <w:p w14:paraId="70C3D0C5" w14:textId="6B9D41AD" w:rsidR="006A5162" w:rsidRPr="00650193" w:rsidRDefault="00403D36" w:rsidP="006A5162">
            <w:pPr>
              <w:pStyle w:val="texto-cuadros"/>
              <w:framePr w:hSpace="0" w:wrap="auto" w:vAnchor="margin" w:hAnchor="text" w:yAlign="inline"/>
              <w:jc w:val="right"/>
              <w:rPr>
                <w:sz w:val="16"/>
                <w:szCs w:val="16"/>
              </w:rPr>
            </w:pPr>
            <w:r>
              <w:rPr>
                <w:sz w:val="16"/>
                <w:szCs w:val="16"/>
              </w:rPr>
              <w:t>1,08950</w:t>
            </w:r>
          </w:p>
        </w:tc>
      </w:tr>
      <w:tr w:rsidR="006A5162" w:rsidRPr="001062E3" w14:paraId="04CEB509" w14:textId="77777777" w:rsidTr="00E13AD5">
        <w:trPr>
          <w:trHeight w:val="2"/>
          <w:tblCellSpacing w:w="20" w:type="dxa"/>
        </w:trPr>
        <w:tc>
          <w:tcPr>
            <w:tcW w:w="2632" w:type="dxa"/>
            <w:noWrap/>
          </w:tcPr>
          <w:p w14:paraId="1030C05A" w14:textId="70887112" w:rsidR="006A5162" w:rsidRPr="00650193" w:rsidRDefault="006A5162" w:rsidP="006A5162">
            <w:pPr>
              <w:pStyle w:val="texto-cuadros"/>
              <w:framePr w:hSpace="0" w:wrap="auto" w:vAnchor="margin" w:hAnchor="text" w:yAlign="inline"/>
              <w:rPr>
                <w:sz w:val="16"/>
                <w:szCs w:val="16"/>
              </w:rPr>
            </w:pPr>
            <w:r w:rsidRPr="00650193">
              <w:rPr>
                <w:sz w:val="16"/>
                <w:szCs w:val="16"/>
              </w:rPr>
              <w:t>Derechos Especiales de Giro</w:t>
            </w:r>
          </w:p>
        </w:tc>
        <w:tc>
          <w:tcPr>
            <w:tcW w:w="2267" w:type="dxa"/>
            <w:noWrap/>
          </w:tcPr>
          <w:p w14:paraId="39500514"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Dólares por unidad</w:t>
            </w:r>
          </w:p>
        </w:tc>
        <w:tc>
          <w:tcPr>
            <w:tcW w:w="2009" w:type="dxa"/>
            <w:noWrap/>
          </w:tcPr>
          <w:p w14:paraId="4DDF9593" w14:textId="3177E15E" w:rsidR="006A5162" w:rsidRPr="00403D36" w:rsidRDefault="006A5162" w:rsidP="006A5162">
            <w:pPr>
              <w:pStyle w:val="texto-cuadros"/>
              <w:framePr w:hSpace="0" w:wrap="auto" w:vAnchor="margin" w:hAnchor="text" w:yAlign="inline"/>
              <w:jc w:val="right"/>
              <w:rPr>
                <w:sz w:val="16"/>
                <w:szCs w:val="16"/>
              </w:rPr>
            </w:pPr>
            <w:r w:rsidRPr="00403D36">
              <w:rPr>
                <w:sz w:val="16"/>
                <w:szCs w:val="16"/>
              </w:rPr>
              <w:t>1,38432</w:t>
            </w:r>
          </w:p>
        </w:tc>
        <w:tc>
          <w:tcPr>
            <w:tcW w:w="2140" w:type="dxa"/>
          </w:tcPr>
          <w:p w14:paraId="157A02EB" w14:textId="7D583E10" w:rsidR="006A5162" w:rsidRPr="00650193" w:rsidRDefault="00403D36" w:rsidP="006A5162">
            <w:pPr>
              <w:pStyle w:val="texto-cuadros"/>
              <w:framePr w:hSpace="0" w:wrap="auto" w:vAnchor="margin" w:hAnchor="text" w:yAlign="inline"/>
              <w:jc w:val="right"/>
              <w:rPr>
                <w:sz w:val="16"/>
                <w:szCs w:val="16"/>
              </w:rPr>
            </w:pPr>
            <w:r>
              <w:rPr>
                <w:sz w:val="16"/>
                <w:szCs w:val="16"/>
              </w:rPr>
              <w:t>1,37102</w:t>
            </w:r>
          </w:p>
        </w:tc>
      </w:tr>
      <w:tr w:rsidR="006A5162" w:rsidRPr="001062E3" w14:paraId="4C8061B1" w14:textId="77777777" w:rsidTr="00E13AD5">
        <w:trPr>
          <w:trHeight w:val="2"/>
          <w:tblCellSpacing w:w="20" w:type="dxa"/>
        </w:trPr>
        <w:tc>
          <w:tcPr>
            <w:tcW w:w="2632" w:type="dxa"/>
            <w:noWrap/>
          </w:tcPr>
          <w:p w14:paraId="0903CE93" w14:textId="16A22A7C" w:rsidR="006A5162" w:rsidRPr="00650193" w:rsidRDefault="006A5162" w:rsidP="006A5162">
            <w:pPr>
              <w:pStyle w:val="texto-cuadros"/>
              <w:framePr w:hSpace="0" w:wrap="auto" w:vAnchor="margin" w:hAnchor="text" w:yAlign="inline"/>
              <w:rPr>
                <w:sz w:val="16"/>
                <w:szCs w:val="16"/>
              </w:rPr>
            </w:pPr>
            <w:r w:rsidRPr="00650193">
              <w:rPr>
                <w:sz w:val="16"/>
                <w:szCs w:val="16"/>
              </w:rPr>
              <w:t>Oro Monetario</w:t>
            </w:r>
          </w:p>
        </w:tc>
        <w:tc>
          <w:tcPr>
            <w:tcW w:w="2267" w:type="dxa"/>
            <w:noWrap/>
          </w:tcPr>
          <w:p w14:paraId="721888A2"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Dólares por Gramo</w:t>
            </w:r>
          </w:p>
        </w:tc>
        <w:tc>
          <w:tcPr>
            <w:tcW w:w="2009" w:type="dxa"/>
            <w:noWrap/>
          </w:tcPr>
          <w:p w14:paraId="323EA7A3" w14:textId="0B7F41EE" w:rsidR="006A5162" w:rsidRPr="00403D36" w:rsidRDefault="006A5162" w:rsidP="006A5162">
            <w:pPr>
              <w:pStyle w:val="texto-cuadros"/>
              <w:framePr w:hSpace="0" w:wrap="auto" w:vAnchor="margin" w:hAnchor="text" w:yAlign="inline"/>
              <w:jc w:val="right"/>
              <w:rPr>
                <w:sz w:val="16"/>
                <w:szCs w:val="16"/>
              </w:rPr>
            </w:pPr>
            <w:r w:rsidRPr="00403D36">
              <w:rPr>
                <w:sz w:val="16"/>
                <w:szCs w:val="16"/>
              </w:rPr>
              <w:t>1.267,20000</w:t>
            </w:r>
          </w:p>
        </w:tc>
        <w:tc>
          <w:tcPr>
            <w:tcW w:w="2140" w:type="dxa"/>
          </w:tcPr>
          <w:p w14:paraId="28B1EA90" w14:textId="1B967347" w:rsidR="006A5162" w:rsidRPr="00650193" w:rsidRDefault="00403D36" w:rsidP="006A5162">
            <w:pPr>
              <w:pStyle w:val="texto-cuadros"/>
              <w:framePr w:hSpace="0" w:wrap="auto" w:vAnchor="margin" w:hAnchor="text" w:yAlign="inline"/>
              <w:jc w:val="right"/>
              <w:rPr>
                <w:sz w:val="16"/>
                <w:szCs w:val="16"/>
              </w:rPr>
            </w:pPr>
            <w:r>
              <w:rPr>
                <w:sz w:val="16"/>
                <w:szCs w:val="16"/>
              </w:rPr>
              <w:t>1.266,76000</w:t>
            </w:r>
          </w:p>
        </w:tc>
      </w:tr>
      <w:tr w:rsidR="006A5162" w:rsidRPr="00720723" w14:paraId="0F09FC52" w14:textId="77777777" w:rsidTr="00E13AD5">
        <w:trPr>
          <w:trHeight w:val="2"/>
          <w:tblCellSpacing w:w="20" w:type="dxa"/>
        </w:trPr>
        <w:tc>
          <w:tcPr>
            <w:tcW w:w="2632" w:type="dxa"/>
            <w:noWrap/>
          </w:tcPr>
          <w:p w14:paraId="743092CC" w14:textId="177E7FFD" w:rsidR="006A5162" w:rsidRPr="00650193" w:rsidRDefault="006A5162" w:rsidP="006A5162">
            <w:pPr>
              <w:pStyle w:val="texto-cuadros"/>
              <w:framePr w:hSpace="0" w:wrap="auto" w:vAnchor="margin" w:hAnchor="text" w:yAlign="inline"/>
              <w:rPr>
                <w:sz w:val="16"/>
                <w:szCs w:val="16"/>
              </w:rPr>
            </w:pPr>
            <w:r w:rsidRPr="00650193">
              <w:rPr>
                <w:sz w:val="16"/>
                <w:szCs w:val="16"/>
              </w:rPr>
              <w:t>Corona Danesa</w:t>
            </w:r>
          </w:p>
        </w:tc>
        <w:tc>
          <w:tcPr>
            <w:tcW w:w="2267" w:type="dxa"/>
            <w:noWrap/>
          </w:tcPr>
          <w:p w14:paraId="067C919A"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Unidades por dólar</w:t>
            </w:r>
          </w:p>
        </w:tc>
        <w:tc>
          <w:tcPr>
            <w:tcW w:w="2009" w:type="dxa"/>
            <w:noWrap/>
          </w:tcPr>
          <w:p w14:paraId="73EA6D3A" w14:textId="30FC959D" w:rsidR="006A5162" w:rsidRPr="00403D36" w:rsidRDefault="006A5162" w:rsidP="006A5162">
            <w:pPr>
              <w:pStyle w:val="texto-cuadros"/>
              <w:framePr w:hSpace="0" w:wrap="auto" w:vAnchor="margin" w:hAnchor="text" w:yAlign="inline"/>
              <w:jc w:val="right"/>
              <w:rPr>
                <w:sz w:val="16"/>
                <w:szCs w:val="16"/>
              </w:rPr>
            </w:pPr>
            <w:r w:rsidRPr="00403D36">
              <w:rPr>
                <w:sz w:val="16"/>
                <w:szCs w:val="16"/>
              </w:rPr>
              <w:t>6,61530</w:t>
            </w:r>
          </w:p>
        </w:tc>
        <w:tc>
          <w:tcPr>
            <w:tcW w:w="2140" w:type="dxa"/>
          </w:tcPr>
          <w:p w14:paraId="036D3153" w14:textId="393F7CAB" w:rsidR="006A5162" w:rsidRPr="00650193" w:rsidRDefault="00403D36" w:rsidP="006A5162">
            <w:pPr>
              <w:pStyle w:val="texto-cuadros"/>
              <w:framePr w:hSpace="0" w:wrap="auto" w:vAnchor="margin" w:hAnchor="text" w:yAlign="inline"/>
              <w:jc w:val="right"/>
              <w:rPr>
                <w:sz w:val="16"/>
                <w:szCs w:val="16"/>
              </w:rPr>
            </w:pPr>
            <w:r>
              <w:rPr>
                <w:sz w:val="16"/>
                <w:szCs w:val="16"/>
              </w:rPr>
              <w:t>6,82730</w:t>
            </w:r>
          </w:p>
        </w:tc>
      </w:tr>
      <w:tr w:rsidR="006A5162" w:rsidRPr="00C75F23" w14:paraId="12642551" w14:textId="77777777" w:rsidTr="00E13AD5">
        <w:trPr>
          <w:trHeight w:val="2"/>
          <w:tblCellSpacing w:w="20" w:type="dxa"/>
        </w:trPr>
        <w:tc>
          <w:tcPr>
            <w:tcW w:w="2632" w:type="dxa"/>
            <w:noWrap/>
          </w:tcPr>
          <w:p w14:paraId="0D218DFD" w14:textId="560236A9" w:rsidR="006A5162" w:rsidRPr="00650193" w:rsidRDefault="006A5162" w:rsidP="006A5162">
            <w:pPr>
              <w:pStyle w:val="texto-cuadros"/>
              <w:framePr w:hSpace="0" w:wrap="auto" w:vAnchor="margin" w:hAnchor="text" w:yAlign="inline"/>
              <w:spacing w:before="0" w:after="0"/>
              <w:rPr>
                <w:sz w:val="16"/>
                <w:szCs w:val="16"/>
              </w:rPr>
            </w:pPr>
            <w:r w:rsidRPr="00650193">
              <w:rPr>
                <w:sz w:val="16"/>
                <w:szCs w:val="16"/>
              </w:rPr>
              <w:t>Corona Sueca</w:t>
            </w:r>
          </w:p>
          <w:p w14:paraId="5B50DF3A" w14:textId="77777777" w:rsidR="006A5162" w:rsidRPr="00650193" w:rsidRDefault="006A5162" w:rsidP="006A5162">
            <w:pPr>
              <w:pStyle w:val="texto-cuadros"/>
              <w:framePr w:hSpace="0" w:wrap="auto" w:vAnchor="margin" w:hAnchor="text" w:yAlign="inline"/>
              <w:spacing w:before="0" w:after="0"/>
              <w:rPr>
                <w:sz w:val="16"/>
                <w:szCs w:val="16"/>
              </w:rPr>
            </w:pPr>
          </w:p>
          <w:p w14:paraId="48909660" w14:textId="5490D46E" w:rsidR="006A5162" w:rsidRPr="00650193" w:rsidRDefault="006A5162" w:rsidP="006A5162">
            <w:pPr>
              <w:pStyle w:val="texto-cuadros"/>
              <w:framePr w:hSpace="0" w:wrap="auto" w:vAnchor="margin" w:hAnchor="text" w:yAlign="inline"/>
              <w:spacing w:before="0" w:after="0"/>
              <w:rPr>
                <w:sz w:val="16"/>
                <w:szCs w:val="16"/>
              </w:rPr>
            </w:pPr>
            <w:r w:rsidRPr="00650193">
              <w:rPr>
                <w:sz w:val="16"/>
                <w:szCs w:val="16"/>
              </w:rPr>
              <w:t>Zloty polaco</w:t>
            </w:r>
          </w:p>
        </w:tc>
        <w:tc>
          <w:tcPr>
            <w:tcW w:w="2267" w:type="dxa"/>
            <w:noWrap/>
          </w:tcPr>
          <w:p w14:paraId="6DE5C6B3" w14:textId="77777777" w:rsidR="006A5162" w:rsidRPr="00650193" w:rsidRDefault="006A5162" w:rsidP="006A5162">
            <w:pPr>
              <w:pStyle w:val="texto-cuadros"/>
              <w:framePr w:hSpace="0" w:wrap="auto" w:vAnchor="margin" w:hAnchor="text" w:yAlign="inline"/>
              <w:spacing w:before="0" w:after="0"/>
              <w:jc w:val="center"/>
              <w:rPr>
                <w:sz w:val="16"/>
                <w:szCs w:val="16"/>
              </w:rPr>
            </w:pPr>
            <w:r w:rsidRPr="00650193">
              <w:rPr>
                <w:sz w:val="16"/>
                <w:szCs w:val="16"/>
              </w:rPr>
              <w:t>Unidades por dólar</w:t>
            </w:r>
          </w:p>
          <w:p w14:paraId="2304BB76" w14:textId="77777777" w:rsidR="006A5162" w:rsidRPr="00650193" w:rsidRDefault="006A5162" w:rsidP="006A5162">
            <w:pPr>
              <w:pStyle w:val="texto-cuadros"/>
              <w:framePr w:hSpace="0" w:wrap="auto" w:vAnchor="margin" w:hAnchor="text" w:yAlign="inline"/>
              <w:spacing w:before="0" w:after="0"/>
              <w:rPr>
                <w:sz w:val="16"/>
                <w:szCs w:val="16"/>
              </w:rPr>
            </w:pPr>
          </w:p>
          <w:p w14:paraId="07987038" w14:textId="03A947FF" w:rsidR="006A5162" w:rsidRPr="00650193" w:rsidRDefault="006A5162" w:rsidP="006A5162">
            <w:pPr>
              <w:pStyle w:val="texto-cuadros"/>
              <w:framePr w:hSpace="0" w:wrap="auto" w:vAnchor="margin" w:hAnchor="text" w:yAlign="inline"/>
              <w:spacing w:before="0" w:after="0"/>
              <w:jc w:val="center"/>
              <w:rPr>
                <w:sz w:val="16"/>
                <w:szCs w:val="16"/>
              </w:rPr>
            </w:pPr>
            <w:r w:rsidRPr="00650193">
              <w:rPr>
                <w:sz w:val="16"/>
                <w:szCs w:val="16"/>
              </w:rPr>
              <w:t xml:space="preserve">Unidades por dólar         </w:t>
            </w:r>
            <w:r>
              <w:rPr>
                <w:sz w:val="16"/>
                <w:szCs w:val="16"/>
              </w:rPr>
              <w:t xml:space="preserve">                                 </w:t>
            </w:r>
            <w:r w:rsidRPr="00650193">
              <w:rPr>
                <w:sz w:val="16"/>
                <w:szCs w:val="16"/>
              </w:rPr>
              <w:t xml:space="preserve">                                                  </w:t>
            </w:r>
          </w:p>
        </w:tc>
        <w:tc>
          <w:tcPr>
            <w:tcW w:w="2009" w:type="dxa"/>
            <w:noWrap/>
          </w:tcPr>
          <w:p w14:paraId="103BB2B8" w14:textId="1B3167DA" w:rsidR="006A5162" w:rsidRPr="00403D36" w:rsidRDefault="006A5162" w:rsidP="006A5162">
            <w:pPr>
              <w:pStyle w:val="texto-cuadros"/>
              <w:framePr w:hSpace="0" w:wrap="auto" w:vAnchor="margin" w:hAnchor="text" w:yAlign="inline"/>
              <w:spacing w:before="0" w:after="0"/>
              <w:jc w:val="right"/>
              <w:rPr>
                <w:sz w:val="16"/>
                <w:szCs w:val="16"/>
              </w:rPr>
            </w:pPr>
            <w:r w:rsidRPr="00403D36">
              <w:rPr>
                <w:sz w:val="16"/>
                <w:szCs w:val="16"/>
              </w:rPr>
              <w:t>8,68820</w:t>
            </w:r>
          </w:p>
          <w:p w14:paraId="5D43EF58" w14:textId="77777777" w:rsidR="006A5162" w:rsidRPr="00403D36" w:rsidRDefault="006A5162" w:rsidP="006A5162">
            <w:pPr>
              <w:pStyle w:val="texto-cuadros"/>
              <w:framePr w:hSpace="0" w:wrap="auto" w:vAnchor="margin" w:hAnchor="text" w:yAlign="inline"/>
              <w:spacing w:before="0" w:after="0"/>
              <w:jc w:val="right"/>
              <w:rPr>
                <w:sz w:val="16"/>
                <w:szCs w:val="16"/>
              </w:rPr>
            </w:pPr>
          </w:p>
          <w:p w14:paraId="760CA5EE" w14:textId="111F26AF" w:rsidR="006A5162" w:rsidRPr="00403D36" w:rsidRDefault="006A5162" w:rsidP="006A5162">
            <w:pPr>
              <w:pStyle w:val="texto-cuadros"/>
              <w:framePr w:hSpace="0" w:wrap="auto" w:vAnchor="margin" w:hAnchor="text" w:yAlign="inline"/>
              <w:spacing w:before="0" w:after="0"/>
              <w:jc w:val="right"/>
              <w:rPr>
                <w:sz w:val="16"/>
                <w:szCs w:val="16"/>
              </w:rPr>
            </w:pPr>
            <w:r w:rsidRPr="00403D36">
              <w:rPr>
                <w:sz w:val="16"/>
                <w:szCs w:val="16"/>
              </w:rPr>
              <w:t>3,71950</w:t>
            </w:r>
          </w:p>
        </w:tc>
        <w:tc>
          <w:tcPr>
            <w:tcW w:w="2140" w:type="dxa"/>
          </w:tcPr>
          <w:p w14:paraId="63E25E97" w14:textId="27BD24E9" w:rsidR="006A5162" w:rsidRPr="00B95F53" w:rsidRDefault="00403D36" w:rsidP="006A5162">
            <w:pPr>
              <w:pStyle w:val="texto-cuadros"/>
              <w:framePr w:hSpace="0" w:wrap="auto" w:vAnchor="margin" w:hAnchor="text" w:yAlign="inline"/>
              <w:spacing w:before="0" w:after="0"/>
              <w:jc w:val="right"/>
              <w:rPr>
                <w:sz w:val="16"/>
                <w:szCs w:val="16"/>
              </w:rPr>
            </w:pPr>
            <w:r>
              <w:rPr>
                <w:sz w:val="16"/>
                <w:szCs w:val="16"/>
              </w:rPr>
              <w:t>8,85350</w:t>
            </w:r>
          </w:p>
          <w:p w14:paraId="7E53BD63" w14:textId="77777777" w:rsidR="006A5162" w:rsidRPr="00B95F53" w:rsidRDefault="006A5162" w:rsidP="006A5162">
            <w:pPr>
              <w:pStyle w:val="texto-cuadros"/>
              <w:framePr w:hSpace="0" w:wrap="auto" w:vAnchor="margin" w:hAnchor="text" w:yAlign="inline"/>
              <w:spacing w:before="0" w:after="0"/>
              <w:jc w:val="right"/>
              <w:rPr>
                <w:sz w:val="16"/>
                <w:szCs w:val="16"/>
              </w:rPr>
            </w:pPr>
          </w:p>
          <w:p w14:paraId="273409AE" w14:textId="336CDF3D" w:rsidR="006A5162" w:rsidRPr="00650193" w:rsidRDefault="00403D36" w:rsidP="006A5162">
            <w:pPr>
              <w:pStyle w:val="texto-cuadros"/>
              <w:framePr w:hSpace="0" w:wrap="auto" w:vAnchor="margin" w:hAnchor="text" w:yAlign="inline"/>
              <w:spacing w:before="0" w:after="0"/>
              <w:jc w:val="right"/>
              <w:rPr>
                <w:sz w:val="16"/>
                <w:szCs w:val="16"/>
              </w:rPr>
            </w:pPr>
            <w:r>
              <w:rPr>
                <w:sz w:val="16"/>
                <w:szCs w:val="16"/>
              </w:rPr>
              <w:t>3,87840</w:t>
            </w:r>
          </w:p>
        </w:tc>
      </w:tr>
      <w:tr w:rsidR="006A5162" w:rsidRPr="00C75F23" w14:paraId="36CD68F2" w14:textId="77777777" w:rsidTr="00E13AD5">
        <w:trPr>
          <w:trHeight w:val="2"/>
          <w:tblCellSpacing w:w="20" w:type="dxa"/>
        </w:trPr>
        <w:tc>
          <w:tcPr>
            <w:tcW w:w="2632" w:type="dxa"/>
            <w:noWrap/>
          </w:tcPr>
          <w:p w14:paraId="26F84462" w14:textId="1B591653" w:rsidR="006A5162" w:rsidRPr="00650193" w:rsidRDefault="006A5162" w:rsidP="006A5162">
            <w:pPr>
              <w:pStyle w:val="texto-cuadros"/>
              <w:framePr w:hSpace="0" w:wrap="auto" w:vAnchor="margin" w:hAnchor="text" w:yAlign="inline"/>
              <w:rPr>
                <w:sz w:val="16"/>
                <w:szCs w:val="16"/>
              </w:rPr>
            </w:pPr>
            <w:r w:rsidRPr="00650193">
              <w:rPr>
                <w:sz w:val="16"/>
                <w:szCs w:val="16"/>
              </w:rPr>
              <w:t>Dólar Australiano</w:t>
            </w:r>
          </w:p>
        </w:tc>
        <w:tc>
          <w:tcPr>
            <w:tcW w:w="2267" w:type="dxa"/>
            <w:noWrap/>
          </w:tcPr>
          <w:p w14:paraId="1D6420AC"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Dólares por unidad</w:t>
            </w:r>
          </w:p>
        </w:tc>
        <w:tc>
          <w:tcPr>
            <w:tcW w:w="2009" w:type="dxa"/>
            <w:noWrap/>
          </w:tcPr>
          <w:p w14:paraId="25461B63" w14:textId="0B2CB2DD" w:rsidR="006A5162" w:rsidRPr="00403D36" w:rsidRDefault="006A5162" w:rsidP="006A5162">
            <w:pPr>
              <w:pStyle w:val="texto-cuadros"/>
              <w:framePr w:hSpace="0" w:wrap="auto" w:vAnchor="margin" w:hAnchor="text" w:yAlign="inline"/>
              <w:jc w:val="right"/>
              <w:rPr>
                <w:sz w:val="16"/>
                <w:szCs w:val="16"/>
              </w:rPr>
            </w:pPr>
            <w:r w:rsidRPr="00403D36">
              <w:rPr>
                <w:sz w:val="16"/>
                <w:szCs w:val="16"/>
              </w:rPr>
              <w:t>0,74300</w:t>
            </w:r>
          </w:p>
        </w:tc>
        <w:tc>
          <w:tcPr>
            <w:tcW w:w="2140" w:type="dxa"/>
          </w:tcPr>
          <w:p w14:paraId="0D956196" w14:textId="4913F2F6" w:rsidR="006A5162" w:rsidRPr="00650193" w:rsidRDefault="00E124F3" w:rsidP="006A5162">
            <w:pPr>
              <w:pStyle w:val="texto-cuadros"/>
              <w:framePr w:hSpace="0" w:wrap="auto" w:vAnchor="margin" w:hAnchor="text" w:yAlign="inline"/>
              <w:jc w:val="right"/>
              <w:rPr>
                <w:sz w:val="16"/>
                <w:szCs w:val="16"/>
              </w:rPr>
            </w:pPr>
            <w:r>
              <w:rPr>
                <w:sz w:val="16"/>
                <w:szCs w:val="16"/>
              </w:rPr>
              <w:t>0,74880</w:t>
            </w:r>
          </w:p>
        </w:tc>
      </w:tr>
      <w:tr w:rsidR="006A5162" w:rsidRPr="00D65625" w14:paraId="7F964A3B" w14:textId="77777777" w:rsidTr="00E13AD5">
        <w:trPr>
          <w:trHeight w:val="2"/>
          <w:tblCellSpacing w:w="20" w:type="dxa"/>
        </w:trPr>
        <w:tc>
          <w:tcPr>
            <w:tcW w:w="2632" w:type="dxa"/>
            <w:tcBorders>
              <w:top w:val="nil"/>
              <w:left w:val="nil"/>
              <w:bottom w:val="nil"/>
            </w:tcBorders>
            <w:noWrap/>
          </w:tcPr>
          <w:p w14:paraId="013FE143" w14:textId="7E9876A4" w:rsidR="006A5162" w:rsidRPr="00650193" w:rsidRDefault="006A5162" w:rsidP="006A5162">
            <w:pPr>
              <w:pStyle w:val="texto-cuadros"/>
              <w:framePr w:hSpace="0" w:wrap="auto" w:vAnchor="margin" w:hAnchor="text" w:yAlign="inline"/>
              <w:rPr>
                <w:sz w:val="16"/>
                <w:szCs w:val="16"/>
              </w:rPr>
            </w:pPr>
            <w:r w:rsidRPr="00650193">
              <w:rPr>
                <w:sz w:val="16"/>
                <w:szCs w:val="16"/>
              </w:rPr>
              <w:t>Corona Noruega</w:t>
            </w:r>
          </w:p>
        </w:tc>
        <w:tc>
          <w:tcPr>
            <w:tcW w:w="2267" w:type="dxa"/>
            <w:tcBorders>
              <w:top w:val="nil"/>
              <w:bottom w:val="nil"/>
            </w:tcBorders>
            <w:noWrap/>
          </w:tcPr>
          <w:p w14:paraId="0AB1768C"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Unidades por dólar</w:t>
            </w:r>
          </w:p>
        </w:tc>
        <w:tc>
          <w:tcPr>
            <w:tcW w:w="2009" w:type="dxa"/>
            <w:tcBorders>
              <w:top w:val="nil"/>
              <w:bottom w:val="nil"/>
            </w:tcBorders>
            <w:noWrap/>
          </w:tcPr>
          <w:p w14:paraId="551D9CF8" w14:textId="2EEB7947" w:rsidR="006A5162" w:rsidRPr="00403D36" w:rsidRDefault="006A5162" w:rsidP="006A5162">
            <w:pPr>
              <w:pStyle w:val="texto-cuadros"/>
              <w:framePr w:hSpace="0" w:wrap="auto" w:vAnchor="margin" w:hAnchor="text" w:yAlign="inline"/>
              <w:jc w:val="right"/>
              <w:rPr>
                <w:sz w:val="16"/>
                <w:szCs w:val="16"/>
              </w:rPr>
            </w:pPr>
            <w:r w:rsidRPr="00403D36">
              <w:rPr>
                <w:sz w:val="16"/>
                <w:szCs w:val="16"/>
              </w:rPr>
              <w:t>8,43590</w:t>
            </w:r>
          </w:p>
        </w:tc>
        <w:tc>
          <w:tcPr>
            <w:tcW w:w="2140" w:type="dxa"/>
            <w:tcBorders>
              <w:top w:val="nil"/>
              <w:bottom w:val="nil"/>
            </w:tcBorders>
          </w:tcPr>
          <w:p w14:paraId="6C1BBFB4" w14:textId="1F544305" w:rsidR="006A5162" w:rsidRPr="00650193" w:rsidRDefault="00E124F3" w:rsidP="006A5162">
            <w:pPr>
              <w:pStyle w:val="texto-cuadros"/>
              <w:framePr w:hSpace="0" w:wrap="auto" w:vAnchor="margin" w:hAnchor="text" w:yAlign="inline"/>
              <w:jc w:val="right"/>
              <w:rPr>
                <w:sz w:val="16"/>
                <w:szCs w:val="16"/>
              </w:rPr>
            </w:pPr>
            <w:r>
              <w:rPr>
                <w:sz w:val="16"/>
                <w:szCs w:val="16"/>
              </w:rPr>
              <w:t>8,58500</w:t>
            </w:r>
          </w:p>
        </w:tc>
      </w:tr>
      <w:tr w:rsidR="006A5162" w:rsidRPr="00D65625" w14:paraId="371B6A4F" w14:textId="77777777" w:rsidTr="00E13AD5">
        <w:trPr>
          <w:trHeight w:val="50"/>
          <w:tblCellSpacing w:w="20" w:type="dxa"/>
        </w:trPr>
        <w:tc>
          <w:tcPr>
            <w:tcW w:w="2632" w:type="dxa"/>
            <w:tcBorders>
              <w:bottom w:val="inset" w:sz="6" w:space="0" w:color="000080"/>
            </w:tcBorders>
            <w:noWrap/>
          </w:tcPr>
          <w:p w14:paraId="43AAC4BA" w14:textId="6D210AC6" w:rsidR="006A5162" w:rsidRPr="00650193" w:rsidRDefault="006A5162" w:rsidP="006A5162">
            <w:pPr>
              <w:pStyle w:val="texto-cuadros"/>
              <w:framePr w:hSpace="0" w:wrap="auto" w:vAnchor="margin" w:hAnchor="text" w:yAlign="inline"/>
              <w:rPr>
                <w:sz w:val="16"/>
                <w:szCs w:val="16"/>
              </w:rPr>
            </w:pPr>
            <w:r w:rsidRPr="00650193">
              <w:rPr>
                <w:sz w:val="16"/>
                <w:szCs w:val="16"/>
              </w:rPr>
              <w:t xml:space="preserve">Unidades de Desarrollo </w:t>
            </w:r>
          </w:p>
          <w:p w14:paraId="0949E0D3" w14:textId="0C79B2BD" w:rsidR="006A5162" w:rsidRPr="00650193" w:rsidRDefault="006A5162" w:rsidP="006A5162">
            <w:pPr>
              <w:pStyle w:val="texto-cuadros"/>
              <w:framePr w:hSpace="0" w:wrap="auto" w:vAnchor="margin" w:hAnchor="text" w:yAlign="inline"/>
              <w:rPr>
                <w:sz w:val="16"/>
                <w:szCs w:val="16"/>
              </w:rPr>
            </w:pPr>
            <w:r w:rsidRPr="00650193">
              <w:rPr>
                <w:sz w:val="16"/>
                <w:szCs w:val="16"/>
              </w:rPr>
              <w:t>Dólar Singapur</w:t>
            </w:r>
          </w:p>
        </w:tc>
        <w:tc>
          <w:tcPr>
            <w:tcW w:w="2267" w:type="dxa"/>
            <w:tcBorders>
              <w:bottom w:val="inset" w:sz="6" w:space="0" w:color="000080"/>
            </w:tcBorders>
            <w:noWrap/>
          </w:tcPr>
          <w:p w14:paraId="7242BC8A" w14:textId="52031DC5"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Dólares por unidad</w:t>
            </w:r>
          </w:p>
          <w:p w14:paraId="0547FBB0" w14:textId="77777777" w:rsidR="006A5162" w:rsidRPr="00650193" w:rsidRDefault="006A5162" w:rsidP="006A5162">
            <w:pPr>
              <w:pStyle w:val="texto-cuadros"/>
              <w:framePr w:hSpace="0" w:wrap="auto" w:vAnchor="margin" w:hAnchor="text" w:yAlign="inline"/>
              <w:jc w:val="center"/>
              <w:rPr>
                <w:sz w:val="16"/>
                <w:szCs w:val="16"/>
              </w:rPr>
            </w:pPr>
            <w:r w:rsidRPr="00650193">
              <w:rPr>
                <w:sz w:val="16"/>
                <w:szCs w:val="16"/>
              </w:rPr>
              <w:t>Unidades por dólar</w:t>
            </w:r>
          </w:p>
        </w:tc>
        <w:tc>
          <w:tcPr>
            <w:tcW w:w="2009" w:type="dxa"/>
            <w:tcBorders>
              <w:bottom w:val="inset" w:sz="6" w:space="0" w:color="000080"/>
            </w:tcBorders>
            <w:noWrap/>
          </w:tcPr>
          <w:p w14:paraId="1648434A" w14:textId="25CA7495" w:rsidR="006A5162" w:rsidRPr="00403D36" w:rsidRDefault="006A5162" w:rsidP="006A5162">
            <w:pPr>
              <w:pStyle w:val="texto-cuadros"/>
              <w:framePr w:hSpace="0" w:wrap="auto" w:vAnchor="margin" w:hAnchor="text" w:yAlign="inline"/>
              <w:jc w:val="right"/>
              <w:rPr>
                <w:sz w:val="16"/>
                <w:szCs w:val="16"/>
              </w:rPr>
            </w:pPr>
            <w:r w:rsidRPr="00403D36">
              <w:rPr>
                <w:sz w:val="16"/>
                <w:szCs w:val="16"/>
              </w:rPr>
              <w:t>1.522,08903</w:t>
            </w:r>
          </w:p>
          <w:p w14:paraId="5449EA4D" w14:textId="46C2D764" w:rsidR="006A5162" w:rsidRPr="00403D36" w:rsidRDefault="00E124F3" w:rsidP="006A5162">
            <w:pPr>
              <w:pStyle w:val="texto-cuadros"/>
              <w:framePr w:hSpace="0" w:wrap="auto" w:vAnchor="margin" w:hAnchor="text" w:yAlign="inline"/>
              <w:jc w:val="right"/>
              <w:rPr>
                <w:sz w:val="16"/>
                <w:szCs w:val="16"/>
              </w:rPr>
            </w:pPr>
            <w:r>
              <w:rPr>
                <w:sz w:val="16"/>
                <w:szCs w:val="16"/>
              </w:rPr>
              <w:t>1,38320</w:t>
            </w:r>
          </w:p>
        </w:tc>
        <w:tc>
          <w:tcPr>
            <w:tcW w:w="2140" w:type="dxa"/>
            <w:tcBorders>
              <w:bottom w:val="inset" w:sz="6" w:space="0" w:color="000080"/>
            </w:tcBorders>
          </w:tcPr>
          <w:p w14:paraId="7BDE19D4" w14:textId="7FD14B1E" w:rsidR="006A5162" w:rsidRPr="00B95F53" w:rsidRDefault="00E124F3" w:rsidP="006A5162">
            <w:pPr>
              <w:pStyle w:val="texto-cuadros"/>
              <w:framePr w:hSpace="0" w:wrap="auto" w:vAnchor="margin" w:hAnchor="text" w:yAlign="inline"/>
              <w:jc w:val="right"/>
              <w:rPr>
                <w:sz w:val="16"/>
                <w:szCs w:val="16"/>
              </w:rPr>
            </w:pPr>
            <w:r>
              <w:rPr>
                <w:sz w:val="16"/>
                <w:szCs w:val="16"/>
              </w:rPr>
              <w:t>1.532,52077</w:t>
            </w:r>
          </w:p>
          <w:p w14:paraId="662BBDC0" w14:textId="085B423E" w:rsidR="006A5162" w:rsidRPr="00650193" w:rsidRDefault="00E124F3" w:rsidP="006A5162">
            <w:pPr>
              <w:pStyle w:val="texto-cuadros"/>
              <w:framePr w:hSpace="0" w:wrap="auto" w:vAnchor="margin" w:hAnchor="text" w:yAlign="inline"/>
              <w:jc w:val="right"/>
              <w:rPr>
                <w:sz w:val="16"/>
                <w:szCs w:val="16"/>
              </w:rPr>
            </w:pPr>
            <w:r>
              <w:rPr>
                <w:sz w:val="16"/>
                <w:szCs w:val="16"/>
              </w:rPr>
              <w:t>1,39700</w:t>
            </w:r>
          </w:p>
        </w:tc>
      </w:tr>
    </w:tbl>
    <w:p w14:paraId="31CA2055" w14:textId="2AFA42CF" w:rsidR="00FD33D9" w:rsidRPr="00B519D4" w:rsidRDefault="00FB3272" w:rsidP="009038C5">
      <w:pPr>
        <w:ind w:left="-142"/>
        <w:jc w:val="both"/>
        <w:rPr>
          <w:rFonts w:eastAsia="Calibri"/>
          <w:lang w:val="es-CR"/>
        </w:rPr>
      </w:pPr>
      <w:r w:rsidRPr="00B519D4">
        <w:rPr>
          <w:b/>
          <w:lang w:val="es-CR"/>
        </w:rPr>
        <w:t xml:space="preserve">         </w:t>
      </w:r>
      <w:r w:rsidR="00FD33D9" w:rsidRPr="00B519D4">
        <w:rPr>
          <w:rStyle w:val="Refdenotaalpie"/>
          <w:b/>
          <w:lang w:val="es-CR"/>
        </w:rPr>
        <w:t xml:space="preserve">Fuente: </w:t>
      </w:r>
      <w:r w:rsidR="00FD33D9" w:rsidRPr="00B519D4">
        <w:rPr>
          <w:rStyle w:val="Refdenotaalpie"/>
          <w:lang w:val="es-CR"/>
        </w:rPr>
        <w:t xml:space="preserve"> S</w:t>
      </w:r>
      <w:r w:rsidR="00975035" w:rsidRPr="00B519D4">
        <w:rPr>
          <w:rStyle w:val="Refdenotaalpie"/>
          <w:lang w:val="es-CR"/>
        </w:rPr>
        <w:t>AP</w:t>
      </w:r>
      <w:r w:rsidR="00FD33D9" w:rsidRPr="00B519D4">
        <w:rPr>
          <w:rStyle w:val="Refdenotaalpie"/>
          <w:lang w:val="es-CR"/>
        </w:rPr>
        <w:t xml:space="preserve"> </w:t>
      </w:r>
      <w:r w:rsidR="00FD33D9" w:rsidRPr="00B519D4">
        <w:rPr>
          <w:rFonts w:eastAsia="Calibri"/>
          <w:lang w:val="es-CR"/>
        </w:rPr>
        <w:t xml:space="preserve"> </w:t>
      </w:r>
    </w:p>
    <w:p w14:paraId="3B49FC6B" w14:textId="36B18FE3" w:rsidR="006E37D8" w:rsidRPr="00D75333" w:rsidRDefault="006E37D8" w:rsidP="00D75333">
      <w:pPr>
        <w:rPr>
          <w:rFonts w:eastAsia="Calibri"/>
          <w:lang w:val="es-CR"/>
        </w:rPr>
      </w:pPr>
      <w:r w:rsidRPr="00D75333">
        <w:rPr>
          <w:rFonts w:eastAsia="Calibri"/>
          <w:lang w:val="es-CR"/>
        </w:rPr>
        <w:t xml:space="preserve">Además, </w:t>
      </w:r>
      <w:r w:rsidR="00245202" w:rsidRPr="00D75333">
        <w:rPr>
          <w:rFonts w:eastAsia="Calibri"/>
          <w:lang w:val="es-CR"/>
        </w:rPr>
        <w:t xml:space="preserve">en el sistema SAP-ERP </w:t>
      </w:r>
      <w:r w:rsidRPr="00D75333">
        <w:rPr>
          <w:rFonts w:eastAsia="Calibri"/>
          <w:lang w:val="es-CR"/>
        </w:rPr>
        <w:t xml:space="preserve">la conversión de las Unidades de Desarrollo (UDE) </w:t>
      </w:r>
      <w:r w:rsidR="00245202" w:rsidRPr="00D75333">
        <w:rPr>
          <w:rFonts w:eastAsia="Calibri"/>
          <w:lang w:val="es-CR"/>
        </w:rPr>
        <w:t>se visualiza en dólares por unidad</w:t>
      </w:r>
      <w:r w:rsidR="00B577FB">
        <w:rPr>
          <w:rFonts w:eastAsia="Calibri"/>
          <w:lang w:val="es-CR"/>
        </w:rPr>
        <w:t>.</w:t>
      </w:r>
      <w:r w:rsidR="00245202" w:rsidRPr="00D75333">
        <w:rPr>
          <w:rFonts w:eastAsia="Calibri"/>
          <w:lang w:val="es-CR"/>
        </w:rPr>
        <w:t xml:space="preserve"> </w:t>
      </w:r>
    </w:p>
    <w:p w14:paraId="3247293B" w14:textId="20657A07" w:rsidR="00C0747A" w:rsidRPr="00F53244" w:rsidRDefault="00C0747A" w:rsidP="00754D54">
      <w:pPr>
        <w:pStyle w:val="Ttulo1"/>
        <w:jc w:val="both"/>
        <w:rPr>
          <w:rFonts w:ascii="Times New Roman" w:hAnsi="Times New Roman" w:cs="Times New Roman"/>
          <w:color w:val="000099"/>
          <w:sz w:val="24"/>
          <w:szCs w:val="24"/>
          <w:lang w:val="es-CR"/>
        </w:rPr>
      </w:pPr>
      <w:bookmarkStart w:id="85" w:name="_Toc486408034"/>
      <w:r w:rsidRPr="00F53244">
        <w:rPr>
          <w:rFonts w:ascii="Times New Roman" w:hAnsi="Times New Roman" w:cs="Times New Roman"/>
          <w:color w:val="000099"/>
          <w:sz w:val="24"/>
          <w:szCs w:val="24"/>
          <w:lang w:val="es-CR"/>
        </w:rPr>
        <w:t>Aprobación y Refrendo de Estados Financieros</w:t>
      </w:r>
      <w:bookmarkEnd w:id="85"/>
    </w:p>
    <w:p w14:paraId="6F0599CB" w14:textId="4C2BF471" w:rsidR="00C0747A" w:rsidRPr="00CB5A74" w:rsidRDefault="00C0747A" w:rsidP="00C0747A">
      <w:pPr>
        <w:jc w:val="both"/>
        <w:rPr>
          <w:rFonts w:eastAsia="Calibri"/>
          <w:lang w:val="es-CR"/>
        </w:rPr>
      </w:pPr>
      <w:r w:rsidRPr="00CB5A74">
        <w:rPr>
          <w:rFonts w:eastAsia="Calibri"/>
          <w:lang w:val="es-CR"/>
        </w:rPr>
        <w:t xml:space="preserve">Los estados financieros fueron </w:t>
      </w:r>
      <w:r w:rsidRPr="00B63A71">
        <w:rPr>
          <w:rFonts w:eastAsia="Calibri"/>
          <w:lang w:val="es-CR"/>
        </w:rPr>
        <w:t xml:space="preserve">aprobados por la Gerencia y refrendados por la Auditoría Interna de </w:t>
      </w:r>
      <w:r w:rsidR="006E57A5" w:rsidRPr="00B63A71">
        <w:rPr>
          <w:rFonts w:eastAsia="Calibri"/>
          <w:lang w:val="es-CR"/>
        </w:rPr>
        <w:t>c</w:t>
      </w:r>
      <w:r w:rsidRPr="00B63A71">
        <w:rPr>
          <w:rFonts w:eastAsia="Calibri"/>
          <w:lang w:val="es-CR"/>
        </w:rPr>
        <w:t>onformidad con la Ley Orgánica del BCCR el</w:t>
      </w:r>
      <w:r w:rsidR="00874890" w:rsidRPr="00B63A71">
        <w:rPr>
          <w:rFonts w:eastAsia="Calibri"/>
          <w:lang w:val="es-CR"/>
        </w:rPr>
        <w:t xml:space="preserve"> </w:t>
      </w:r>
      <w:r w:rsidR="00403D36">
        <w:rPr>
          <w:rFonts w:eastAsia="Calibri"/>
          <w:lang w:val="es-CR"/>
        </w:rPr>
        <w:t>22</w:t>
      </w:r>
      <w:r w:rsidR="00B63A71" w:rsidRPr="00B63A71">
        <w:rPr>
          <w:rFonts w:eastAsia="Calibri"/>
          <w:lang w:val="es-CR"/>
        </w:rPr>
        <w:t xml:space="preserve"> </w:t>
      </w:r>
      <w:r w:rsidR="00541663" w:rsidRPr="00B63A71">
        <w:rPr>
          <w:rFonts w:eastAsia="Calibri"/>
          <w:lang w:val="es-CR"/>
        </w:rPr>
        <w:t>d</w:t>
      </w:r>
      <w:r w:rsidR="00633A76" w:rsidRPr="00B63A71">
        <w:rPr>
          <w:rFonts w:eastAsia="Calibri"/>
          <w:lang w:val="es-CR"/>
        </w:rPr>
        <w:t xml:space="preserve">e </w:t>
      </w:r>
      <w:r w:rsidR="00A93FC4">
        <w:rPr>
          <w:rFonts w:eastAsia="Calibri"/>
          <w:lang w:val="es-CR"/>
        </w:rPr>
        <w:t>ju</w:t>
      </w:r>
      <w:r w:rsidR="00403D36">
        <w:rPr>
          <w:rFonts w:eastAsia="Calibri"/>
          <w:lang w:val="es-CR"/>
        </w:rPr>
        <w:t>n</w:t>
      </w:r>
      <w:r w:rsidR="00A93FC4">
        <w:rPr>
          <w:rFonts w:eastAsia="Calibri"/>
          <w:lang w:val="es-CR"/>
        </w:rPr>
        <w:t xml:space="preserve">io </w:t>
      </w:r>
      <w:r w:rsidR="00975035" w:rsidRPr="00B63A71">
        <w:rPr>
          <w:rFonts w:eastAsia="Calibri"/>
          <w:lang w:val="es-CR"/>
        </w:rPr>
        <w:t>d</w:t>
      </w:r>
      <w:r w:rsidR="006D34F5" w:rsidRPr="00B63A71">
        <w:rPr>
          <w:rFonts w:eastAsia="Calibri"/>
          <w:lang w:val="es-CR"/>
        </w:rPr>
        <w:t>e</w:t>
      </w:r>
      <w:r w:rsidRPr="00B63A71">
        <w:rPr>
          <w:rFonts w:eastAsia="Calibri"/>
          <w:lang w:val="es-CR"/>
        </w:rPr>
        <w:t xml:space="preserve"> 201</w:t>
      </w:r>
      <w:r w:rsidR="006E57A5" w:rsidRPr="00B63A71">
        <w:rPr>
          <w:rFonts w:eastAsia="Calibri"/>
          <w:lang w:val="es-CR"/>
        </w:rPr>
        <w:t>7.</w:t>
      </w:r>
    </w:p>
    <w:p w14:paraId="5C50A8C5" w14:textId="77777777" w:rsidR="00367015" w:rsidRPr="00F53244" w:rsidRDefault="00B847EA" w:rsidP="00754D54">
      <w:pPr>
        <w:pStyle w:val="Ttulo1"/>
        <w:jc w:val="both"/>
        <w:rPr>
          <w:rFonts w:ascii="Times New Roman" w:hAnsi="Times New Roman" w:cs="Times New Roman"/>
          <w:color w:val="000099"/>
          <w:sz w:val="24"/>
          <w:szCs w:val="24"/>
          <w:lang w:val="es-CR"/>
        </w:rPr>
      </w:pPr>
      <w:bookmarkStart w:id="86" w:name="_Toc486408035"/>
      <w:r w:rsidRPr="00F53244">
        <w:rPr>
          <w:rFonts w:ascii="Times New Roman" w:hAnsi="Times New Roman" w:cs="Times New Roman"/>
          <w:color w:val="000099"/>
          <w:sz w:val="24"/>
          <w:szCs w:val="24"/>
          <w:lang w:val="es-CR"/>
        </w:rPr>
        <w:t>Políticas contables s</w:t>
      </w:r>
      <w:r w:rsidR="005B2AF5" w:rsidRPr="00F53244">
        <w:rPr>
          <w:rFonts w:ascii="Times New Roman" w:hAnsi="Times New Roman" w:cs="Times New Roman"/>
          <w:color w:val="000099"/>
          <w:sz w:val="24"/>
          <w:szCs w:val="24"/>
          <w:lang w:val="es-CR"/>
        </w:rPr>
        <w:t>ignificativas</w:t>
      </w:r>
      <w:bookmarkEnd w:id="86"/>
    </w:p>
    <w:p w14:paraId="1D67745F" w14:textId="77777777" w:rsidR="00102F34" w:rsidRPr="00BF5C38" w:rsidRDefault="00102F34" w:rsidP="00382D37">
      <w:pPr>
        <w:jc w:val="both"/>
        <w:rPr>
          <w:b/>
          <w:bCs/>
          <w:snapToGrid w:val="0"/>
          <w:lang w:val="es-CR" w:eastAsia="es-ES" w:bidi="en-US"/>
        </w:rPr>
      </w:pPr>
      <w:r w:rsidRPr="00BF5C38">
        <w:rPr>
          <w:snapToGrid w:val="0"/>
          <w:lang w:val="es-CR" w:eastAsia="es-ES" w:bidi="en-US"/>
        </w:rPr>
        <w:t>P-3.</w:t>
      </w:r>
      <w:r w:rsidRPr="00BF5C38">
        <w:rPr>
          <w:snapToGrid w:val="0"/>
          <w:lang w:val="es-CR" w:eastAsia="es-ES" w:bidi="en-US"/>
        </w:rPr>
        <w:tab/>
        <w:t xml:space="preserve">El Banco Central de Costa Rica se compromete a emitir los estados financieros  de acuerdo con las Normas Internacionales de Información Financiera (NIIF), con el fin de cumplir con dicha normativa internacional. </w:t>
      </w:r>
    </w:p>
    <w:p w14:paraId="24E81C15" w14:textId="77777777" w:rsidR="00102F34" w:rsidRPr="00BF5C38" w:rsidRDefault="00102F34" w:rsidP="00382D37">
      <w:pPr>
        <w:jc w:val="both"/>
        <w:rPr>
          <w:b/>
          <w:bCs/>
          <w:snapToGrid w:val="0"/>
          <w:lang w:val="es-CR" w:eastAsia="es-ES" w:bidi="en-US"/>
        </w:rPr>
      </w:pPr>
      <w:r w:rsidRPr="00BF5C38">
        <w:rPr>
          <w:snapToGrid w:val="0"/>
          <w:lang w:val="es-CR" w:eastAsia="es-ES" w:bidi="en-US"/>
        </w:rPr>
        <w:t>C-3.1.</w:t>
      </w:r>
      <w:r w:rsidRPr="00BF5C38">
        <w:rPr>
          <w:snapToGrid w:val="0"/>
          <w:lang w:val="es-CR" w:eastAsia="es-ES" w:bidi="en-US"/>
        </w:rPr>
        <w:tab/>
        <w:t xml:space="preserve">Emitir en forma comparativa para el año terminado el 31 de diciembre de cada año, los siguientes estados financieros: </w:t>
      </w:r>
    </w:p>
    <w:p w14:paraId="778A149D" w14:textId="77777777" w:rsidR="00102F34" w:rsidRPr="00BF5C38" w:rsidRDefault="00102F34" w:rsidP="00382D37">
      <w:pPr>
        <w:jc w:val="both"/>
        <w:rPr>
          <w:b/>
          <w:bCs/>
          <w:snapToGrid w:val="0"/>
          <w:lang w:val="es-CR" w:eastAsia="es-ES" w:bidi="en-US"/>
        </w:rPr>
      </w:pPr>
      <w:r w:rsidRPr="00BF5C38">
        <w:rPr>
          <w:snapToGrid w:val="0"/>
          <w:lang w:val="es-CR" w:eastAsia="es-ES" w:bidi="en-US"/>
        </w:rPr>
        <w:t>•</w:t>
      </w:r>
      <w:r w:rsidRPr="00BF5C38">
        <w:rPr>
          <w:snapToGrid w:val="0"/>
          <w:lang w:val="es-CR" w:eastAsia="es-ES" w:bidi="en-US"/>
        </w:rPr>
        <w:tab/>
        <w:t>Estado de Situación Financiera;</w:t>
      </w:r>
    </w:p>
    <w:p w14:paraId="0745B3B7" w14:textId="77777777" w:rsidR="00102F34" w:rsidRPr="00BF5C38" w:rsidRDefault="00102F34" w:rsidP="00382D37">
      <w:pPr>
        <w:jc w:val="both"/>
        <w:rPr>
          <w:b/>
          <w:bCs/>
          <w:snapToGrid w:val="0"/>
          <w:lang w:val="es-CR" w:eastAsia="es-ES" w:bidi="en-US"/>
        </w:rPr>
      </w:pPr>
      <w:r w:rsidRPr="00BF5C38">
        <w:rPr>
          <w:snapToGrid w:val="0"/>
          <w:lang w:val="es-CR" w:eastAsia="es-ES" w:bidi="en-US"/>
        </w:rPr>
        <w:t>•</w:t>
      </w:r>
      <w:r w:rsidRPr="00BF5C38">
        <w:rPr>
          <w:snapToGrid w:val="0"/>
          <w:lang w:val="es-CR" w:eastAsia="es-ES" w:bidi="en-US"/>
        </w:rPr>
        <w:tab/>
        <w:t>Estado de Resultados;</w:t>
      </w:r>
    </w:p>
    <w:p w14:paraId="180C1D85" w14:textId="77777777" w:rsidR="00102F34" w:rsidRPr="00BF5C38" w:rsidRDefault="00102F34" w:rsidP="00382D37">
      <w:pPr>
        <w:jc w:val="both"/>
        <w:rPr>
          <w:b/>
          <w:bCs/>
          <w:snapToGrid w:val="0"/>
          <w:lang w:val="es-CR" w:eastAsia="es-ES" w:bidi="en-US"/>
        </w:rPr>
      </w:pPr>
      <w:r w:rsidRPr="00BF5C38">
        <w:rPr>
          <w:snapToGrid w:val="0"/>
          <w:lang w:val="es-CR" w:eastAsia="es-ES" w:bidi="en-US"/>
        </w:rPr>
        <w:t>•</w:t>
      </w:r>
      <w:r w:rsidRPr="00BF5C38">
        <w:rPr>
          <w:snapToGrid w:val="0"/>
          <w:lang w:val="es-CR" w:eastAsia="es-ES" w:bidi="en-US"/>
        </w:rPr>
        <w:tab/>
        <w:t>Otro Resultado Integral;</w:t>
      </w:r>
    </w:p>
    <w:p w14:paraId="23D526F9" w14:textId="77777777" w:rsidR="00102F34" w:rsidRPr="00BF5C38" w:rsidRDefault="00102F34" w:rsidP="00382D37">
      <w:pPr>
        <w:jc w:val="both"/>
        <w:rPr>
          <w:b/>
          <w:bCs/>
          <w:snapToGrid w:val="0"/>
          <w:lang w:val="es-CR" w:eastAsia="es-ES" w:bidi="en-US"/>
        </w:rPr>
      </w:pPr>
      <w:r w:rsidRPr="00BF5C38">
        <w:rPr>
          <w:snapToGrid w:val="0"/>
          <w:lang w:val="es-CR" w:eastAsia="es-ES" w:bidi="en-US"/>
        </w:rPr>
        <w:t>•</w:t>
      </w:r>
      <w:r w:rsidRPr="00BF5C38">
        <w:rPr>
          <w:snapToGrid w:val="0"/>
          <w:lang w:val="es-CR" w:eastAsia="es-ES" w:bidi="en-US"/>
        </w:rPr>
        <w:tab/>
        <w:t>Estado de cambios en el patrimonio;</w:t>
      </w:r>
    </w:p>
    <w:p w14:paraId="4344E604" w14:textId="77777777" w:rsidR="00102F34" w:rsidRPr="00BF5C38" w:rsidRDefault="00102F34" w:rsidP="00382D37">
      <w:pPr>
        <w:jc w:val="both"/>
        <w:rPr>
          <w:b/>
          <w:bCs/>
          <w:snapToGrid w:val="0"/>
          <w:lang w:val="es-CR" w:eastAsia="es-ES" w:bidi="en-US"/>
        </w:rPr>
      </w:pPr>
      <w:r w:rsidRPr="00BF5C38">
        <w:rPr>
          <w:snapToGrid w:val="0"/>
          <w:lang w:val="es-CR" w:eastAsia="es-ES" w:bidi="en-US"/>
        </w:rPr>
        <w:t>•</w:t>
      </w:r>
      <w:r w:rsidRPr="00BF5C38">
        <w:rPr>
          <w:snapToGrid w:val="0"/>
          <w:lang w:val="es-CR" w:eastAsia="es-ES" w:bidi="en-US"/>
        </w:rPr>
        <w:tab/>
        <w:t>Estado de Flujos de Efectivo;</w:t>
      </w:r>
    </w:p>
    <w:p w14:paraId="4538ECD6" w14:textId="77777777" w:rsidR="00102F34" w:rsidRPr="00BF5C38" w:rsidRDefault="00102F34" w:rsidP="00382D37">
      <w:pPr>
        <w:jc w:val="both"/>
        <w:rPr>
          <w:b/>
          <w:bCs/>
          <w:snapToGrid w:val="0"/>
          <w:lang w:val="es-CR" w:eastAsia="es-ES" w:bidi="en-US"/>
        </w:rPr>
      </w:pPr>
      <w:r w:rsidRPr="00BF5C38">
        <w:rPr>
          <w:snapToGrid w:val="0"/>
          <w:lang w:val="es-CR" w:eastAsia="es-ES" w:bidi="en-US"/>
        </w:rPr>
        <w:t>•</w:t>
      </w:r>
      <w:r w:rsidRPr="00BF5C38">
        <w:rPr>
          <w:snapToGrid w:val="0"/>
          <w:lang w:val="es-CR" w:eastAsia="es-ES" w:bidi="en-US"/>
        </w:rPr>
        <w:tab/>
        <w:t>Notas a los Estados Financieros. Dichas notas se deben emitir de conformidad con los criterios establecidos en las Normas Internacionales de Información Financiera.</w:t>
      </w:r>
    </w:p>
    <w:p w14:paraId="33E2AF3A" w14:textId="77777777" w:rsidR="00102F34" w:rsidRPr="00BF5C38" w:rsidRDefault="00102F34" w:rsidP="00382D37">
      <w:pPr>
        <w:jc w:val="both"/>
        <w:rPr>
          <w:b/>
          <w:bCs/>
          <w:snapToGrid w:val="0"/>
          <w:lang w:val="es-CR" w:eastAsia="es-ES" w:bidi="en-US"/>
        </w:rPr>
      </w:pPr>
      <w:r w:rsidRPr="00BF5C38">
        <w:rPr>
          <w:snapToGrid w:val="0"/>
          <w:lang w:val="es-CR" w:eastAsia="es-ES" w:bidi="en-US"/>
        </w:rPr>
        <w:t xml:space="preserve"> </w:t>
      </w:r>
    </w:p>
    <w:p w14:paraId="1A69039D" w14:textId="77777777" w:rsidR="00102F34" w:rsidRPr="00BF5C38" w:rsidRDefault="00102F34" w:rsidP="00382D37">
      <w:pPr>
        <w:jc w:val="both"/>
        <w:rPr>
          <w:b/>
          <w:bCs/>
          <w:snapToGrid w:val="0"/>
          <w:lang w:val="es-CR" w:eastAsia="es-ES" w:bidi="en-US"/>
        </w:rPr>
      </w:pPr>
      <w:r w:rsidRPr="00BF5C38">
        <w:rPr>
          <w:snapToGrid w:val="0"/>
          <w:lang w:val="es-CR" w:eastAsia="es-ES" w:bidi="en-US"/>
        </w:rPr>
        <w:t>En los meses de enero a mayo y de julio a noviembre, se presentará únicamente el Estado de Situación Financiera, con un detalle de su composición de conformidad con lo establecido en la Ley Orgánica del Banco Central de Costa Rica y para el período de seis meses terminado el 30 de junio</w:t>
      </w:r>
      <w:r w:rsidR="00856B22">
        <w:rPr>
          <w:snapToGrid w:val="0"/>
          <w:lang w:val="es-CR" w:eastAsia="es-ES" w:bidi="en-US"/>
        </w:rPr>
        <w:t xml:space="preserve"> </w:t>
      </w:r>
      <w:r w:rsidRPr="00BF5C38">
        <w:rPr>
          <w:snapToGrid w:val="0"/>
          <w:lang w:val="es-CR" w:eastAsia="es-ES" w:bidi="en-US"/>
        </w:rPr>
        <w:t xml:space="preserve"> se emite el Estado de Situación Financiera y Estado de Resultados.</w:t>
      </w:r>
    </w:p>
    <w:p w14:paraId="49BC52B6" w14:textId="77777777" w:rsidR="00102F34" w:rsidRPr="00BF5C38" w:rsidRDefault="00102F34" w:rsidP="00382D37">
      <w:pPr>
        <w:jc w:val="both"/>
        <w:rPr>
          <w:b/>
          <w:bCs/>
          <w:snapToGrid w:val="0"/>
          <w:lang w:val="es-CR" w:eastAsia="es-ES" w:bidi="en-US"/>
        </w:rPr>
      </w:pPr>
      <w:r w:rsidRPr="00BF5C38">
        <w:rPr>
          <w:snapToGrid w:val="0"/>
          <w:lang w:val="es-CR" w:eastAsia="es-ES" w:bidi="en-US"/>
        </w:rPr>
        <w:t>C-3.2.</w:t>
      </w:r>
      <w:r w:rsidRPr="00BF5C38">
        <w:rPr>
          <w:snapToGrid w:val="0"/>
          <w:lang w:val="es-CR" w:eastAsia="es-ES" w:bidi="en-US"/>
        </w:rPr>
        <w:tab/>
        <w:t>La moneda funcional y de presentación de los Estados Financieros es el colón costarricense, para lo cual se establece lo siguiente:</w:t>
      </w:r>
    </w:p>
    <w:p w14:paraId="58BDDE31" w14:textId="77777777" w:rsidR="00102F34" w:rsidRPr="00BF5C38" w:rsidRDefault="00102F34" w:rsidP="00382D37">
      <w:pPr>
        <w:jc w:val="both"/>
        <w:rPr>
          <w:b/>
          <w:bCs/>
          <w:snapToGrid w:val="0"/>
          <w:lang w:val="es-CR" w:eastAsia="es-ES" w:bidi="en-US"/>
        </w:rPr>
      </w:pPr>
      <w:r w:rsidRPr="00BF5C38">
        <w:rPr>
          <w:snapToGrid w:val="0"/>
          <w:lang w:val="es-CR" w:eastAsia="es-ES" w:bidi="en-US"/>
        </w:rPr>
        <w:t>a.</w:t>
      </w:r>
      <w:r w:rsidRPr="00BF5C38">
        <w:rPr>
          <w:snapToGrid w:val="0"/>
          <w:lang w:val="es-CR" w:eastAsia="es-ES" w:bidi="en-US"/>
        </w:rPr>
        <w:tab/>
        <w:t>Las transacciones en moneda extranjera son convertidas a la moneda funcional al tipo de cambio promedio ponderado (TCPP) diario de todas las transacciones en el Mercado de Moneda Extranjera (MONEX).</w:t>
      </w:r>
    </w:p>
    <w:p w14:paraId="0701E1FC" w14:textId="77777777" w:rsidR="00102F34" w:rsidRPr="00BF5C38" w:rsidRDefault="00102F34" w:rsidP="00382D37">
      <w:pPr>
        <w:jc w:val="both"/>
        <w:rPr>
          <w:b/>
          <w:bCs/>
          <w:snapToGrid w:val="0"/>
          <w:lang w:val="es-CR" w:eastAsia="es-ES" w:bidi="en-US"/>
        </w:rPr>
      </w:pPr>
      <w:r w:rsidRPr="00BF5C38">
        <w:rPr>
          <w:snapToGrid w:val="0"/>
          <w:lang w:val="es-CR" w:eastAsia="es-ES" w:bidi="en-US"/>
        </w:rPr>
        <w:t>b.</w:t>
      </w:r>
      <w:r w:rsidRPr="00BF5C38">
        <w:rPr>
          <w:snapToGrid w:val="0"/>
          <w:lang w:val="es-CR" w:eastAsia="es-ES" w:bidi="en-US"/>
        </w:rPr>
        <w:tab/>
        <w:t xml:space="preserve">Los activos y pasivos monetarios denominados en </w:t>
      </w:r>
      <w:r w:rsidR="002C0F12">
        <w:rPr>
          <w:snapToGrid w:val="0"/>
          <w:lang w:val="es-CR" w:eastAsia="es-ES" w:bidi="en-US"/>
        </w:rPr>
        <w:t>monedas</w:t>
      </w:r>
      <w:r w:rsidRPr="00BF5C38">
        <w:rPr>
          <w:snapToGrid w:val="0"/>
          <w:lang w:val="es-CR" w:eastAsia="es-ES" w:bidi="en-US"/>
        </w:rPr>
        <w:t xml:space="preserve"> extranjeras a la fecha de reporte, son convertidos a la moneda funcional al tipo de cambio promedio ponderado (TCPP) diario de todas las transacciones en el Mercado de Moneda Extranjera (MONEX).</w:t>
      </w:r>
    </w:p>
    <w:p w14:paraId="6E472E67" w14:textId="77777777" w:rsidR="00102F34" w:rsidRPr="00BF5C38" w:rsidRDefault="00102F34" w:rsidP="00382D37">
      <w:pPr>
        <w:jc w:val="both"/>
        <w:rPr>
          <w:b/>
          <w:bCs/>
          <w:snapToGrid w:val="0"/>
          <w:lang w:val="es-CR" w:eastAsia="es-ES" w:bidi="en-US"/>
        </w:rPr>
      </w:pPr>
      <w:r w:rsidRPr="00BF5C38">
        <w:rPr>
          <w:snapToGrid w:val="0"/>
          <w:lang w:val="es-CR" w:eastAsia="es-ES" w:bidi="en-US"/>
        </w:rPr>
        <w:t>c.</w:t>
      </w:r>
      <w:r w:rsidRPr="00BF5C38">
        <w:rPr>
          <w:snapToGrid w:val="0"/>
          <w:lang w:val="es-CR" w:eastAsia="es-ES" w:bidi="en-US"/>
        </w:rPr>
        <w:tab/>
        <w:t xml:space="preserve">El efecto de las diferencias por tipo de cambio o revaluación monetaria correspondiente, se reconoce con efectos en el resultado del período. </w:t>
      </w:r>
    </w:p>
    <w:p w14:paraId="3BCC058D" w14:textId="77777777" w:rsidR="00102F34" w:rsidRPr="00BF5C38" w:rsidRDefault="00102F34" w:rsidP="00382D37">
      <w:pPr>
        <w:jc w:val="both"/>
        <w:rPr>
          <w:b/>
          <w:bCs/>
          <w:snapToGrid w:val="0"/>
          <w:lang w:val="es-CR" w:eastAsia="es-ES" w:bidi="en-US"/>
        </w:rPr>
      </w:pPr>
      <w:r w:rsidRPr="00BF5C38">
        <w:rPr>
          <w:snapToGrid w:val="0"/>
          <w:lang w:val="es-CR" w:eastAsia="es-ES" w:bidi="en-US"/>
        </w:rPr>
        <w:t>d.</w:t>
      </w:r>
      <w:r w:rsidRPr="00BF5C38">
        <w:rPr>
          <w:snapToGrid w:val="0"/>
          <w:lang w:val="es-CR" w:eastAsia="es-ES" w:bidi="en-US"/>
        </w:rPr>
        <w:tab/>
        <w:t>Los activos y pasivos no monetarios que se miden al costo histórico y se denominan en moneda extranjera se convierten a la moneda funcional al tipo de cambio promedio ponderado (TCPP) diario de todas las transacciones en el Mercado de Moneda Extranjera (MONEX).</w:t>
      </w:r>
    </w:p>
    <w:p w14:paraId="1CFDCDDD" w14:textId="77777777" w:rsidR="00102F34" w:rsidRPr="00BF5C38" w:rsidRDefault="00102F34" w:rsidP="00382D37">
      <w:pPr>
        <w:jc w:val="both"/>
        <w:rPr>
          <w:b/>
          <w:bCs/>
          <w:snapToGrid w:val="0"/>
          <w:lang w:val="es-CR" w:eastAsia="es-ES" w:bidi="en-US"/>
        </w:rPr>
      </w:pPr>
      <w:r w:rsidRPr="00BF5C38">
        <w:rPr>
          <w:snapToGrid w:val="0"/>
          <w:lang w:val="es-CR" w:eastAsia="es-ES" w:bidi="en-US"/>
        </w:rPr>
        <w:t xml:space="preserve"> </w:t>
      </w:r>
    </w:p>
    <w:p w14:paraId="4FCF5061" w14:textId="77777777" w:rsidR="00102F34" w:rsidRPr="00BF5C38" w:rsidRDefault="00102F34" w:rsidP="00382D37">
      <w:pPr>
        <w:jc w:val="both"/>
        <w:rPr>
          <w:b/>
          <w:bCs/>
          <w:snapToGrid w:val="0"/>
          <w:lang w:val="es-CR" w:eastAsia="es-ES" w:bidi="en-US"/>
        </w:rPr>
      </w:pPr>
      <w:r w:rsidRPr="00BF5C38">
        <w:rPr>
          <w:snapToGrid w:val="0"/>
          <w:lang w:val="es-CR" w:eastAsia="es-ES" w:bidi="en-US"/>
        </w:rPr>
        <w:t>e.</w:t>
      </w:r>
      <w:r w:rsidRPr="00BF5C38">
        <w:rPr>
          <w:snapToGrid w:val="0"/>
          <w:lang w:val="es-CR" w:eastAsia="es-ES" w:bidi="en-US"/>
        </w:rPr>
        <w:tab/>
        <w:t>Los activos y pasivos no monetarios que son medidos al valor razonable en una moneda extranjera, son convertidos al colón al el tipo de cambio promedio ponderado (TCPP) diario de todas las transacciones en el Merca</w:t>
      </w:r>
      <w:r w:rsidR="00856B22">
        <w:rPr>
          <w:snapToGrid w:val="0"/>
          <w:lang w:val="es-CR" w:eastAsia="es-ES" w:bidi="en-US"/>
        </w:rPr>
        <w:t>do de Moneda Extranjera (MONEX)</w:t>
      </w:r>
      <w:r w:rsidRPr="00BF5C38">
        <w:rPr>
          <w:snapToGrid w:val="0"/>
          <w:lang w:val="es-CR" w:eastAsia="es-ES" w:bidi="en-US"/>
        </w:rPr>
        <w:t xml:space="preserve"> a la fecha en que se determinó el valor razonable.  </w:t>
      </w:r>
    </w:p>
    <w:p w14:paraId="5F4B82D0" w14:textId="77777777" w:rsidR="00102F34" w:rsidRPr="00BF5C38" w:rsidRDefault="00102F34" w:rsidP="00382D37">
      <w:pPr>
        <w:jc w:val="both"/>
        <w:rPr>
          <w:b/>
          <w:bCs/>
          <w:snapToGrid w:val="0"/>
          <w:lang w:val="es-CR" w:eastAsia="es-ES" w:bidi="en-US"/>
        </w:rPr>
      </w:pPr>
      <w:r w:rsidRPr="00BF5C38">
        <w:rPr>
          <w:snapToGrid w:val="0"/>
          <w:lang w:val="es-CR" w:eastAsia="es-ES" w:bidi="en-US"/>
        </w:rPr>
        <w:t>C-3.3.</w:t>
      </w:r>
      <w:r w:rsidRPr="00BF5C38">
        <w:rPr>
          <w:snapToGrid w:val="0"/>
          <w:lang w:val="es-CR" w:eastAsia="es-ES" w:bidi="en-US"/>
        </w:rPr>
        <w:tab/>
        <w:t xml:space="preserve">Los activos y pasivos financieros se reconocen inicialmente al valor razonable, considerando lo siguiente: </w:t>
      </w:r>
    </w:p>
    <w:p w14:paraId="6EE63CC7" w14:textId="77777777" w:rsidR="00102F34" w:rsidRPr="00BF5C38" w:rsidRDefault="00102F34" w:rsidP="00382D37">
      <w:pPr>
        <w:jc w:val="both"/>
        <w:rPr>
          <w:b/>
          <w:bCs/>
          <w:snapToGrid w:val="0"/>
          <w:lang w:val="es-CR" w:eastAsia="es-ES" w:bidi="en-US"/>
        </w:rPr>
      </w:pPr>
      <w:r w:rsidRPr="00BF5C38">
        <w:rPr>
          <w:snapToGrid w:val="0"/>
          <w:lang w:val="es-CR" w:eastAsia="es-ES" w:bidi="en-US"/>
        </w:rPr>
        <w:t>a.</w:t>
      </w:r>
      <w:r w:rsidRPr="00BF5C38">
        <w:rPr>
          <w:snapToGrid w:val="0"/>
          <w:lang w:val="es-CR" w:eastAsia="es-ES" w:bidi="en-US"/>
        </w:rPr>
        <w:tab/>
        <w:t xml:space="preserve">Los costos de transacción que son atribuibles directamente a su adquisición o emisión se registran en los resultados del período en que se incurran, si el instrumento financiero se contabiliza al valor razonable con cambios en resultados.  En todos los demás casos de contabilización, los costos de transacción formarán parte del costo inicial del activo o pasivo financiero. </w:t>
      </w:r>
    </w:p>
    <w:p w14:paraId="11B6889F" w14:textId="77777777" w:rsidR="00102F34" w:rsidRPr="00BF5C38" w:rsidRDefault="00102F34" w:rsidP="00382D37">
      <w:pPr>
        <w:jc w:val="both"/>
        <w:rPr>
          <w:b/>
          <w:bCs/>
          <w:snapToGrid w:val="0"/>
          <w:lang w:val="es-CR" w:eastAsia="es-ES" w:bidi="en-US"/>
        </w:rPr>
      </w:pPr>
      <w:r w:rsidRPr="00BF5C38">
        <w:rPr>
          <w:snapToGrid w:val="0"/>
          <w:lang w:val="es-CR" w:eastAsia="es-ES" w:bidi="en-US"/>
        </w:rPr>
        <w:t>b.</w:t>
      </w:r>
      <w:r w:rsidRPr="00BF5C38">
        <w:rPr>
          <w:snapToGrid w:val="0"/>
          <w:lang w:val="es-CR" w:eastAsia="es-ES" w:bidi="en-US"/>
        </w:rPr>
        <w:tab/>
        <w:t>Las cuentas por cobrar, préstamos, depósitos, instrumentos de deuda emitidos y otros pasivos se reconocen inicialmente en la fecha en que se originaron.  Todos los otros instrumentos financieros son reconocidos a la fecha de negociación, que es la fecha en que el Banco Central de Costa Rica se vuelve parte de las disposiciones contractuales del instrumento.</w:t>
      </w:r>
    </w:p>
    <w:p w14:paraId="22A3E5A6" w14:textId="77777777" w:rsidR="00102F34" w:rsidRPr="00BF5C38" w:rsidRDefault="00102F34" w:rsidP="00382D37">
      <w:pPr>
        <w:jc w:val="both"/>
        <w:rPr>
          <w:b/>
          <w:bCs/>
          <w:snapToGrid w:val="0"/>
          <w:lang w:val="es-CR" w:eastAsia="es-ES" w:bidi="en-US"/>
        </w:rPr>
      </w:pPr>
      <w:r w:rsidRPr="00BF5C38">
        <w:rPr>
          <w:snapToGrid w:val="0"/>
          <w:lang w:val="es-CR" w:eastAsia="es-ES" w:bidi="en-US"/>
        </w:rPr>
        <w:t>C-3.4.</w:t>
      </w:r>
      <w:r w:rsidRPr="00BF5C38">
        <w:rPr>
          <w:snapToGrid w:val="0"/>
          <w:lang w:val="es-CR" w:eastAsia="es-ES" w:bidi="en-US"/>
        </w:rPr>
        <w:tab/>
        <w:t>En el caso de los activos y pasivos financieros no medidos posteriormente al valor razonable con cambios en resultados, los costos de transacción directamente atribuibles a su adquisi</w:t>
      </w:r>
      <w:r w:rsidR="00A12C4D">
        <w:rPr>
          <w:snapToGrid w:val="0"/>
          <w:lang w:val="es-CR" w:eastAsia="es-ES" w:bidi="en-US"/>
        </w:rPr>
        <w:t>ci</w:t>
      </w:r>
      <w:r w:rsidRPr="00BF5C38">
        <w:rPr>
          <w:snapToGrid w:val="0"/>
          <w:lang w:val="es-CR" w:eastAsia="es-ES" w:bidi="en-US"/>
        </w:rPr>
        <w:t>ón o emisión, son capitalizados y medidos a su costo amortizado usando el método de interés efectivo.</w:t>
      </w:r>
    </w:p>
    <w:p w14:paraId="04ADD964" w14:textId="77777777" w:rsidR="00102F34" w:rsidRPr="00BF5C38" w:rsidRDefault="00102F34" w:rsidP="00382D37">
      <w:pPr>
        <w:jc w:val="both"/>
        <w:rPr>
          <w:b/>
          <w:bCs/>
          <w:snapToGrid w:val="0"/>
          <w:lang w:val="es-CR" w:eastAsia="es-ES" w:bidi="en-US"/>
        </w:rPr>
      </w:pPr>
      <w:r w:rsidRPr="00BF5C38">
        <w:rPr>
          <w:snapToGrid w:val="0"/>
          <w:lang w:val="es-CR" w:eastAsia="es-ES" w:bidi="en-US"/>
        </w:rPr>
        <w:t>C-3.5.</w:t>
      </w:r>
      <w:r w:rsidRPr="00BF5C38">
        <w:rPr>
          <w:snapToGrid w:val="0"/>
          <w:lang w:val="es-CR" w:eastAsia="es-ES" w:bidi="en-US"/>
        </w:rPr>
        <w:tab/>
        <w:t>Los activos financieros se dan de baja cuando expiran los derechos contractuales sobre los flujos de efectivo del activo financiero o cuando transfieren los derechos a recibir los flujos de efectivo contractuales en una transacción en que se transfieren sustancialmente todos los riesgos y beneficios de la propiedad del activo financiero o en la que el Banco Central de Costa Rica no retiene sustancialmente todos los riesgos y beneficios de propiedad, así como tampoco el control del activo financiero.</w:t>
      </w:r>
    </w:p>
    <w:p w14:paraId="1C797AC4" w14:textId="77777777" w:rsidR="00102F34" w:rsidRPr="00BF5C38" w:rsidRDefault="00102F34" w:rsidP="00382D37">
      <w:pPr>
        <w:jc w:val="both"/>
        <w:rPr>
          <w:b/>
          <w:bCs/>
          <w:snapToGrid w:val="0"/>
          <w:lang w:val="es-CR" w:eastAsia="es-ES" w:bidi="en-US"/>
        </w:rPr>
      </w:pPr>
      <w:r w:rsidRPr="00BF5C38">
        <w:rPr>
          <w:snapToGrid w:val="0"/>
          <w:lang w:val="es-CR" w:eastAsia="es-ES" w:bidi="en-US"/>
        </w:rPr>
        <w:t>C-3.6.</w:t>
      </w:r>
      <w:r w:rsidRPr="00BF5C38">
        <w:rPr>
          <w:snapToGrid w:val="0"/>
          <w:lang w:val="es-CR" w:eastAsia="es-ES" w:bidi="en-US"/>
        </w:rPr>
        <w:tab/>
        <w:t>Los activos y pasivos financieros son objeto de compensación, de manera que se presente en el estado de situación financiera su monto neto, sólo cuando se tenga el derecho, exigible legalmente, de compensar los montos reconocidos y tenga la intención de liquidar la cantidad neta o de realizar el activo y cancelar el pasivo simultáneamente.</w:t>
      </w:r>
    </w:p>
    <w:p w14:paraId="7B6775D6" w14:textId="77777777" w:rsidR="00102F34" w:rsidRPr="00BF5C38" w:rsidRDefault="00102F34" w:rsidP="00382D37">
      <w:pPr>
        <w:jc w:val="both"/>
        <w:rPr>
          <w:b/>
          <w:bCs/>
          <w:snapToGrid w:val="0"/>
          <w:lang w:val="es-CR" w:eastAsia="es-ES" w:bidi="en-US"/>
        </w:rPr>
      </w:pPr>
      <w:r w:rsidRPr="00BF5C38">
        <w:rPr>
          <w:snapToGrid w:val="0"/>
          <w:lang w:val="es-CR" w:eastAsia="es-ES" w:bidi="en-US"/>
        </w:rPr>
        <w:t>C-3.7.</w:t>
      </w:r>
      <w:r w:rsidRPr="00BF5C38">
        <w:rPr>
          <w:snapToGrid w:val="0"/>
          <w:lang w:val="es-CR" w:eastAsia="es-ES" w:bidi="en-US"/>
        </w:rPr>
        <w:tab/>
        <w:t>Los instrumentos financieros derivados se ajustan al valor razonable y las variaciones de dicho valor razonable se reflejan como pérdida o ganancia en el estado de resultados.</w:t>
      </w:r>
    </w:p>
    <w:p w14:paraId="4B207B44" w14:textId="77777777" w:rsidR="00102F34" w:rsidRPr="00BF5C38" w:rsidRDefault="00102F34" w:rsidP="00382D37">
      <w:pPr>
        <w:jc w:val="both"/>
        <w:rPr>
          <w:b/>
          <w:bCs/>
          <w:snapToGrid w:val="0"/>
          <w:lang w:val="es-CR" w:eastAsia="es-ES" w:bidi="en-US"/>
        </w:rPr>
      </w:pPr>
      <w:r w:rsidRPr="00BF5C38">
        <w:rPr>
          <w:snapToGrid w:val="0"/>
          <w:lang w:val="es-CR" w:eastAsia="es-ES" w:bidi="en-US"/>
        </w:rPr>
        <w:t>C-3.8.</w:t>
      </w:r>
      <w:r w:rsidRPr="00BF5C38">
        <w:rPr>
          <w:snapToGrid w:val="0"/>
          <w:lang w:val="es-CR" w:eastAsia="es-ES" w:bidi="en-US"/>
        </w:rPr>
        <w:tab/>
        <w:t xml:space="preserve">Los derivados pueden estar implícitos en otro acuerdo contractual (un contrato principal).  Se contabiliza un derivado implícito separadamente del contrato principal cuando éste no es registrado al valor razonable con cambios en resultados. Los derivados implícitos separados se contabilizan dependiendo de su clasificación, y se presentan en el estado de situación financiera junto con el contrato principal. </w:t>
      </w:r>
    </w:p>
    <w:p w14:paraId="3825C887" w14:textId="77777777" w:rsidR="00102F34" w:rsidRPr="00BF5C38" w:rsidRDefault="00102F34" w:rsidP="00382D37">
      <w:pPr>
        <w:jc w:val="both"/>
        <w:rPr>
          <w:b/>
          <w:bCs/>
          <w:snapToGrid w:val="0"/>
          <w:lang w:val="es-CR" w:eastAsia="es-ES" w:bidi="en-US"/>
        </w:rPr>
      </w:pPr>
      <w:r w:rsidRPr="00BF5C38">
        <w:rPr>
          <w:snapToGrid w:val="0"/>
          <w:lang w:val="es-CR" w:eastAsia="es-ES" w:bidi="en-US"/>
        </w:rPr>
        <w:t>C-3.9.</w:t>
      </w:r>
      <w:r w:rsidRPr="00BF5C38">
        <w:rPr>
          <w:snapToGrid w:val="0"/>
          <w:lang w:val="es-CR" w:eastAsia="es-ES" w:bidi="en-US"/>
        </w:rPr>
        <w:tab/>
        <w:t>Se mantiene posiciones con derivados para la administración de riesgos.  En todos los casos, se registran a su valor razonable con cambios en resultados.</w:t>
      </w:r>
    </w:p>
    <w:p w14:paraId="1C8AC14E" w14:textId="77777777" w:rsidR="00102F34" w:rsidRPr="00BF5C38" w:rsidRDefault="00102F34" w:rsidP="00382D37">
      <w:pPr>
        <w:jc w:val="both"/>
        <w:rPr>
          <w:b/>
          <w:bCs/>
          <w:snapToGrid w:val="0"/>
          <w:lang w:val="es-CR" w:eastAsia="es-ES" w:bidi="en-US"/>
        </w:rPr>
      </w:pPr>
      <w:r w:rsidRPr="00BF5C38">
        <w:rPr>
          <w:snapToGrid w:val="0"/>
          <w:lang w:val="es-CR" w:eastAsia="es-ES" w:bidi="en-US"/>
        </w:rPr>
        <w:t>C-3.10.</w:t>
      </w:r>
      <w:r w:rsidRPr="00BF5C38">
        <w:rPr>
          <w:snapToGrid w:val="0"/>
          <w:lang w:val="es-CR" w:eastAsia="es-ES" w:bidi="en-US"/>
        </w:rPr>
        <w:tab/>
        <w:t>Las inversiones en acciones, aportaciones y cuotas, mantenidas en organismos internacionales se contabilizarán al costo, de igual forma el ingreso por dividendos que generan  se reconoce en resultados cuando se establece el derecho al cobro.</w:t>
      </w:r>
    </w:p>
    <w:p w14:paraId="12269425" w14:textId="77777777" w:rsidR="00102F34" w:rsidRPr="00BF5C38" w:rsidRDefault="00102F34" w:rsidP="00382D37">
      <w:pPr>
        <w:jc w:val="both"/>
        <w:rPr>
          <w:b/>
          <w:bCs/>
          <w:snapToGrid w:val="0"/>
          <w:lang w:val="es-CR" w:eastAsia="es-ES" w:bidi="en-US"/>
        </w:rPr>
      </w:pPr>
      <w:r w:rsidRPr="00BF5C38">
        <w:rPr>
          <w:snapToGrid w:val="0"/>
          <w:lang w:val="es-CR" w:eastAsia="es-ES" w:bidi="en-US"/>
        </w:rPr>
        <w:t>C-3.11.</w:t>
      </w:r>
      <w:r w:rsidRPr="00BF5C38">
        <w:rPr>
          <w:snapToGrid w:val="0"/>
          <w:lang w:val="es-CR" w:eastAsia="es-ES" w:bidi="en-US"/>
        </w:rPr>
        <w:tab/>
        <w:t xml:space="preserve">Con posterioridad al reconocimiento inicial, los instrumentos de inversión son contabilizados dependiendo de su clasificación ya sea como mantenidos hasta el vencimiento, al valor razonable con cambios en resultados o disponibles para la venta. </w:t>
      </w:r>
    </w:p>
    <w:p w14:paraId="6D0E1BDE" w14:textId="77777777" w:rsidR="00102F34" w:rsidRPr="00BF5C38" w:rsidRDefault="00102F34" w:rsidP="00382D37">
      <w:pPr>
        <w:jc w:val="both"/>
        <w:rPr>
          <w:b/>
          <w:bCs/>
          <w:snapToGrid w:val="0"/>
          <w:lang w:val="es-CR" w:eastAsia="es-ES" w:bidi="en-US"/>
        </w:rPr>
      </w:pPr>
      <w:r w:rsidRPr="00BF5C38">
        <w:rPr>
          <w:snapToGrid w:val="0"/>
          <w:lang w:val="es-CR" w:eastAsia="es-ES" w:bidi="en-US"/>
        </w:rPr>
        <w:t>C-3.12.</w:t>
      </w:r>
      <w:r w:rsidRPr="00BF5C38">
        <w:rPr>
          <w:snapToGrid w:val="0"/>
          <w:lang w:val="es-CR" w:eastAsia="es-ES" w:bidi="en-US"/>
        </w:rPr>
        <w:tab/>
        <w:t xml:space="preserve">El BCCR evalúa para la emisión de los estados financieros anuales si existe evidencia objetiva de que los activos financieros llevados al costo amortizado estén deteriorados. En caso de que se presente deterioro previo a la emisión anual de los estados financieros se deberá de evaluar para que se realicen los ajustes contables respectivos.   </w:t>
      </w:r>
    </w:p>
    <w:p w14:paraId="514FF7FA" w14:textId="77777777" w:rsidR="00102F34" w:rsidRPr="00BF5C38" w:rsidRDefault="00102F34" w:rsidP="00382D37">
      <w:pPr>
        <w:jc w:val="both"/>
        <w:rPr>
          <w:b/>
          <w:bCs/>
          <w:snapToGrid w:val="0"/>
          <w:lang w:val="es-CR" w:eastAsia="es-ES" w:bidi="en-US"/>
        </w:rPr>
      </w:pPr>
      <w:r w:rsidRPr="00BF5C38">
        <w:rPr>
          <w:snapToGrid w:val="0"/>
          <w:lang w:val="es-CR" w:eastAsia="es-ES" w:bidi="en-US"/>
        </w:rPr>
        <w:t>C-3.13.</w:t>
      </w:r>
      <w:r w:rsidRPr="00BF5C38">
        <w:rPr>
          <w:snapToGrid w:val="0"/>
          <w:lang w:val="es-CR" w:eastAsia="es-ES" w:bidi="en-US"/>
        </w:rPr>
        <w:tab/>
        <w:t>Los depósitos, instrumentos de deuda emitidos y préstamos por pagar son fuentes de financiamiento o instrumentos de política monetaria del Banco Central de Costa Rica. Estos inicialmente son medidos al valor razonable más los costos de transacción que son atribuibles directamente a su adquisición o emisión.</w:t>
      </w:r>
    </w:p>
    <w:p w14:paraId="03E9140E" w14:textId="77777777" w:rsidR="00102F34" w:rsidRPr="00BF5C38" w:rsidRDefault="00102F34" w:rsidP="00382D37">
      <w:pPr>
        <w:jc w:val="both"/>
        <w:rPr>
          <w:b/>
          <w:bCs/>
          <w:snapToGrid w:val="0"/>
          <w:lang w:val="es-CR" w:eastAsia="es-ES" w:bidi="en-US"/>
        </w:rPr>
      </w:pPr>
      <w:r w:rsidRPr="00BF5C38">
        <w:rPr>
          <w:snapToGrid w:val="0"/>
          <w:lang w:val="es-CR" w:eastAsia="es-ES" w:bidi="en-US"/>
        </w:rPr>
        <w:t>C-3.14.</w:t>
      </w:r>
      <w:r w:rsidRPr="00BF5C38">
        <w:rPr>
          <w:snapToGrid w:val="0"/>
          <w:lang w:val="es-CR" w:eastAsia="es-ES" w:bidi="en-US"/>
        </w:rPr>
        <w:tab/>
        <w:t>Con posterioridad al reconocimiento inicial los depósitos, emisiones de deuda y préstamos por pagar son medidos al costo amortizado usando el método de interés efectivo.</w:t>
      </w:r>
    </w:p>
    <w:p w14:paraId="1FB31596" w14:textId="77777777" w:rsidR="00102F34" w:rsidRPr="00BF5C38" w:rsidRDefault="00102F34" w:rsidP="00382D37">
      <w:pPr>
        <w:jc w:val="both"/>
        <w:rPr>
          <w:b/>
          <w:bCs/>
          <w:snapToGrid w:val="0"/>
          <w:lang w:val="es-CR" w:eastAsia="es-ES" w:bidi="en-US"/>
        </w:rPr>
      </w:pPr>
      <w:r w:rsidRPr="00BF5C38">
        <w:rPr>
          <w:snapToGrid w:val="0"/>
          <w:lang w:val="es-CR" w:eastAsia="es-ES" w:bidi="en-US"/>
        </w:rPr>
        <w:t>C-3.15.</w:t>
      </w:r>
      <w:r w:rsidRPr="00BF5C38">
        <w:rPr>
          <w:snapToGrid w:val="0"/>
          <w:lang w:val="es-CR" w:eastAsia="es-ES" w:bidi="en-US"/>
        </w:rPr>
        <w:tab/>
        <w:t xml:space="preserve">Los pasivos financieros se clasifican como medidos al costo amortizado o al valor razonable con cambios en resultados.  </w:t>
      </w:r>
    </w:p>
    <w:p w14:paraId="344FCD52" w14:textId="77777777" w:rsidR="00102F34" w:rsidRPr="00BF5C38" w:rsidRDefault="00102F34" w:rsidP="00382D37">
      <w:pPr>
        <w:jc w:val="both"/>
        <w:rPr>
          <w:b/>
          <w:bCs/>
          <w:snapToGrid w:val="0"/>
          <w:lang w:val="es-CR" w:eastAsia="es-ES" w:bidi="en-US"/>
        </w:rPr>
      </w:pPr>
      <w:r w:rsidRPr="00BF5C38">
        <w:rPr>
          <w:snapToGrid w:val="0"/>
          <w:lang w:val="es-CR" w:eastAsia="es-ES" w:bidi="en-US"/>
        </w:rPr>
        <w:t>C-3.16.</w:t>
      </w:r>
      <w:r w:rsidRPr="00BF5C38">
        <w:rPr>
          <w:snapToGrid w:val="0"/>
          <w:lang w:val="es-CR" w:eastAsia="es-ES" w:bidi="en-US"/>
        </w:rPr>
        <w:tab/>
        <w:t xml:space="preserve">Los ingresos y gastos por intereses son reconocidos en el estado de resultados usando el método de interés efectivo.  </w:t>
      </w:r>
    </w:p>
    <w:p w14:paraId="7484949C" w14:textId="77777777" w:rsidR="00102F34" w:rsidRPr="00BF5C38" w:rsidRDefault="00102F34" w:rsidP="00382D37">
      <w:pPr>
        <w:jc w:val="both"/>
        <w:rPr>
          <w:b/>
          <w:bCs/>
          <w:snapToGrid w:val="0"/>
          <w:lang w:val="es-CR" w:eastAsia="es-ES" w:bidi="en-US"/>
        </w:rPr>
      </w:pPr>
      <w:r w:rsidRPr="00BF5C38">
        <w:rPr>
          <w:snapToGrid w:val="0"/>
          <w:lang w:val="es-CR" w:eastAsia="es-ES" w:bidi="en-US"/>
        </w:rPr>
        <w:t>C-3.17.</w:t>
      </w:r>
      <w:r w:rsidRPr="00BF5C38">
        <w:rPr>
          <w:snapToGrid w:val="0"/>
          <w:lang w:val="es-CR" w:eastAsia="es-ES" w:bidi="en-US"/>
        </w:rPr>
        <w:tab/>
        <w:t>Las partidas de propiedad, mobiliario y equipo son registradas al costo menos la depreciación acumulada y pérdidas acumuladas por deterioro.</w:t>
      </w:r>
    </w:p>
    <w:p w14:paraId="1D460C00" w14:textId="77777777" w:rsidR="00102F34" w:rsidRPr="00BF5C38" w:rsidRDefault="00102F34" w:rsidP="00382D37">
      <w:pPr>
        <w:jc w:val="both"/>
        <w:rPr>
          <w:b/>
          <w:bCs/>
          <w:snapToGrid w:val="0"/>
          <w:lang w:val="es-CR" w:eastAsia="es-ES" w:bidi="en-US"/>
        </w:rPr>
      </w:pPr>
      <w:r w:rsidRPr="00BF5C38">
        <w:rPr>
          <w:snapToGrid w:val="0"/>
          <w:lang w:val="es-CR" w:eastAsia="es-ES" w:bidi="en-US"/>
        </w:rPr>
        <w:t>C-3.18.</w:t>
      </w:r>
      <w:r w:rsidRPr="00BF5C38">
        <w:rPr>
          <w:snapToGrid w:val="0"/>
          <w:lang w:val="es-CR" w:eastAsia="es-ES" w:bidi="en-US"/>
        </w:rPr>
        <w:tab/>
        <w:t>Se contabilizan como componentes significativos aquellos elementos separados de propiedad, mobiliario y equipo que tengan una vida útil distinta y un valor significativo.</w:t>
      </w:r>
    </w:p>
    <w:p w14:paraId="2347220F" w14:textId="77777777" w:rsidR="00102F34" w:rsidRPr="00BF5C38" w:rsidRDefault="00102F34" w:rsidP="00382D37">
      <w:pPr>
        <w:jc w:val="both"/>
        <w:rPr>
          <w:b/>
          <w:bCs/>
          <w:snapToGrid w:val="0"/>
          <w:lang w:val="es-CR" w:eastAsia="es-ES" w:bidi="en-US"/>
        </w:rPr>
      </w:pPr>
      <w:r w:rsidRPr="00BF5C38">
        <w:rPr>
          <w:snapToGrid w:val="0"/>
          <w:lang w:val="es-CR" w:eastAsia="es-ES" w:bidi="en-US"/>
        </w:rPr>
        <w:t>C-3.19.</w:t>
      </w:r>
      <w:r w:rsidRPr="00BF5C38">
        <w:rPr>
          <w:snapToGrid w:val="0"/>
          <w:lang w:val="es-CR" w:eastAsia="es-ES" w:bidi="en-US"/>
        </w:rPr>
        <w:tab/>
        <w:t>La depreciación de propiedad, mobiliario y equipo se calcula por el método de línea recta, menos su valor residual y de acuerdo con la vida útil estimada definida para cada clase de activos. Los métodos de depreciación, amortización, vidas útiles y valores residuales son revisados en cada ejercicio financiero y se ajustan si es necesario.</w:t>
      </w:r>
    </w:p>
    <w:p w14:paraId="7AF26CEB" w14:textId="77777777" w:rsidR="00102F34" w:rsidRPr="00BF5C38" w:rsidRDefault="00102F34" w:rsidP="00382D37">
      <w:pPr>
        <w:jc w:val="both"/>
        <w:rPr>
          <w:b/>
          <w:bCs/>
          <w:snapToGrid w:val="0"/>
          <w:lang w:val="es-CR" w:eastAsia="es-ES" w:bidi="en-US"/>
        </w:rPr>
      </w:pPr>
      <w:r w:rsidRPr="00BF5C38">
        <w:rPr>
          <w:snapToGrid w:val="0"/>
          <w:lang w:val="es-CR" w:eastAsia="es-ES" w:bidi="en-US"/>
        </w:rPr>
        <w:t>C-3.20.</w:t>
      </w:r>
      <w:r w:rsidRPr="00BF5C38">
        <w:rPr>
          <w:snapToGrid w:val="0"/>
          <w:lang w:val="es-CR" w:eastAsia="es-ES" w:bidi="en-US"/>
        </w:rPr>
        <w:tab/>
        <w:t xml:space="preserve">Los costos incurridos </w:t>
      </w:r>
      <w:r w:rsidR="001476FD" w:rsidRPr="00BF5C38">
        <w:rPr>
          <w:snapToGrid w:val="0"/>
          <w:lang w:val="es-CR" w:eastAsia="es-ES" w:bidi="en-US"/>
        </w:rPr>
        <w:t>relacionados</w:t>
      </w:r>
      <w:r w:rsidRPr="00BF5C38">
        <w:rPr>
          <w:snapToGrid w:val="0"/>
          <w:lang w:val="es-CR" w:eastAsia="es-ES" w:bidi="en-US"/>
        </w:rPr>
        <w:t xml:space="preserve"> con mejoras mayores de los bienes inmuebles, se capitalizan solo si pueden estimarse fiablemente, de tal forma que el desembolso atribuible al activo durante su desarrollo pueda ser identificado, y se obtengan beneficios futuros en cuanto al uso del activo. Los desembolsos posteriores se capitalizan sólo cuando es probable que los beneficios económicos futuros relacionados con el gasto fluyan a la entidad.  Las reparaciones y mantenimiento continuos se registran como gastos en resultados cuando se incurren.</w:t>
      </w:r>
    </w:p>
    <w:p w14:paraId="41495A8C" w14:textId="77777777" w:rsidR="00102F34" w:rsidRPr="00BF5C38" w:rsidRDefault="00102F34" w:rsidP="00382D37">
      <w:pPr>
        <w:jc w:val="both"/>
        <w:rPr>
          <w:b/>
          <w:bCs/>
          <w:snapToGrid w:val="0"/>
          <w:lang w:val="es-CR" w:eastAsia="es-ES" w:bidi="en-US"/>
        </w:rPr>
      </w:pPr>
      <w:r w:rsidRPr="00BF5C38">
        <w:rPr>
          <w:snapToGrid w:val="0"/>
          <w:lang w:val="es-CR" w:eastAsia="es-ES" w:bidi="en-US"/>
        </w:rPr>
        <w:t>C-3.21.</w:t>
      </w:r>
      <w:r w:rsidRPr="00BF5C38">
        <w:rPr>
          <w:snapToGrid w:val="0"/>
          <w:lang w:val="es-CR" w:eastAsia="es-ES" w:bidi="en-US"/>
        </w:rPr>
        <w:tab/>
        <w:t>Las colecciones arqueológicas, numismática y artes visuales serán medidas al costo y no serán objeto de depreciación o revaluación.</w:t>
      </w:r>
    </w:p>
    <w:p w14:paraId="36238B58" w14:textId="77777777" w:rsidR="00102F34" w:rsidRPr="00BF5C38" w:rsidRDefault="00102F34" w:rsidP="00382D37">
      <w:pPr>
        <w:jc w:val="both"/>
        <w:rPr>
          <w:b/>
          <w:bCs/>
          <w:snapToGrid w:val="0"/>
          <w:lang w:val="es-CR" w:eastAsia="es-ES" w:bidi="en-US"/>
        </w:rPr>
      </w:pPr>
      <w:r w:rsidRPr="00BF5C38">
        <w:rPr>
          <w:snapToGrid w:val="0"/>
          <w:lang w:val="es-CR" w:eastAsia="es-ES" w:bidi="en-US"/>
        </w:rPr>
        <w:t>C-3.22.</w:t>
      </w:r>
      <w:r w:rsidRPr="00BF5C38">
        <w:rPr>
          <w:snapToGrid w:val="0"/>
          <w:lang w:val="es-CR" w:eastAsia="es-ES" w:bidi="en-US"/>
        </w:rPr>
        <w:tab/>
        <w:t>Los costos de desarrollo de los activos intangibles se capitalizan sólo si pueden estimarse fiablemente, si es viable técnicamente, si se obtienen posibles beneficios económicos a futuro y se posee suficientes recursos para completar el desarrollo y usar el activo.  De no ser así, se reconocen en resultados cuando se incurren.</w:t>
      </w:r>
    </w:p>
    <w:p w14:paraId="0CA58AAF" w14:textId="77777777" w:rsidR="00102F34" w:rsidRPr="00BF5C38" w:rsidRDefault="00102F34" w:rsidP="00382D37">
      <w:pPr>
        <w:jc w:val="both"/>
        <w:rPr>
          <w:b/>
          <w:bCs/>
          <w:snapToGrid w:val="0"/>
          <w:lang w:val="es-CR" w:eastAsia="es-ES" w:bidi="en-US"/>
        </w:rPr>
      </w:pPr>
      <w:r w:rsidRPr="00BF5C38">
        <w:rPr>
          <w:snapToGrid w:val="0"/>
          <w:lang w:val="es-CR" w:eastAsia="es-ES" w:bidi="en-US"/>
        </w:rPr>
        <w:t>L-3.22.1.</w:t>
      </w:r>
      <w:r w:rsidRPr="00BF5C38">
        <w:rPr>
          <w:snapToGrid w:val="0"/>
          <w:lang w:val="es-CR" w:eastAsia="es-ES" w:bidi="en-US"/>
        </w:rPr>
        <w:tab/>
        <w:t>Después del reconocimiento inicial, los costos de desarrollo se miden al costo menos la amortización acumulada y las pérdidas acumuladas por deterioro.</w:t>
      </w:r>
    </w:p>
    <w:p w14:paraId="45C61BA3" w14:textId="77777777" w:rsidR="00102F34" w:rsidRPr="00BF5C38" w:rsidRDefault="00102F34" w:rsidP="00382D37">
      <w:pPr>
        <w:jc w:val="both"/>
        <w:rPr>
          <w:b/>
          <w:bCs/>
          <w:snapToGrid w:val="0"/>
          <w:lang w:val="es-CR" w:eastAsia="es-ES" w:bidi="en-US"/>
        </w:rPr>
      </w:pPr>
      <w:r w:rsidRPr="00BF5C38">
        <w:rPr>
          <w:snapToGrid w:val="0"/>
          <w:lang w:val="es-CR" w:eastAsia="es-ES" w:bidi="en-US"/>
        </w:rPr>
        <w:t>L-3.22.2.</w:t>
      </w:r>
      <w:r w:rsidRPr="00BF5C38">
        <w:rPr>
          <w:snapToGrid w:val="0"/>
          <w:lang w:val="es-CR" w:eastAsia="es-ES" w:bidi="en-US"/>
        </w:rPr>
        <w:tab/>
        <w:t>Los desembolsos posteriores son capitalizados sólo cuando aumentan los beneficios económicos futuros y se incorporan en el activo específico. Todos los otros desembolsos, incluyendo los desembolsos para generar internamente plusvalías y marcas, son reconocidos en resultados cuando se incurren.</w:t>
      </w:r>
    </w:p>
    <w:p w14:paraId="5C1F21AB" w14:textId="77777777" w:rsidR="00102F34" w:rsidRPr="00BF5C38" w:rsidRDefault="00102F34" w:rsidP="00382D37">
      <w:pPr>
        <w:jc w:val="both"/>
        <w:rPr>
          <w:b/>
          <w:bCs/>
          <w:snapToGrid w:val="0"/>
          <w:lang w:val="es-CR" w:eastAsia="es-ES" w:bidi="en-US"/>
        </w:rPr>
      </w:pPr>
      <w:r w:rsidRPr="00BF5C38">
        <w:rPr>
          <w:snapToGrid w:val="0"/>
          <w:lang w:val="es-CR" w:eastAsia="es-ES" w:bidi="en-US"/>
        </w:rPr>
        <w:t>L-3.22.3.</w:t>
      </w:r>
      <w:r w:rsidRPr="00BF5C38">
        <w:rPr>
          <w:snapToGrid w:val="0"/>
          <w:lang w:val="es-CR" w:eastAsia="es-ES" w:bidi="en-US"/>
        </w:rPr>
        <w:tab/>
        <w:t xml:space="preserve">La amortización se calcula para disminuir el costo de los activos intangibles menos sus valores residuales estimados usando el método línea recta durante sus vidas útiles estimadas, y se reconoce en resultados. </w:t>
      </w:r>
    </w:p>
    <w:p w14:paraId="315B74B7" w14:textId="77777777" w:rsidR="00102F34" w:rsidRPr="00BF5C38" w:rsidRDefault="00102F34" w:rsidP="00382D37">
      <w:pPr>
        <w:jc w:val="both"/>
        <w:rPr>
          <w:b/>
          <w:bCs/>
          <w:snapToGrid w:val="0"/>
          <w:lang w:val="es-CR" w:eastAsia="es-ES" w:bidi="en-US"/>
        </w:rPr>
      </w:pPr>
      <w:r w:rsidRPr="00BF5C38">
        <w:rPr>
          <w:snapToGrid w:val="0"/>
          <w:lang w:val="es-CR" w:eastAsia="es-ES" w:bidi="en-US"/>
        </w:rPr>
        <w:t>C-3.23.</w:t>
      </w:r>
      <w:r w:rsidRPr="00BF5C38">
        <w:rPr>
          <w:snapToGrid w:val="0"/>
          <w:lang w:val="es-CR" w:eastAsia="es-ES" w:bidi="en-US"/>
        </w:rPr>
        <w:tab/>
        <w:t>Los activos intangibles que son adquiridos y tienen una vida útil finita se valoran al costo menos la amortización acumulada y las pérdidas acumuladas por deterioro.</w:t>
      </w:r>
    </w:p>
    <w:p w14:paraId="1C9950EC" w14:textId="77777777" w:rsidR="00102F34" w:rsidRPr="00BF5C38" w:rsidRDefault="00102F34" w:rsidP="00382D37">
      <w:pPr>
        <w:jc w:val="both"/>
        <w:rPr>
          <w:b/>
          <w:bCs/>
          <w:snapToGrid w:val="0"/>
          <w:lang w:val="es-CR" w:eastAsia="es-ES" w:bidi="en-US"/>
        </w:rPr>
      </w:pPr>
      <w:r w:rsidRPr="00BF5C38">
        <w:rPr>
          <w:snapToGrid w:val="0"/>
          <w:lang w:val="es-CR" w:eastAsia="es-ES" w:bidi="en-US"/>
        </w:rPr>
        <w:t>C-3.24.</w:t>
      </w:r>
      <w:r w:rsidRPr="00BF5C38">
        <w:rPr>
          <w:snapToGrid w:val="0"/>
          <w:lang w:val="es-CR" w:eastAsia="es-ES" w:bidi="en-US"/>
        </w:rPr>
        <w:tab/>
        <w:t xml:space="preserve">Los activos no corrientes, se clasifican como mantenidos para la venta si es altamente probable que sean recuperados fundamentalmente a través de la venta y no del uso continuo. </w:t>
      </w:r>
    </w:p>
    <w:p w14:paraId="40C2294D" w14:textId="77777777" w:rsidR="00102F34" w:rsidRPr="00BF5C38" w:rsidRDefault="00102F34" w:rsidP="00382D37">
      <w:pPr>
        <w:jc w:val="both"/>
        <w:rPr>
          <w:b/>
          <w:bCs/>
          <w:snapToGrid w:val="0"/>
          <w:lang w:val="es-CR" w:eastAsia="es-ES" w:bidi="en-US"/>
        </w:rPr>
      </w:pPr>
      <w:r w:rsidRPr="00BF5C38">
        <w:rPr>
          <w:snapToGrid w:val="0"/>
          <w:lang w:val="es-CR" w:eastAsia="es-ES" w:bidi="en-US"/>
        </w:rPr>
        <w:t>L-3.24.1.</w:t>
      </w:r>
      <w:r w:rsidRPr="00BF5C38">
        <w:rPr>
          <w:snapToGrid w:val="0"/>
          <w:lang w:val="es-CR" w:eastAsia="es-ES" w:bidi="en-US"/>
        </w:rPr>
        <w:tab/>
        <w:t xml:space="preserve">Estos activos no corrientes mantenidos para la venta se miden al menor entre su importe en libros y su valor razonable menos los costos de venta. </w:t>
      </w:r>
    </w:p>
    <w:p w14:paraId="73B75852" w14:textId="77777777" w:rsidR="00102F34" w:rsidRPr="00BF5C38" w:rsidRDefault="00102F34" w:rsidP="00382D37">
      <w:pPr>
        <w:jc w:val="both"/>
        <w:rPr>
          <w:b/>
          <w:bCs/>
          <w:snapToGrid w:val="0"/>
          <w:lang w:val="es-CR" w:eastAsia="es-ES" w:bidi="en-US"/>
        </w:rPr>
      </w:pPr>
      <w:r w:rsidRPr="00BF5C38">
        <w:rPr>
          <w:snapToGrid w:val="0"/>
          <w:lang w:val="es-CR" w:eastAsia="es-ES" w:bidi="en-US"/>
        </w:rPr>
        <w:t>L-3.24.2.</w:t>
      </w:r>
      <w:r w:rsidRPr="00BF5C38">
        <w:rPr>
          <w:snapToGrid w:val="0"/>
          <w:lang w:val="es-CR" w:eastAsia="es-ES" w:bidi="en-US"/>
        </w:rPr>
        <w:tab/>
        <w:t xml:space="preserve"> Las pérdidas por deterioro en la clasificación inicial como mantenido para la venta así como las ganancias y pérdidas posteriores surgidas de la venta, se reconocen en resultados.  </w:t>
      </w:r>
    </w:p>
    <w:p w14:paraId="5BC42A76" w14:textId="0ACC1DC9" w:rsidR="00102F34" w:rsidRPr="00BF5C38" w:rsidRDefault="00C60A76" w:rsidP="00382D37">
      <w:pPr>
        <w:jc w:val="both"/>
        <w:rPr>
          <w:b/>
          <w:bCs/>
          <w:snapToGrid w:val="0"/>
          <w:lang w:val="es-CR" w:eastAsia="es-ES" w:bidi="en-US"/>
        </w:rPr>
      </w:pPr>
      <w:r>
        <w:rPr>
          <w:snapToGrid w:val="0"/>
          <w:lang w:val="es-CR" w:eastAsia="es-ES" w:bidi="en-US"/>
        </w:rPr>
        <w:t>L-3.24.3.</w:t>
      </w:r>
      <w:r w:rsidR="00102F34" w:rsidRPr="00BF5C38">
        <w:rPr>
          <w:snapToGrid w:val="0"/>
          <w:lang w:val="es-CR" w:eastAsia="es-ES" w:bidi="en-US"/>
        </w:rPr>
        <w:tab/>
        <w:t>Cuando se clasifican los activos no corrientes como mantenidos para la venta, no siguen amortizándose o depreciándose, únicamente se ajustan por deterioro en caso de presentarse.</w:t>
      </w:r>
    </w:p>
    <w:p w14:paraId="0F9DE7A2" w14:textId="77777777" w:rsidR="00102F34" w:rsidRPr="00BF5C38" w:rsidRDefault="00102F34" w:rsidP="00382D37">
      <w:pPr>
        <w:jc w:val="both"/>
        <w:rPr>
          <w:b/>
          <w:bCs/>
          <w:snapToGrid w:val="0"/>
          <w:lang w:val="es-CR" w:eastAsia="es-ES" w:bidi="en-US"/>
        </w:rPr>
      </w:pPr>
    </w:p>
    <w:p w14:paraId="37CBE182" w14:textId="77777777" w:rsidR="00102F34" w:rsidRPr="00BF5C38" w:rsidRDefault="00102F34" w:rsidP="00382D37">
      <w:pPr>
        <w:jc w:val="both"/>
        <w:rPr>
          <w:b/>
          <w:bCs/>
          <w:snapToGrid w:val="0"/>
          <w:lang w:val="es-CR" w:eastAsia="es-ES" w:bidi="en-US"/>
        </w:rPr>
      </w:pPr>
      <w:r w:rsidRPr="00BF5C38">
        <w:rPr>
          <w:snapToGrid w:val="0"/>
          <w:lang w:val="es-CR" w:eastAsia="es-ES" w:bidi="en-US"/>
        </w:rPr>
        <w:t>C-3.25.</w:t>
      </w:r>
      <w:r w:rsidRPr="00BF5C38">
        <w:rPr>
          <w:snapToGrid w:val="0"/>
          <w:lang w:val="es-CR" w:eastAsia="es-ES" w:bidi="en-US"/>
        </w:rPr>
        <w:tab/>
        <w:t xml:space="preserve">En cada fecha del estado de situación financiera anual, se revisa el valor en libros de los activos no financieros (distintos de las propiedades de inversión, inventarios y activos por impuestos diferidos) para determinar si existe algún indicio de deterioro.  </w:t>
      </w:r>
    </w:p>
    <w:p w14:paraId="2396FFC9" w14:textId="77777777" w:rsidR="00102F34" w:rsidRPr="00BF5C38" w:rsidRDefault="00102F34" w:rsidP="00382D37">
      <w:pPr>
        <w:jc w:val="both"/>
        <w:rPr>
          <w:b/>
          <w:bCs/>
          <w:snapToGrid w:val="0"/>
          <w:lang w:val="es-CR" w:eastAsia="es-ES" w:bidi="en-US"/>
        </w:rPr>
      </w:pPr>
      <w:r w:rsidRPr="00BF5C38">
        <w:rPr>
          <w:snapToGrid w:val="0"/>
          <w:lang w:val="es-CR" w:eastAsia="es-ES" w:bidi="en-US"/>
        </w:rPr>
        <w:t>L-3.25.1.</w:t>
      </w:r>
      <w:r w:rsidRPr="00BF5C38">
        <w:rPr>
          <w:snapToGrid w:val="0"/>
          <w:lang w:val="es-CR" w:eastAsia="es-ES" w:bidi="en-US"/>
        </w:rPr>
        <w:tab/>
        <w:t>Si existen indicios de deterioro, se estima el importe recuperable del activo y se reconoce una pérdida por deterioro si el importe en libros de un activo excede su importe recuperable.  Las pérdidas por deterioro se reconocen en resultados</w:t>
      </w:r>
    </w:p>
    <w:p w14:paraId="72DF8766" w14:textId="77777777" w:rsidR="00102F34" w:rsidRPr="00BF5C38" w:rsidRDefault="00102F34" w:rsidP="00382D37">
      <w:pPr>
        <w:jc w:val="both"/>
        <w:rPr>
          <w:b/>
          <w:bCs/>
          <w:snapToGrid w:val="0"/>
          <w:lang w:val="es-CR" w:eastAsia="es-ES" w:bidi="en-US"/>
        </w:rPr>
      </w:pPr>
      <w:r w:rsidRPr="00BF5C38">
        <w:rPr>
          <w:snapToGrid w:val="0"/>
          <w:lang w:val="es-CR" w:eastAsia="es-ES" w:bidi="en-US"/>
        </w:rPr>
        <w:t>L-3.25.2.</w:t>
      </w:r>
      <w:r w:rsidRPr="00BF5C38">
        <w:rPr>
          <w:snapToGrid w:val="0"/>
          <w:lang w:val="es-CR" w:eastAsia="es-ES" w:bidi="en-US"/>
        </w:rPr>
        <w:tab/>
        <w:t>Una pérdida por deterioro se reversa sólo mientras el importe en libros del activo no exceda al importe en libros que podría haberse obtenido, neto de amortización o depreciación, si no se hubiese reconocido una pérdida por deterioro del valor para dicho activo.</w:t>
      </w:r>
    </w:p>
    <w:p w14:paraId="045A5BE7" w14:textId="77777777" w:rsidR="00102F34" w:rsidRPr="00BF5C38" w:rsidRDefault="00102F34" w:rsidP="00382D37">
      <w:pPr>
        <w:jc w:val="both"/>
        <w:rPr>
          <w:b/>
          <w:bCs/>
          <w:snapToGrid w:val="0"/>
          <w:lang w:val="es-CR" w:eastAsia="es-ES" w:bidi="en-US"/>
        </w:rPr>
      </w:pPr>
      <w:r w:rsidRPr="00BF5C38">
        <w:rPr>
          <w:snapToGrid w:val="0"/>
          <w:lang w:val="es-CR" w:eastAsia="es-ES" w:bidi="en-US"/>
        </w:rPr>
        <w:t>C-3.26.</w:t>
      </w:r>
      <w:r w:rsidRPr="00BF5C38">
        <w:rPr>
          <w:snapToGrid w:val="0"/>
          <w:lang w:val="es-CR" w:eastAsia="es-ES" w:bidi="en-US"/>
        </w:rPr>
        <w:tab/>
        <w:t>Los arrendamientos se analizarán desde el origen para determinar si clasifican como operativos o financieros, de acuerdo con la sustancia de la operación y no con base en la forma legal del contrato.</w:t>
      </w:r>
    </w:p>
    <w:p w14:paraId="19846C89" w14:textId="77777777" w:rsidR="00102F34" w:rsidRPr="00BF5C38" w:rsidRDefault="00102F34" w:rsidP="00382D37">
      <w:pPr>
        <w:jc w:val="both"/>
        <w:rPr>
          <w:b/>
          <w:bCs/>
          <w:snapToGrid w:val="0"/>
          <w:lang w:val="es-CR" w:eastAsia="es-ES" w:bidi="en-US"/>
        </w:rPr>
      </w:pPr>
      <w:r w:rsidRPr="00BF5C38">
        <w:rPr>
          <w:snapToGrid w:val="0"/>
          <w:lang w:val="es-CR" w:eastAsia="es-ES" w:bidi="en-US"/>
        </w:rPr>
        <w:t>L-3.26.1.</w:t>
      </w:r>
      <w:r w:rsidRPr="00BF5C38">
        <w:rPr>
          <w:snapToGrid w:val="0"/>
          <w:lang w:val="es-CR" w:eastAsia="es-ES" w:bidi="en-US"/>
        </w:rPr>
        <w:tab/>
        <w:t xml:space="preserve">Los activos mantenidos bajo arrendamientos que transfieren a la entidad sustancialmente todos los riesgos y beneficios relacionados con la propiedad son clasificados como arrendamientos financieros.  </w:t>
      </w:r>
    </w:p>
    <w:p w14:paraId="08447F6B" w14:textId="77777777" w:rsidR="00102F34" w:rsidRPr="00BF5C38" w:rsidRDefault="00102F34" w:rsidP="00382D37">
      <w:pPr>
        <w:jc w:val="both"/>
        <w:rPr>
          <w:b/>
          <w:bCs/>
          <w:snapToGrid w:val="0"/>
          <w:lang w:val="es-CR" w:eastAsia="es-ES" w:bidi="en-US"/>
        </w:rPr>
      </w:pPr>
      <w:r w:rsidRPr="00BF5C38">
        <w:rPr>
          <w:snapToGrid w:val="0"/>
          <w:lang w:val="es-CR" w:eastAsia="es-ES" w:bidi="en-US"/>
        </w:rPr>
        <w:t>L-3.26.2.</w:t>
      </w:r>
      <w:r w:rsidRPr="00BF5C38">
        <w:rPr>
          <w:snapToGrid w:val="0"/>
          <w:lang w:val="es-CR" w:eastAsia="es-ES" w:bidi="en-US"/>
        </w:rPr>
        <w:tab/>
        <w:t>Los pagos mínimos por arrendamientos realizados bajo arrendamientos financieros son distribuidos entre la carga financiera y la reducción del pasivo.  La carga financiera total se distribuye entre los años que constituyen el plazo del arrendamiento, de manera que se obtenga una tasa de interés constante en cada año, sobre el saldo de la deuda pendiente de amortizar.</w:t>
      </w:r>
    </w:p>
    <w:p w14:paraId="46D8CF76" w14:textId="77777777" w:rsidR="00102F34" w:rsidRPr="00BF5C38" w:rsidRDefault="00102F34" w:rsidP="00382D37">
      <w:pPr>
        <w:jc w:val="both"/>
        <w:rPr>
          <w:b/>
          <w:bCs/>
          <w:snapToGrid w:val="0"/>
          <w:lang w:val="es-CR" w:eastAsia="es-ES" w:bidi="en-US"/>
        </w:rPr>
      </w:pPr>
      <w:r w:rsidRPr="00BF5C38">
        <w:rPr>
          <w:snapToGrid w:val="0"/>
          <w:lang w:val="es-CR" w:eastAsia="es-ES" w:bidi="en-US"/>
        </w:rPr>
        <w:t>L-3.26.3.</w:t>
      </w:r>
      <w:r w:rsidRPr="00BF5C38">
        <w:rPr>
          <w:snapToGrid w:val="0"/>
          <w:lang w:val="es-CR" w:eastAsia="es-ES" w:bidi="en-US"/>
        </w:rPr>
        <w:tab/>
        <w:t xml:space="preserve">Los activos arrendados se miden inicialmente a un importe igual al menor valor entre el valor razonable y el valor presente de los pagos mínimos por el arrendamiento. </w:t>
      </w:r>
    </w:p>
    <w:p w14:paraId="069BC66D" w14:textId="77777777" w:rsidR="00102F34" w:rsidRPr="00BF5C38" w:rsidRDefault="00102F34" w:rsidP="00382D37">
      <w:pPr>
        <w:jc w:val="both"/>
        <w:rPr>
          <w:b/>
          <w:bCs/>
          <w:snapToGrid w:val="0"/>
          <w:lang w:val="es-CR" w:eastAsia="es-ES" w:bidi="en-US"/>
        </w:rPr>
      </w:pPr>
      <w:r w:rsidRPr="00BF5C38">
        <w:rPr>
          <w:snapToGrid w:val="0"/>
          <w:lang w:val="es-CR" w:eastAsia="es-ES" w:bidi="en-US"/>
        </w:rPr>
        <w:t>L-3.26.4.</w:t>
      </w:r>
      <w:r w:rsidRPr="00BF5C38">
        <w:rPr>
          <w:snapToGrid w:val="0"/>
          <w:lang w:val="es-CR" w:eastAsia="es-ES" w:bidi="en-US"/>
        </w:rPr>
        <w:tab/>
        <w:t xml:space="preserve">Con posterioridad al reconocimiento inicial, a los activos arrendados se les aplicará la misma política contable que se usa en la clase de activos a que pertenecen. </w:t>
      </w:r>
    </w:p>
    <w:p w14:paraId="2117EDEF" w14:textId="77777777" w:rsidR="00102F34" w:rsidRPr="00BF5C38" w:rsidRDefault="00102F34" w:rsidP="00382D37">
      <w:pPr>
        <w:jc w:val="both"/>
        <w:rPr>
          <w:b/>
          <w:bCs/>
          <w:snapToGrid w:val="0"/>
          <w:lang w:val="es-CR" w:eastAsia="es-ES" w:bidi="en-US"/>
        </w:rPr>
      </w:pPr>
      <w:r w:rsidRPr="00BF5C38">
        <w:rPr>
          <w:snapToGrid w:val="0"/>
          <w:lang w:val="es-CR" w:eastAsia="es-ES" w:bidi="en-US"/>
        </w:rPr>
        <w:t>L-3.26.5.</w:t>
      </w:r>
      <w:r w:rsidRPr="00BF5C38">
        <w:rPr>
          <w:snapToGrid w:val="0"/>
          <w:lang w:val="es-CR" w:eastAsia="es-ES" w:bidi="en-US"/>
        </w:rPr>
        <w:tab/>
        <w:t>Los pagos realizados bajo arrendamientos operativos se reconocen en resultados en forma lineal durante el plazo del arrendamiento.  Los incentivos por arrendamiento recibidos son reconocidos como parte integral del gasto total arrendamiento durante el plazo de éste.</w:t>
      </w:r>
    </w:p>
    <w:p w14:paraId="2E0FB55A" w14:textId="77777777" w:rsidR="00102F34" w:rsidRPr="00BF5C38" w:rsidRDefault="00102F34" w:rsidP="00382D37">
      <w:pPr>
        <w:jc w:val="both"/>
        <w:rPr>
          <w:b/>
          <w:bCs/>
          <w:snapToGrid w:val="0"/>
          <w:lang w:val="es-CR" w:eastAsia="es-ES" w:bidi="en-US"/>
        </w:rPr>
      </w:pPr>
      <w:r w:rsidRPr="00BF5C38">
        <w:rPr>
          <w:snapToGrid w:val="0"/>
          <w:lang w:val="es-CR" w:eastAsia="es-ES" w:bidi="en-US"/>
        </w:rPr>
        <w:t>C-3.27.</w:t>
      </w:r>
      <w:r w:rsidRPr="00BF5C38">
        <w:rPr>
          <w:snapToGrid w:val="0"/>
          <w:lang w:val="es-CR" w:eastAsia="es-ES" w:bidi="en-US"/>
        </w:rPr>
        <w:tab/>
        <w:t>Los beneficios a los empleados a corto plazo son reconocidos como gasto cuando se presta el servicio relacionado.  Se reconoce una obligación por el monto que se espera pagar si se posee una obligación actual de pagar este monto como resultado de un servicio entregado por el empleado en el pasado y la obligación puede ser estimada con fiabilidad.</w:t>
      </w:r>
    </w:p>
    <w:p w14:paraId="2BAD1B22" w14:textId="77777777" w:rsidR="00102F34" w:rsidRPr="00BF5C38" w:rsidRDefault="00102F34" w:rsidP="00382D37">
      <w:pPr>
        <w:jc w:val="both"/>
        <w:rPr>
          <w:b/>
          <w:bCs/>
          <w:snapToGrid w:val="0"/>
          <w:lang w:val="es-CR" w:eastAsia="es-ES" w:bidi="en-US"/>
        </w:rPr>
      </w:pPr>
      <w:r w:rsidRPr="00BF5C38">
        <w:rPr>
          <w:snapToGrid w:val="0"/>
          <w:lang w:val="es-CR" w:eastAsia="es-ES" w:bidi="en-US"/>
        </w:rPr>
        <w:t>C-3.28.</w:t>
      </w:r>
      <w:r w:rsidRPr="00BF5C38">
        <w:rPr>
          <w:snapToGrid w:val="0"/>
          <w:lang w:val="es-CR" w:eastAsia="es-ES" w:bidi="en-US"/>
        </w:rPr>
        <w:tab/>
        <w:t xml:space="preserve">Las obligaciones por planes de aportaciones definidas se reconocen como gasto a medida que se presta el servicio relacionado. Tal es el caso de los  aportes a las operadoras de pensiones complementarias. </w:t>
      </w:r>
    </w:p>
    <w:p w14:paraId="2AF6AE3C" w14:textId="77777777" w:rsidR="00102F34" w:rsidRPr="00BF5C38" w:rsidRDefault="00102F34" w:rsidP="00382D37">
      <w:pPr>
        <w:jc w:val="both"/>
        <w:rPr>
          <w:b/>
          <w:bCs/>
          <w:snapToGrid w:val="0"/>
          <w:lang w:val="es-CR" w:eastAsia="es-ES" w:bidi="en-US"/>
        </w:rPr>
      </w:pPr>
      <w:r w:rsidRPr="00BF5C38">
        <w:rPr>
          <w:snapToGrid w:val="0"/>
          <w:lang w:val="es-CR" w:eastAsia="es-ES" w:bidi="en-US"/>
        </w:rPr>
        <w:t>C-3.29.</w:t>
      </w:r>
      <w:r w:rsidRPr="00BF5C38">
        <w:rPr>
          <w:snapToGrid w:val="0"/>
          <w:lang w:val="es-CR" w:eastAsia="es-ES" w:bidi="en-US"/>
        </w:rPr>
        <w:tab/>
        <w:t xml:space="preserve">La obligación relacionada con planes de beneficios definidos se calcula separadamente para cada plan, estimando el importe del beneficio futuro que los empleados han ganado en el período actual y en períodos anteriores, y presentándolo como un valor descontado. </w:t>
      </w:r>
    </w:p>
    <w:p w14:paraId="54870731" w14:textId="77777777" w:rsidR="00102F34" w:rsidRPr="00BF5C38" w:rsidRDefault="00102F34" w:rsidP="00382D37">
      <w:pPr>
        <w:jc w:val="both"/>
        <w:rPr>
          <w:b/>
          <w:bCs/>
          <w:snapToGrid w:val="0"/>
          <w:lang w:val="es-CR" w:eastAsia="es-ES" w:bidi="en-US"/>
        </w:rPr>
      </w:pPr>
      <w:r w:rsidRPr="00BF5C38">
        <w:rPr>
          <w:snapToGrid w:val="0"/>
          <w:lang w:val="es-CR" w:eastAsia="es-ES" w:bidi="en-US"/>
        </w:rPr>
        <w:t>C-3.30.</w:t>
      </w:r>
      <w:r w:rsidRPr="00BF5C38">
        <w:rPr>
          <w:snapToGrid w:val="0"/>
          <w:lang w:val="es-CR" w:eastAsia="es-ES" w:bidi="en-US"/>
        </w:rPr>
        <w:tab/>
        <w:t xml:space="preserve">El cálculo de las obligaciones por beneficios definidos es efectuado por un actuario o una persona calificada usando el método de unidad de crédito proyectada.  </w:t>
      </w:r>
    </w:p>
    <w:p w14:paraId="5B2BC302" w14:textId="77777777" w:rsidR="00102F34" w:rsidRPr="00BF5C38" w:rsidRDefault="00102F34" w:rsidP="00382D37">
      <w:pPr>
        <w:jc w:val="both"/>
        <w:rPr>
          <w:b/>
          <w:bCs/>
          <w:snapToGrid w:val="0"/>
          <w:lang w:val="es-CR" w:eastAsia="es-ES" w:bidi="en-US"/>
        </w:rPr>
      </w:pPr>
      <w:r w:rsidRPr="00BF5C38">
        <w:rPr>
          <w:snapToGrid w:val="0"/>
          <w:lang w:val="es-CR" w:eastAsia="es-ES" w:bidi="en-US"/>
        </w:rPr>
        <w:t>C-3.31.</w:t>
      </w:r>
      <w:r w:rsidRPr="00BF5C38">
        <w:rPr>
          <w:snapToGrid w:val="0"/>
          <w:lang w:val="es-CR" w:eastAsia="es-ES" w:bidi="en-US"/>
        </w:rPr>
        <w:tab/>
        <w:t>Los beneficios por terminación son reconocidos como gasto cuando se tiene la obligación relacionada con los beneficios.  Si no se espera liquidar los beneficios en su totalidad dentro de los 12 meses posteriores al término del año sobre el que se informa, estos se descuentan.</w:t>
      </w:r>
    </w:p>
    <w:p w14:paraId="38E50642" w14:textId="77777777" w:rsidR="00102F34" w:rsidRPr="00BF5C38" w:rsidRDefault="00102F34" w:rsidP="00382D37">
      <w:pPr>
        <w:jc w:val="both"/>
        <w:rPr>
          <w:b/>
          <w:bCs/>
          <w:snapToGrid w:val="0"/>
          <w:lang w:val="es-CR" w:eastAsia="es-ES" w:bidi="en-US"/>
        </w:rPr>
      </w:pPr>
      <w:r w:rsidRPr="00BF5C38">
        <w:rPr>
          <w:snapToGrid w:val="0"/>
          <w:lang w:val="es-CR" w:eastAsia="es-ES" w:bidi="en-US"/>
        </w:rPr>
        <w:t>C-3.32.</w:t>
      </w:r>
      <w:r w:rsidRPr="00BF5C38">
        <w:rPr>
          <w:snapToGrid w:val="0"/>
          <w:lang w:val="es-CR" w:eastAsia="es-ES" w:bidi="en-US"/>
        </w:rPr>
        <w:tab/>
        <w:t>Una provisión se reconoce si, como resultado de un evento pasado, se  tiene una obligación presente, legal o implícita que puede ser estimada de forma fiable en la fecha del estado de situación financiera, y es probable que vaya a ser necesaria una salida de beneficios económicos para cancelar la obligación.</w:t>
      </w:r>
    </w:p>
    <w:p w14:paraId="452DE659" w14:textId="77777777" w:rsidR="00102F34" w:rsidRPr="00BF5C38" w:rsidRDefault="00102F34" w:rsidP="00382D37">
      <w:pPr>
        <w:jc w:val="both"/>
        <w:rPr>
          <w:b/>
          <w:bCs/>
          <w:snapToGrid w:val="0"/>
          <w:lang w:val="es-CR" w:eastAsia="es-ES" w:bidi="en-US"/>
        </w:rPr>
      </w:pPr>
      <w:r w:rsidRPr="00BF5C38">
        <w:rPr>
          <w:snapToGrid w:val="0"/>
          <w:lang w:val="es-CR" w:eastAsia="es-ES" w:bidi="en-US"/>
        </w:rPr>
        <w:t>L-3.32.1.</w:t>
      </w:r>
      <w:r w:rsidRPr="00BF5C38">
        <w:rPr>
          <w:snapToGrid w:val="0"/>
          <w:lang w:val="es-CR" w:eastAsia="es-ES" w:bidi="en-US"/>
        </w:rPr>
        <w:tab/>
        <w:t xml:space="preserve">El monto de las provisiones se calcula de acuerdo con la mejor estimación del desembolso necesario para cancelar la obligación presente al final del período sobre el que se informa. </w:t>
      </w:r>
    </w:p>
    <w:p w14:paraId="70823EAA" w14:textId="77777777" w:rsidR="009B1A16" w:rsidRDefault="009B1A16" w:rsidP="00382D37">
      <w:pPr>
        <w:jc w:val="both"/>
        <w:rPr>
          <w:snapToGrid w:val="0"/>
          <w:lang w:val="es-CR" w:eastAsia="es-ES" w:bidi="en-US"/>
        </w:rPr>
      </w:pPr>
      <w:r>
        <w:rPr>
          <w:snapToGrid w:val="0"/>
          <w:lang w:val="es-CR" w:eastAsia="es-ES" w:bidi="en-US"/>
        </w:rPr>
        <w:br w:type="page"/>
      </w:r>
    </w:p>
    <w:p w14:paraId="0CEAAC0B" w14:textId="71F57479" w:rsidR="00102F34" w:rsidRPr="00BF5C38" w:rsidRDefault="00102F34" w:rsidP="00382D37">
      <w:pPr>
        <w:jc w:val="both"/>
        <w:rPr>
          <w:b/>
          <w:bCs/>
          <w:snapToGrid w:val="0"/>
          <w:lang w:val="es-CR" w:eastAsia="es-ES" w:bidi="en-US"/>
        </w:rPr>
      </w:pPr>
      <w:r w:rsidRPr="00BF5C38">
        <w:rPr>
          <w:snapToGrid w:val="0"/>
          <w:lang w:val="es-CR" w:eastAsia="es-ES" w:bidi="en-US"/>
        </w:rPr>
        <w:t>L-3.32.2.</w:t>
      </w:r>
      <w:r w:rsidRPr="00BF5C38">
        <w:rPr>
          <w:snapToGrid w:val="0"/>
          <w:lang w:val="es-CR" w:eastAsia="es-ES" w:bidi="en-US"/>
        </w:rPr>
        <w:tab/>
        <w:t>Cuando resulte importante el efecto financiero producido por el descuento, el importe de la provisión se determina descontando los flujos de efectivo futuros esperados usando una tasa antes de impuestos, que refleje las evaluaciones correspondientes al valor temporal del dinero que el mercado esté haciendo, así como el riesgo específico del pasivo correspondiente.</w:t>
      </w:r>
    </w:p>
    <w:p w14:paraId="21D6CEF5" w14:textId="77777777" w:rsidR="00102F34" w:rsidRPr="00BF5C38" w:rsidRDefault="00102F34" w:rsidP="00382D37">
      <w:pPr>
        <w:jc w:val="both"/>
        <w:rPr>
          <w:b/>
          <w:bCs/>
          <w:snapToGrid w:val="0"/>
          <w:lang w:val="es-CR" w:eastAsia="es-ES" w:bidi="en-US"/>
        </w:rPr>
      </w:pPr>
      <w:r w:rsidRPr="00BF5C38">
        <w:rPr>
          <w:snapToGrid w:val="0"/>
          <w:lang w:val="es-CR" w:eastAsia="es-ES" w:bidi="en-US"/>
        </w:rPr>
        <w:t>L-3.32.3.</w:t>
      </w:r>
      <w:r w:rsidRPr="00BF5C38">
        <w:rPr>
          <w:snapToGrid w:val="0"/>
          <w:lang w:val="es-CR" w:eastAsia="es-ES" w:bidi="en-US"/>
        </w:rPr>
        <w:tab/>
        <w:t xml:space="preserve"> La reversión del descuento se reconoce como un costo financiero.</w:t>
      </w:r>
    </w:p>
    <w:p w14:paraId="48CE3FE1" w14:textId="77777777" w:rsidR="00102F34" w:rsidRPr="00BF5C38" w:rsidRDefault="00102F34" w:rsidP="00382D37">
      <w:pPr>
        <w:jc w:val="both"/>
        <w:rPr>
          <w:b/>
          <w:bCs/>
          <w:snapToGrid w:val="0"/>
          <w:lang w:val="es-CR" w:eastAsia="es-ES" w:bidi="en-US"/>
        </w:rPr>
      </w:pPr>
      <w:r w:rsidRPr="00BF5C38">
        <w:rPr>
          <w:snapToGrid w:val="0"/>
          <w:lang w:val="es-CR" w:eastAsia="es-ES" w:bidi="en-US"/>
        </w:rPr>
        <w:t>C-3.33.</w:t>
      </w:r>
      <w:r w:rsidRPr="00BF5C38">
        <w:rPr>
          <w:snapToGrid w:val="0"/>
          <w:lang w:val="es-CR" w:eastAsia="es-ES" w:bidi="en-US"/>
        </w:rPr>
        <w:tab/>
        <w:t>Los saldos superavitarios procedentes del resultado acumulado por revaluaciones monetarias, se reclasificarán, mediante la creación de una Reserva por fluctuaciones de tipo de cambio en el patrimonio, la cual se aplicará a pérdidas por revaluaciones monetarias de los períodos siguientes.</w:t>
      </w:r>
    </w:p>
    <w:p w14:paraId="2B758164" w14:textId="77777777" w:rsidR="00102F34" w:rsidRPr="00BF5C38" w:rsidRDefault="00102F34" w:rsidP="00382D37">
      <w:pPr>
        <w:jc w:val="both"/>
        <w:rPr>
          <w:b/>
          <w:bCs/>
          <w:snapToGrid w:val="0"/>
          <w:lang w:val="es-CR" w:eastAsia="es-ES" w:bidi="en-US"/>
        </w:rPr>
      </w:pPr>
      <w:r w:rsidRPr="00BF5C38">
        <w:rPr>
          <w:snapToGrid w:val="0"/>
          <w:lang w:val="es-CR" w:eastAsia="es-ES" w:bidi="en-US"/>
        </w:rPr>
        <w:t>C-3.34.</w:t>
      </w:r>
      <w:r w:rsidRPr="00BF5C38">
        <w:rPr>
          <w:snapToGrid w:val="0"/>
          <w:lang w:val="es-CR" w:eastAsia="es-ES" w:bidi="en-US"/>
        </w:rPr>
        <w:tab/>
        <w:t>El costo de emisión de billetes y monedas se registrará como un gasto del período en que se incurra.</w:t>
      </w:r>
    </w:p>
    <w:p w14:paraId="55F1AD52" w14:textId="77777777" w:rsidR="00102F34" w:rsidRPr="00BF5C38" w:rsidRDefault="00102F34" w:rsidP="00382D37">
      <w:pPr>
        <w:jc w:val="both"/>
        <w:rPr>
          <w:b/>
          <w:bCs/>
          <w:snapToGrid w:val="0"/>
          <w:lang w:val="es-CR" w:eastAsia="es-ES" w:bidi="en-US"/>
        </w:rPr>
      </w:pPr>
      <w:r w:rsidRPr="00BF5C38">
        <w:rPr>
          <w:snapToGrid w:val="0"/>
          <w:lang w:val="es-CR" w:eastAsia="es-ES" w:bidi="en-US"/>
        </w:rPr>
        <w:t>C-3.35.</w:t>
      </w:r>
      <w:r w:rsidRPr="00BF5C38">
        <w:rPr>
          <w:snapToGrid w:val="0"/>
          <w:lang w:val="es-CR" w:eastAsia="es-ES" w:bidi="en-US"/>
        </w:rPr>
        <w:tab/>
        <w:t>El costo de los libros y revistas se registrará como un gasto del período en que se incurra.</w:t>
      </w:r>
    </w:p>
    <w:p w14:paraId="33931462" w14:textId="77777777" w:rsidR="00102F34" w:rsidRPr="00BF5C38" w:rsidRDefault="00102F34" w:rsidP="00382D37">
      <w:pPr>
        <w:jc w:val="both"/>
        <w:rPr>
          <w:b/>
          <w:bCs/>
          <w:snapToGrid w:val="0"/>
          <w:lang w:val="es-CR" w:eastAsia="es-ES" w:bidi="en-US"/>
        </w:rPr>
      </w:pPr>
      <w:r w:rsidRPr="00BF5C38">
        <w:rPr>
          <w:snapToGrid w:val="0"/>
          <w:lang w:val="es-CR" w:eastAsia="es-ES" w:bidi="en-US"/>
        </w:rPr>
        <w:t>C-3.36.</w:t>
      </w:r>
      <w:r w:rsidRPr="00BF5C38">
        <w:rPr>
          <w:snapToGrid w:val="0"/>
          <w:lang w:val="es-CR" w:eastAsia="es-ES" w:bidi="en-US"/>
        </w:rPr>
        <w:tab/>
        <w:t>Las donaciones monetarias o no monetarias recibidas o entregadas se registran a su valor razonable en el estado de resultados.</w:t>
      </w:r>
    </w:p>
    <w:p w14:paraId="2C81B52A" w14:textId="77777777" w:rsidR="00102F34" w:rsidRPr="00BF5C38" w:rsidRDefault="00102F34" w:rsidP="00382D37">
      <w:pPr>
        <w:jc w:val="both"/>
        <w:rPr>
          <w:b/>
          <w:bCs/>
          <w:snapToGrid w:val="0"/>
          <w:lang w:val="es-CR" w:eastAsia="es-ES" w:bidi="en-US"/>
        </w:rPr>
      </w:pPr>
      <w:r w:rsidRPr="00BF5C38">
        <w:rPr>
          <w:snapToGrid w:val="0"/>
          <w:lang w:val="es-CR" w:eastAsia="es-ES" w:bidi="en-US"/>
        </w:rPr>
        <w:t>C-3.37.</w:t>
      </w:r>
      <w:r w:rsidRPr="00BF5C38">
        <w:rPr>
          <w:snapToGrid w:val="0"/>
          <w:lang w:val="es-CR" w:eastAsia="es-ES" w:bidi="en-US"/>
        </w:rPr>
        <w:tab/>
        <w:t>Los cambios por la selección y aplicación de políticas contables y la corrección de errores de periodos anteriores, se realizarán en forma retroactiva utilizando como contrapartida el saldo inicial del Superávit o Déficit acumulados, según corresponda.</w:t>
      </w:r>
    </w:p>
    <w:p w14:paraId="070FE3A1" w14:textId="77777777" w:rsidR="00102F34" w:rsidRPr="00BF5C38" w:rsidRDefault="00102F34" w:rsidP="00382D37">
      <w:pPr>
        <w:jc w:val="both"/>
        <w:rPr>
          <w:b/>
          <w:bCs/>
          <w:snapToGrid w:val="0"/>
          <w:lang w:val="es-CR" w:eastAsia="es-ES" w:bidi="en-US"/>
        </w:rPr>
      </w:pPr>
      <w:r w:rsidRPr="00BF5C38">
        <w:rPr>
          <w:snapToGrid w:val="0"/>
          <w:lang w:val="es-CR" w:eastAsia="es-ES" w:bidi="en-US"/>
        </w:rPr>
        <w:t>C-3.38.</w:t>
      </w:r>
      <w:r w:rsidRPr="00BF5C38">
        <w:rPr>
          <w:snapToGrid w:val="0"/>
          <w:lang w:val="es-CR" w:eastAsia="es-ES" w:bidi="en-US"/>
        </w:rPr>
        <w:tab/>
        <w:t>Los cambios en estimaciones contables se reconocerán de forma prospectiva, a partir del periodo en que se dio el cambio.</w:t>
      </w:r>
    </w:p>
    <w:p w14:paraId="079C4307" w14:textId="77777777" w:rsidR="00102F34" w:rsidRPr="00BF5C38" w:rsidRDefault="00102F34" w:rsidP="00382D37">
      <w:pPr>
        <w:jc w:val="both"/>
        <w:rPr>
          <w:b/>
          <w:bCs/>
          <w:snapToGrid w:val="0"/>
          <w:lang w:val="es-CR" w:eastAsia="es-ES" w:bidi="en-US"/>
        </w:rPr>
      </w:pPr>
      <w:r w:rsidRPr="00BF5C38">
        <w:rPr>
          <w:snapToGrid w:val="0"/>
          <w:lang w:val="es-CR" w:eastAsia="es-ES" w:bidi="en-US"/>
        </w:rPr>
        <w:t>C-3.39.</w:t>
      </w:r>
      <w:r w:rsidRPr="00BF5C38">
        <w:rPr>
          <w:snapToGrid w:val="0"/>
          <w:lang w:val="es-CR" w:eastAsia="es-ES" w:bidi="en-US"/>
        </w:rPr>
        <w:tab/>
        <w:t>El gasto por impuesto a las ganancias incluye el impuesto corriente y el diferido.  Se reconoce en resultados excepto en la medida en que se relacione con partidas reconocidas directamente en patrimonio u otros resultados integrales.</w:t>
      </w:r>
    </w:p>
    <w:p w14:paraId="10C4051D" w14:textId="77777777" w:rsidR="00102F34" w:rsidRPr="00BF5C38" w:rsidRDefault="00102F34" w:rsidP="00382D37">
      <w:pPr>
        <w:jc w:val="both"/>
        <w:rPr>
          <w:b/>
          <w:bCs/>
          <w:snapToGrid w:val="0"/>
          <w:lang w:val="es-CR" w:eastAsia="es-ES" w:bidi="en-US"/>
        </w:rPr>
      </w:pPr>
      <w:r w:rsidRPr="00BF5C38">
        <w:rPr>
          <w:snapToGrid w:val="0"/>
          <w:lang w:val="es-CR" w:eastAsia="es-ES" w:bidi="en-US"/>
        </w:rPr>
        <w:t>L-3.39.1.</w:t>
      </w:r>
      <w:r w:rsidRPr="00BF5C38">
        <w:rPr>
          <w:snapToGrid w:val="0"/>
          <w:lang w:val="es-CR" w:eastAsia="es-ES" w:bidi="en-US"/>
        </w:rPr>
        <w:tab/>
        <w:t>El impuesto corriente incluye el impuesto esperado por pagar o por cobrar sobre la utilidad o la pérdida imponible del año y cualquier ajuste al impuesto por pagar o por cobrar relacionado con años anteriores.  Se mide usando las tasas impositivas que se hayan aprobado o cuyo proceso de aprobación esté prácticamente terminado a la fecha del Estado de Situación Financiera.</w:t>
      </w:r>
    </w:p>
    <w:p w14:paraId="4B04EB66" w14:textId="77777777" w:rsidR="00102F34" w:rsidRPr="00BF5C38" w:rsidRDefault="00102F34" w:rsidP="00382D37">
      <w:pPr>
        <w:jc w:val="both"/>
        <w:rPr>
          <w:b/>
          <w:bCs/>
          <w:snapToGrid w:val="0"/>
          <w:lang w:val="es-CR" w:eastAsia="es-ES" w:bidi="en-US"/>
        </w:rPr>
      </w:pPr>
      <w:r w:rsidRPr="00BF5C38">
        <w:rPr>
          <w:snapToGrid w:val="0"/>
          <w:lang w:val="es-CR" w:eastAsia="es-ES" w:bidi="en-US"/>
        </w:rPr>
        <w:t>L-3.39.2.</w:t>
      </w:r>
      <w:r w:rsidRPr="00BF5C38">
        <w:rPr>
          <w:snapToGrid w:val="0"/>
          <w:lang w:val="es-CR" w:eastAsia="es-ES" w:bidi="en-US"/>
        </w:rPr>
        <w:tab/>
        <w:t xml:space="preserve">Los impuestos diferidos son reconocidos por las diferencias temporales existentes entre el valor en libros de los activos y pasivos para propósitos de información financiera y los montos usados para propósitos impositivos. </w:t>
      </w:r>
    </w:p>
    <w:p w14:paraId="16C774EF" w14:textId="77777777" w:rsidR="00102F34" w:rsidRPr="00BF5C38" w:rsidRDefault="00102F34" w:rsidP="00382D37">
      <w:pPr>
        <w:jc w:val="both"/>
        <w:rPr>
          <w:b/>
          <w:bCs/>
          <w:snapToGrid w:val="0"/>
          <w:lang w:val="es-CR" w:eastAsia="es-ES" w:bidi="en-US"/>
        </w:rPr>
      </w:pPr>
      <w:r w:rsidRPr="00BF5C38">
        <w:rPr>
          <w:snapToGrid w:val="0"/>
          <w:lang w:val="es-CR" w:eastAsia="es-ES" w:bidi="en-US"/>
        </w:rPr>
        <w:t>L-3.39.3.</w:t>
      </w:r>
      <w:r w:rsidRPr="00BF5C38">
        <w:rPr>
          <w:snapToGrid w:val="0"/>
          <w:lang w:val="es-CR" w:eastAsia="es-ES" w:bidi="en-US"/>
        </w:rPr>
        <w:tab/>
        <w:t xml:space="preserve">Se reconocen activos por impuestos diferidos por las diferencias temporales deducibles, en la medida en que sea probable que existan ganancias imponibles futuras disponibles contra las que pueden ser utilizadas.  </w:t>
      </w:r>
    </w:p>
    <w:p w14:paraId="60A50B97" w14:textId="0C5BC9A2" w:rsidR="00367015" w:rsidRPr="00CB5A74" w:rsidRDefault="00102F34" w:rsidP="00607CB9">
      <w:pPr>
        <w:jc w:val="both"/>
        <w:rPr>
          <w:lang w:val="es-CR"/>
        </w:rPr>
      </w:pPr>
      <w:r w:rsidRPr="00BF5C38">
        <w:rPr>
          <w:snapToGrid w:val="0"/>
          <w:lang w:val="es-CR" w:eastAsia="es-ES" w:bidi="en-US"/>
        </w:rPr>
        <w:t>L-3.39.4.</w:t>
      </w:r>
      <w:r w:rsidRPr="00BF5C38">
        <w:rPr>
          <w:snapToGrid w:val="0"/>
          <w:lang w:val="es-CR" w:eastAsia="es-ES" w:bidi="en-US"/>
        </w:rPr>
        <w:tab/>
        <w:t>El impuesto diferido debe medirse empleando las tasas fiscales que se espera sean de aplicación a las diferencias temporales en el año en el que se reversen, usando tasas fiscales aprobadas o prácticamente aprobadas a la fecha del Estado de Situación Financiera.</w:t>
      </w:r>
    </w:p>
    <w:p w14:paraId="36BA79FF" w14:textId="77777777" w:rsidR="005B2AF5" w:rsidRPr="00FD33D9" w:rsidRDefault="005B2AF5" w:rsidP="00C31E6F">
      <w:pPr>
        <w:contextualSpacing/>
        <w:jc w:val="both"/>
        <w:rPr>
          <w:rFonts w:eastAsia="Calibri"/>
          <w:lang w:val="es-CR"/>
        </w:rPr>
      </w:pPr>
    </w:p>
    <w:p w14:paraId="5EF34337" w14:textId="77777777" w:rsidR="004279DB" w:rsidRDefault="004279DB" w:rsidP="00697738">
      <w:pPr>
        <w:autoSpaceDE w:val="0"/>
        <w:autoSpaceDN w:val="0"/>
        <w:spacing w:after="200" w:line="276" w:lineRule="auto"/>
        <w:ind w:right="520"/>
        <w:jc w:val="both"/>
        <w:rPr>
          <w:lang w:val="es-CR"/>
        </w:rPr>
      </w:pPr>
    </w:p>
    <w:p w14:paraId="5ABC3B77" w14:textId="77777777" w:rsidR="004279DB" w:rsidRDefault="004279DB" w:rsidP="00697738">
      <w:pPr>
        <w:autoSpaceDE w:val="0"/>
        <w:autoSpaceDN w:val="0"/>
        <w:spacing w:after="200" w:line="276" w:lineRule="auto"/>
        <w:ind w:right="520"/>
        <w:jc w:val="both"/>
        <w:rPr>
          <w:lang w:val="es-CR"/>
        </w:rPr>
      </w:pPr>
    </w:p>
    <w:p w14:paraId="32CF98E7" w14:textId="77777777" w:rsidR="00C03FDC" w:rsidRDefault="00C03FDC" w:rsidP="00697738">
      <w:pPr>
        <w:autoSpaceDE w:val="0"/>
        <w:autoSpaceDN w:val="0"/>
        <w:spacing w:after="200" w:line="276" w:lineRule="auto"/>
        <w:ind w:right="520"/>
        <w:jc w:val="both"/>
        <w:rPr>
          <w:lang w:val="es-CR"/>
        </w:rPr>
      </w:pPr>
    </w:p>
    <w:p w14:paraId="61299980" w14:textId="77777777" w:rsidR="00C03FDC" w:rsidRDefault="00C03FDC" w:rsidP="00697738">
      <w:pPr>
        <w:autoSpaceDE w:val="0"/>
        <w:autoSpaceDN w:val="0"/>
        <w:spacing w:after="200" w:line="276" w:lineRule="auto"/>
        <w:ind w:right="520"/>
        <w:jc w:val="both"/>
        <w:rPr>
          <w:lang w:val="es-CR"/>
        </w:rPr>
      </w:pPr>
    </w:p>
    <w:p w14:paraId="01AF6030" w14:textId="77777777" w:rsidR="00C91EDF" w:rsidRDefault="00C91EDF" w:rsidP="00697738">
      <w:pPr>
        <w:autoSpaceDE w:val="0"/>
        <w:autoSpaceDN w:val="0"/>
        <w:spacing w:after="200" w:line="276" w:lineRule="auto"/>
        <w:ind w:right="520"/>
        <w:jc w:val="both"/>
        <w:rPr>
          <w:lang w:val="es-CR"/>
        </w:rPr>
      </w:pPr>
    </w:p>
    <w:p w14:paraId="4ED3B67B" w14:textId="77777777" w:rsidR="004279DB" w:rsidRDefault="004279DB" w:rsidP="00697738">
      <w:pPr>
        <w:autoSpaceDE w:val="0"/>
        <w:autoSpaceDN w:val="0"/>
        <w:spacing w:after="200" w:line="276" w:lineRule="auto"/>
        <w:ind w:right="520"/>
        <w:jc w:val="both"/>
        <w:rPr>
          <w:lang w:val="es-CR"/>
        </w:rPr>
      </w:pPr>
    </w:p>
    <w:p w14:paraId="49CBECE3" w14:textId="77777777" w:rsidR="00697738" w:rsidRPr="005F3C2A" w:rsidRDefault="002538C1" w:rsidP="00697738">
      <w:pPr>
        <w:autoSpaceDE w:val="0"/>
        <w:autoSpaceDN w:val="0"/>
        <w:spacing w:after="200" w:line="276" w:lineRule="auto"/>
        <w:ind w:right="520"/>
        <w:jc w:val="both"/>
        <w:rPr>
          <w:lang w:val="es-CR"/>
        </w:rPr>
      </w:pPr>
      <w:r w:rsidRPr="005F3C2A">
        <w:rPr>
          <w:lang w:val="es-CR"/>
        </w:rPr>
        <w:t>S</w:t>
      </w:r>
      <w:r w:rsidR="00A76EEB" w:rsidRPr="005F3C2A">
        <w:rPr>
          <w:lang w:val="es-CR"/>
        </w:rPr>
        <w:t>eguidamente se present</w:t>
      </w:r>
      <w:r w:rsidR="00C41140">
        <w:rPr>
          <w:lang w:val="es-CR"/>
        </w:rPr>
        <w:t>a</w:t>
      </w:r>
      <w:r w:rsidR="00A76EEB" w:rsidRPr="005F3C2A">
        <w:rPr>
          <w:lang w:val="es-CR"/>
        </w:rPr>
        <w:t xml:space="preserve"> el detalle de los activos</w:t>
      </w:r>
      <w:r w:rsidR="009D7AC7" w:rsidRPr="005F3C2A">
        <w:rPr>
          <w:lang w:val="es-CR"/>
        </w:rPr>
        <w:t xml:space="preserve"> y pasivos en moneda extranjera:</w:t>
      </w:r>
    </w:p>
    <w:p w14:paraId="2F4BA47F" w14:textId="77777777" w:rsidR="009038C5" w:rsidRPr="00403D36" w:rsidRDefault="009038C5" w:rsidP="009436F9">
      <w:pPr>
        <w:jc w:val="center"/>
        <w:rPr>
          <w:b/>
          <w:sz w:val="22"/>
          <w:szCs w:val="22"/>
          <w:lang w:val="es-CR"/>
        </w:rPr>
      </w:pPr>
      <w:r w:rsidRPr="00403D36">
        <w:rPr>
          <w:b/>
          <w:sz w:val="22"/>
          <w:szCs w:val="22"/>
          <w:lang w:val="es-CR"/>
        </w:rPr>
        <w:t>Cuadro #</w:t>
      </w:r>
      <w:r w:rsidR="00604462" w:rsidRPr="00403D36">
        <w:rPr>
          <w:b/>
          <w:sz w:val="22"/>
          <w:szCs w:val="22"/>
          <w:lang w:val="es-CR"/>
        </w:rPr>
        <w:t>1</w:t>
      </w:r>
    </w:p>
    <w:p w14:paraId="03F2626C" w14:textId="77777777" w:rsidR="009038C5" w:rsidRDefault="009038C5" w:rsidP="00F069AC">
      <w:pPr>
        <w:autoSpaceDE w:val="0"/>
        <w:autoSpaceDN w:val="0"/>
        <w:ind w:right="520"/>
        <w:jc w:val="center"/>
        <w:rPr>
          <w:b/>
          <w:sz w:val="22"/>
          <w:szCs w:val="22"/>
          <w:lang w:val="es-CR"/>
        </w:rPr>
      </w:pPr>
      <w:r w:rsidRPr="00403D36">
        <w:rPr>
          <w:b/>
          <w:sz w:val="22"/>
          <w:szCs w:val="22"/>
          <w:lang w:val="es-CR"/>
        </w:rPr>
        <w:t>Detalle de los Activos en Moneda Extranjera</w:t>
      </w:r>
    </w:p>
    <w:p w14:paraId="02A93A91" w14:textId="69ED7C72" w:rsidR="00416389" w:rsidRDefault="00416389" w:rsidP="00F069AC">
      <w:pPr>
        <w:autoSpaceDE w:val="0"/>
        <w:autoSpaceDN w:val="0"/>
        <w:ind w:right="520"/>
        <w:jc w:val="center"/>
        <w:rPr>
          <w:b/>
          <w:sz w:val="22"/>
          <w:szCs w:val="22"/>
          <w:lang w:val="es-CR"/>
        </w:rPr>
      </w:pPr>
    </w:p>
    <w:p w14:paraId="04B68B40" w14:textId="500D0403" w:rsidR="000F5C20" w:rsidRPr="002C49C4" w:rsidRDefault="000F5C20" w:rsidP="00F72BFA">
      <w:pPr>
        <w:autoSpaceDE w:val="0"/>
        <w:autoSpaceDN w:val="0"/>
        <w:ind w:left="284" w:right="520"/>
        <w:jc w:val="right"/>
        <w:rPr>
          <w:b/>
          <w:sz w:val="22"/>
          <w:szCs w:val="22"/>
          <w:lang w:val="es-CR"/>
        </w:rPr>
      </w:pPr>
    </w:p>
    <w:p w14:paraId="6A08CAB3" w14:textId="0A042EE1" w:rsidR="00E85D23" w:rsidRPr="008433ED" w:rsidRDefault="00E85D23" w:rsidP="00EC16EB">
      <w:pPr>
        <w:ind w:left="-426" w:right="-286"/>
        <w:jc w:val="right"/>
        <w:rPr>
          <w:lang w:val="es-CR"/>
        </w:rPr>
      </w:pPr>
    </w:p>
    <w:p w14:paraId="6E55148F" w14:textId="38789310" w:rsidR="000F5C20" w:rsidRPr="00403D36" w:rsidRDefault="00E15211" w:rsidP="00E15211">
      <w:pPr>
        <w:ind w:left="142"/>
        <w:jc w:val="center"/>
        <w:rPr>
          <w:b/>
          <w:sz w:val="22"/>
          <w:szCs w:val="22"/>
          <w:lang w:val="es-CR"/>
        </w:rPr>
      </w:pPr>
      <w:r w:rsidRPr="00E15211">
        <w:rPr>
          <w:noProof/>
          <w:lang w:val="es-CR" w:eastAsia="es-CR"/>
        </w:rPr>
        <w:drawing>
          <wp:inline distT="0" distB="0" distL="0" distR="0" wp14:anchorId="136681D7" wp14:editId="098537BD">
            <wp:extent cx="6515100" cy="66103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15100" cy="6610350"/>
                    </a:xfrm>
                    <a:prstGeom prst="rect">
                      <a:avLst/>
                    </a:prstGeom>
                    <a:noFill/>
                    <a:ln>
                      <a:noFill/>
                    </a:ln>
                  </pic:spPr>
                </pic:pic>
              </a:graphicData>
            </a:graphic>
          </wp:inline>
        </w:drawing>
      </w:r>
      <w:r w:rsidR="009E0B44">
        <w:rPr>
          <w:b/>
          <w:bCs/>
          <w:color w:val="000000"/>
          <w:sz w:val="22"/>
          <w:szCs w:val="22"/>
          <w:u w:val="single"/>
          <w:lang w:val="es-CR"/>
        </w:rPr>
        <w:br w:type="page"/>
      </w:r>
      <w:r w:rsidR="00DF60A8" w:rsidRPr="00403D36">
        <w:rPr>
          <w:b/>
          <w:bCs/>
          <w:color w:val="000000"/>
          <w:sz w:val="22"/>
          <w:szCs w:val="22"/>
          <w:lang w:val="es-CR"/>
        </w:rPr>
        <w:t xml:space="preserve">Continuación </w:t>
      </w:r>
      <w:r w:rsidR="000F5C20" w:rsidRPr="00403D36">
        <w:rPr>
          <w:b/>
          <w:sz w:val="22"/>
          <w:szCs w:val="22"/>
          <w:lang w:val="es-CR"/>
        </w:rPr>
        <w:t>Cuadro #</w:t>
      </w:r>
      <w:r w:rsidR="00604462" w:rsidRPr="00403D36">
        <w:rPr>
          <w:b/>
          <w:sz w:val="22"/>
          <w:szCs w:val="22"/>
          <w:lang w:val="es-CR"/>
        </w:rPr>
        <w:t>2</w:t>
      </w:r>
    </w:p>
    <w:p w14:paraId="5102A27E" w14:textId="77777777" w:rsidR="000F5C20" w:rsidRDefault="000F5C20" w:rsidP="00386A44">
      <w:pPr>
        <w:autoSpaceDE w:val="0"/>
        <w:autoSpaceDN w:val="0"/>
        <w:ind w:right="520"/>
        <w:jc w:val="center"/>
        <w:rPr>
          <w:b/>
          <w:sz w:val="22"/>
          <w:szCs w:val="22"/>
          <w:lang w:val="es-CR"/>
        </w:rPr>
      </w:pPr>
      <w:r w:rsidRPr="00403D36">
        <w:rPr>
          <w:b/>
          <w:sz w:val="22"/>
          <w:szCs w:val="22"/>
          <w:lang w:val="es-CR"/>
        </w:rPr>
        <w:t>Detalle de los Activos en Moneda Extranjera</w:t>
      </w:r>
    </w:p>
    <w:p w14:paraId="0BE0F37A" w14:textId="77777777" w:rsidR="00E15211" w:rsidRDefault="00E15211" w:rsidP="00386A44">
      <w:pPr>
        <w:autoSpaceDE w:val="0"/>
        <w:autoSpaceDN w:val="0"/>
        <w:ind w:right="520"/>
        <w:jc w:val="center"/>
        <w:rPr>
          <w:b/>
          <w:sz w:val="22"/>
          <w:szCs w:val="22"/>
          <w:lang w:val="es-CR"/>
        </w:rPr>
      </w:pPr>
    </w:p>
    <w:p w14:paraId="015643DD" w14:textId="11DEED96" w:rsidR="00E15211" w:rsidRDefault="00E15211" w:rsidP="00386A44">
      <w:pPr>
        <w:autoSpaceDE w:val="0"/>
        <w:autoSpaceDN w:val="0"/>
        <w:ind w:right="520"/>
        <w:jc w:val="center"/>
        <w:rPr>
          <w:b/>
          <w:sz w:val="22"/>
          <w:szCs w:val="22"/>
          <w:lang w:val="es-CR"/>
        </w:rPr>
      </w:pPr>
      <w:r w:rsidRPr="00E15211">
        <w:rPr>
          <w:noProof/>
          <w:lang w:val="es-CR" w:eastAsia="es-CR"/>
        </w:rPr>
        <w:drawing>
          <wp:inline distT="0" distB="0" distL="0" distR="0" wp14:anchorId="53332496" wp14:editId="41019BE7">
            <wp:extent cx="6524625" cy="7676609"/>
            <wp:effectExtent l="0" t="0" r="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536469" cy="7690544"/>
                    </a:xfrm>
                    <a:prstGeom prst="rect">
                      <a:avLst/>
                    </a:prstGeom>
                    <a:noFill/>
                    <a:ln>
                      <a:noFill/>
                    </a:ln>
                  </pic:spPr>
                </pic:pic>
              </a:graphicData>
            </a:graphic>
          </wp:inline>
        </w:drawing>
      </w:r>
    </w:p>
    <w:p w14:paraId="23836A2F" w14:textId="3B67BA91" w:rsidR="009B2724" w:rsidRDefault="009B2724">
      <w:pPr>
        <w:rPr>
          <w:b/>
          <w:sz w:val="22"/>
          <w:szCs w:val="22"/>
          <w:lang w:val="es-CR"/>
        </w:rPr>
      </w:pPr>
    </w:p>
    <w:p w14:paraId="6244B598" w14:textId="77777777" w:rsidR="000F5C20" w:rsidRPr="00403D36" w:rsidRDefault="000F5C20" w:rsidP="000F5C20">
      <w:pPr>
        <w:jc w:val="center"/>
        <w:rPr>
          <w:b/>
          <w:sz w:val="22"/>
          <w:szCs w:val="22"/>
          <w:lang w:val="es-CR"/>
        </w:rPr>
      </w:pPr>
      <w:r w:rsidRPr="00403D36">
        <w:rPr>
          <w:b/>
          <w:sz w:val="22"/>
          <w:szCs w:val="22"/>
          <w:lang w:val="es-CR"/>
        </w:rPr>
        <w:t>Cuadro #</w:t>
      </w:r>
      <w:r w:rsidR="00604462" w:rsidRPr="00403D36">
        <w:rPr>
          <w:b/>
          <w:sz w:val="22"/>
          <w:szCs w:val="22"/>
          <w:lang w:val="es-CR"/>
        </w:rPr>
        <w:t>3</w:t>
      </w:r>
    </w:p>
    <w:p w14:paraId="00F764C2" w14:textId="77777777" w:rsidR="00F069AC" w:rsidRPr="002C49C4" w:rsidRDefault="00F069AC" w:rsidP="002B2375">
      <w:pPr>
        <w:jc w:val="center"/>
        <w:rPr>
          <w:b/>
          <w:sz w:val="22"/>
          <w:szCs w:val="22"/>
          <w:lang w:val="es-CR"/>
        </w:rPr>
      </w:pPr>
      <w:r w:rsidRPr="00403D36">
        <w:rPr>
          <w:b/>
          <w:sz w:val="22"/>
          <w:szCs w:val="22"/>
          <w:lang w:val="es-CR"/>
        </w:rPr>
        <w:t xml:space="preserve">Detalle de los </w:t>
      </w:r>
      <w:r w:rsidR="00A10E56" w:rsidRPr="00403D36">
        <w:rPr>
          <w:b/>
          <w:sz w:val="22"/>
          <w:szCs w:val="22"/>
          <w:lang w:val="es-CR"/>
        </w:rPr>
        <w:t>Pasivos</w:t>
      </w:r>
      <w:r w:rsidRPr="00403D36">
        <w:rPr>
          <w:b/>
          <w:sz w:val="22"/>
          <w:szCs w:val="22"/>
          <w:lang w:val="es-CR"/>
        </w:rPr>
        <w:t xml:space="preserve"> en Moneda Extranjera</w:t>
      </w:r>
    </w:p>
    <w:p w14:paraId="2DE12677" w14:textId="77777777" w:rsidR="00811D6A" w:rsidRPr="00F069AC" w:rsidRDefault="00811D6A" w:rsidP="00C82E3B">
      <w:pPr>
        <w:jc w:val="both"/>
        <w:rPr>
          <w:lang w:val="es-CR"/>
        </w:rPr>
      </w:pPr>
    </w:p>
    <w:p w14:paraId="318D81B8" w14:textId="295F3EF8" w:rsidR="00AC713F" w:rsidRDefault="00E15211" w:rsidP="00F72BFA">
      <w:pPr>
        <w:ind w:left="426"/>
        <w:jc w:val="both"/>
        <w:rPr>
          <w:lang w:val="es-ES"/>
        </w:rPr>
      </w:pPr>
      <w:r w:rsidRPr="00E15211">
        <w:rPr>
          <w:noProof/>
          <w:lang w:val="es-CR" w:eastAsia="es-CR"/>
        </w:rPr>
        <w:drawing>
          <wp:inline distT="0" distB="0" distL="0" distR="0" wp14:anchorId="7E4DD482" wp14:editId="3F3E0DEE">
            <wp:extent cx="6208395" cy="6038850"/>
            <wp:effectExtent l="0" t="0" r="190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09420" cy="6039847"/>
                    </a:xfrm>
                    <a:prstGeom prst="rect">
                      <a:avLst/>
                    </a:prstGeom>
                    <a:noFill/>
                    <a:ln>
                      <a:noFill/>
                    </a:ln>
                  </pic:spPr>
                </pic:pic>
              </a:graphicData>
            </a:graphic>
          </wp:inline>
        </w:drawing>
      </w:r>
    </w:p>
    <w:p w14:paraId="1CB630B2" w14:textId="77777777" w:rsidR="00AC713F" w:rsidRDefault="00AC713F" w:rsidP="009E0B44">
      <w:pPr>
        <w:jc w:val="center"/>
        <w:rPr>
          <w:lang w:val="es-ES"/>
        </w:rPr>
      </w:pPr>
    </w:p>
    <w:p w14:paraId="32A3D3D0" w14:textId="77777777" w:rsidR="00A471F7" w:rsidRPr="00F53244" w:rsidRDefault="00A471F7" w:rsidP="00A471F7">
      <w:pPr>
        <w:pStyle w:val="Ttulo1"/>
        <w:jc w:val="both"/>
        <w:rPr>
          <w:rFonts w:ascii="Times New Roman" w:hAnsi="Times New Roman" w:cs="Times New Roman"/>
          <w:color w:val="000099"/>
          <w:sz w:val="24"/>
          <w:szCs w:val="24"/>
          <w:lang w:val="es-CR"/>
        </w:rPr>
      </w:pPr>
      <w:bookmarkStart w:id="87" w:name="_Toc486408036"/>
      <w:r>
        <w:rPr>
          <w:rFonts w:ascii="Times New Roman" w:hAnsi="Times New Roman" w:cs="Times New Roman"/>
          <w:color w:val="000099"/>
          <w:sz w:val="24"/>
          <w:szCs w:val="24"/>
          <w:lang w:val="es-CR"/>
        </w:rPr>
        <w:t>Composición del resultado del período</w:t>
      </w:r>
      <w:bookmarkEnd w:id="87"/>
    </w:p>
    <w:p w14:paraId="0DC88A20" w14:textId="6BA18632" w:rsidR="00D75333" w:rsidRDefault="00A471F7" w:rsidP="00A471F7">
      <w:pPr>
        <w:jc w:val="both"/>
        <w:rPr>
          <w:rFonts w:eastAsia="Calibri"/>
          <w:lang w:val="es-CR"/>
        </w:rPr>
      </w:pPr>
      <w:r>
        <w:rPr>
          <w:rFonts w:eastAsia="Calibri"/>
          <w:lang w:val="es-CR"/>
        </w:rPr>
        <w:t>De acuerdo con los artículos 11 y 14 de la Ley Nº7558 (Ley Orgánica del Banco Central de Costa Rica), seguidamente se presenta la composición del resultado del período</w:t>
      </w:r>
      <w:r w:rsidR="0020502E">
        <w:rPr>
          <w:rStyle w:val="Refdenotaalpie"/>
          <w:rFonts w:eastAsia="Calibri"/>
          <w:lang w:val="es-CR"/>
        </w:rPr>
        <w:footnoteReference w:id="2"/>
      </w:r>
      <w:r>
        <w:rPr>
          <w:rFonts w:eastAsia="Calibri"/>
          <w:lang w:val="es-CR"/>
        </w:rPr>
        <w:t>, según su naturaleza.</w:t>
      </w:r>
    </w:p>
    <w:p w14:paraId="2845ADB2" w14:textId="77777777" w:rsidR="002B2375" w:rsidRPr="00403D36" w:rsidRDefault="002B2375" w:rsidP="002B2375">
      <w:pPr>
        <w:jc w:val="center"/>
        <w:rPr>
          <w:b/>
          <w:sz w:val="22"/>
          <w:szCs w:val="22"/>
          <w:lang w:val="es-CR"/>
        </w:rPr>
      </w:pPr>
      <w:r w:rsidRPr="00403D36">
        <w:rPr>
          <w:b/>
          <w:sz w:val="22"/>
          <w:szCs w:val="22"/>
          <w:lang w:val="es-CR"/>
        </w:rPr>
        <w:t>Cuadro #4</w:t>
      </w:r>
    </w:p>
    <w:p w14:paraId="12E705CD" w14:textId="10E86BD2" w:rsidR="00D75333" w:rsidRPr="007572D0" w:rsidRDefault="00856BF9" w:rsidP="002B2375">
      <w:pPr>
        <w:jc w:val="center"/>
        <w:rPr>
          <w:b/>
          <w:sz w:val="22"/>
          <w:szCs w:val="22"/>
          <w:lang w:val="es-CR"/>
        </w:rPr>
      </w:pPr>
      <w:r w:rsidRPr="00403D36">
        <w:rPr>
          <w:b/>
          <w:sz w:val="22"/>
          <w:szCs w:val="22"/>
          <w:lang w:val="es-CR"/>
        </w:rPr>
        <w:t xml:space="preserve">Desglose del resultado del </w:t>
      </w:r>
      <w:r w:rsidR="00A8571D" w:rsidRPr="00403D36">
        <w:rPr>
          <w:b/>
          <w:sz w:val="22"/>
          <w:szCs w:val="22"/>
          <w:lang w:val="es-CR"/>
        </w:rPr>
        <w:t>período</w:t>
      </w:r>
      <w:r w:rsidRPr="00403D36">
        <w:rPr>
          <w:b/>
          <w:sz w:val="22"/>
          <w:szCs w:val="22"/>
          <w:lang w:val="es-CR"/>
        </w:rPr>
        <w:t xml:space="preserve"> según naturaleza</w:t>
      </w:r>
    </w:p>
    <w:p w14:paraId="660F6BF0" w14:textId="333F3ABE" w:rsidR="00856BF9" w:rsidRDefault="00856BF9" w:rsidP="002B2375">
      <w:pPr>
        <w:jc w:val="center"/>
        <w:rPr>
          <w:rFonts w:eastAsia="Calibri"/>
          <w:b/>
          <w:sz w:val="18"/>
          <w:szCs w:val="18"/>
          <w:lang w:val="es-CR"/>
        </w:rPr>
      </w:pPr>
      <w:r w:rsidRPr="007572D0">
        <w:rPr>
          <w:rFonts w:eastAsia="Calibri"/>
          <w:b/>
          <w:sz w:val="18"/>
          <w:szCs w:val="18"/>
          <w:lang w:val="es-CR"/>
        </w:rPr>
        <w:t>Cifras en colones</w:t>
      </w:r>
    </w:p>
    <w:p w14:paraId="425AF970" w14:textId="189DCF27" w:rsidR="00C91EDF" w:rsidRDefault="00684368" w:rsidP="008C33EE">
      <w:pPr>
        <w:ind w:left="709"/>
        <w:rPr>
          <w:b/>
          <w:bCs/>
          <w:color w:val="000099"/>
          <w:kern w:val="32"/>
          <w:lang w:val="es-CR"/>
        </w:rPr>
      </w:pPr>
      <w:bookmarkStart w:id="88" w:name="_Toc465867898"/>
      <w:r w:rsidRPr="00684368">
        <w:rPr>
          <w:noProof/>
          <w:lang w:val="es-CR" w:eastAsia="es-CR"/>
        </w:rPr>
        <w:drawing>
          <wp:inline distT="0" distB="0" distL="0" distR="0" wp14:anchorId="1F22ADFE" wp14:editId="27019AD8">
            <wp:extent cx="5960745" cy="1708030"/>
            <wp:effectExtent l="0" t="0" r="1905"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84431" cy="1714817"/>
                    </a:xfrm>
                    <a:prstGeom prst="rect">
                      <a:avLst/>
                    </a:prstGeom>
                    <a:noFill/>
                    <a:ln>
                      <a:noFill/>
                    </a:ln>
                  </pic:spPr>
                </pic:pic>
              </a:graphicData>
            </a:graphic>
          </wp:inline>
        </w:drawing>
      </w:r>
      <w:r w:rsidR="00C91EDF">
        <w:rPr>
          <w:color w:val="000099"/>
          <w:lang w:val="es-CR"/>
        </w:rPr>
        <w:br w:type="page"/>
      </w:r>
    </w:p>
    <w:p w14:paraId="2A86BD5F" w14:textId="5930DB54" w:rsidR="00036969" w:rsidRPr="00F53244" w:rsidRDefault="00036969" w:rsidP="00036969">
      <w:pPr>
        <w:pStyle w:val="Ttulo1"/>
        <w:jc w:val="both"/>
        <w:rPr>
          <w:rFonts w:ascii="Times New Roman" w:hAnsi="Times New Roman" w:cs="Times New Roman"/>
          <w:color w:val="000099"/>
          <w:sz w:val="24"/>
          <w:szCs w:val="24"/>
          <w:lang w:val="es-CR"/>
        </w:rPr>
      </w:pPr>
      <w:bookmarkStart w:id="89" w:name="_Toc486408037"/>
      <w:r>
        <w:rPr>
          <w:rFonts w:ascii="Times New Roman" w:hAnsi="Times New Roman" w:cs="Times New Roman"/>
          <w:color w:val="000099"/>
          <w:sz w:val="24"/>
          <w:szCs w:val="24"/>
          <w:lang w:val="es-CR"/>
        </w:rPr>
        <w:t>Otra información relevante</w:t>
      </w:r>
      <w:bookmarkEnd w:id="88"/>
      <w:bookmarkEnd w:id="89"/>
    </w:p>
    <w:p w14:paraId="0E1B9FE2" w14:textId="77777777" w:rsidR="00036969" w:rsidRDefault="00036969" w:rsidP="00036969">
      <w:pPr>
        <w:jc w:val="both"/>
        <w:rPr>
          <w:rFonts w:eastAsia="Calibri"/>
          <w:lang w:val="es-CR"/>
        </w:rPr>
      </w:pPr>
      <w:r>
        <w:rPr>
          <w:rFonts w:eastAsia="Calibri"/>
          <w:lang w:val="es-CR"/>
        </w:rPr>
        <w:t>Seguidamente se presenta el detalle de la partida de depósitos monetarios, clasificada según sector.</w:t>
      </w:r>
    </w:p>
    <w:p w14:paraId="20DE1215" w14:textId="77777777" w:rsidR="0011670C" w:rsidRDefault="0011670C" w:rsidP="00967135">
      <w:pPr>
        <w:jc w:val="both"/>
        <w:rPr>
          <w:rFonts w:eastAsia="Calibri"/>
          <w:lang w:val="es-CR"/>
        </w:rPr>
      </w:pPr>
    </w:p>
    <w:p w14:paraId="026868BA" w14:textId="77777777" w:rsidR="0011670C" w:rsidRDefault="0011670C" w:rsidP="00967135">
      <w:pPr>
        <w:jc w:val="both"/>
        <w:rPr>
          <w:rFonts w:eastAsia="Calibri"/>
          <w:lang w:val="es-CR"/>
        </w:rPr>
      </w:pPr>
    </w:p>
    <w:p w14:paraId="18AF8238" w14:textId="77777777" w:rsidR="00F72BFA" w:rsidRDefault="00F72BFA" w:rsidP="00967135">
      <w:pPr>
        <w:jc w:val="both"/>
        <w:rPr>
          <w:rFonts w:eastAsia="Calibri"/>
          <w:lang w:val="es-CR"/>
        </w:rPr>
      </w:pPr>
    </w:p>
    <w:p w14:paraId="40205A5A" w14:textId="7EBBDDDA" w:rsidR="00CE6D7A" w:rsidRPr="00403D36" w:rsidRDefault="00CE6D7A" w:rsidP="00CE6D7A">
      <w:pPr>
        <w:jc w:val="center"/>
        <w:rPr>
          <w:b/>
          <w:sz w:val="22"/>
          <w:szCs w:val="22"/>
          <w:lang w:val="es-CR"/>
        </w:rPr>
      </w:pPr>
      <w:r w:rsidRPr="00403D36">
        <w:rPr>
          <w:b/>
          <w:sz w:val="22"/>
          <w:szCs w:val="22"/>
          <w:lang w:val="es-CR"/>
        </w:rPr>
        <w:t>Cuadro #5</w:t>
      </w:r>
    </w:p>
    <w:p w14:paraId="58DF99C5" w14:textId="0EE488E0" w:rsidR="00967135" w:rsidRPr="00403D36" w:rsidRDefault="00CE6D7A" w:rsidP="00312489">
      <w:pPr>
        <w:autoSpaceDE w:val="0"/>
        <w:autoSpaceDN w:val="0"/>
        <w:ind w:right="520"/>
        <w:jc w:val="center"/>
        <w:rPr>
          <w:rFonts w:eastAsia="Calibri"/>
          <w:lang w:val="es-CR"/>
        </w:rPr>
      </w:pPr>
      <w:r w:rsidRPr="00403D36">
        <w:rPr>
          <w:b/>
          <w:sz w:val="22"/>
          <w:szCs w:val="22"/>
          <w:lang w:val="es-CR"/>
        </w:rPr>
        <w:t>Detalle de los Depósitos Monetarios en Moneda Nacional y Extranjera</w:t>
      </w:r>
    </w:p>
    <w:p w14:paraId="6E960DAA" w14:textId="7174D323" w:rsidR="00967135" w:rsidRDefault="00856BF9" w:rsidP="00856BF9">
      <w:pPr>
        <w:jc w:val="center"/>
        <w:rPr>
          <w:rFonts w:eastAsia="Calibri"/>
          <w:b/>
          <w:sz w:val="18"/>
          <w:szCs w:val="18"/>
          <w:lang w:val="es-CR"/>
        </w:rPr>
      </w:pPr>
      <w:r w:rsidRPr="00403D36">
        <w:rPr>
          <w:rFonts w:eastAsia="Calibri"/>
          <w:b/>
          <w:sz w:val="18"/>
          <w:szCs w:val="18"/>
          <w:lang w:val="es-CR"/>
        </w:rPr>
        <w:t>Cifras en colones</w:t>
      </w:r>
    </w:p>
    <w:p w14:paraId="5BBCB4E6" w14:textId="77777777" w:rsidR="00856BF9" w:rsidRDefault="00856BF9" w:rsidP="00856BF9">
      <w:pPr>
        <w:jc w:val="center"/>
        <w:rPr>
          <w:rFonts w:eastAsia="Calibri"/>
          <w:b/>
          <w:sz w:val="18"/>
          <w:szCs w:val="18"/>
          <w:lang w:val="es-CR"/>
        </w:rPr>
      </w:pPr>
    </w:p>
    <w:p w14:paraId="256AE195" w14:textId="77777777" w:rsidR="00F72BFA" w:rsidRPr="00856BF9" w:rsidRDefault="00F72BFA" w:rsidP="00856BF9">
      <w:pPr>
        <w:jc w:val="center"/>
        <w:rPr>
          <w:rFonts w:eastAsia="Calibri"/>
          <w:b/>
          <w:sz w:val="18"/>
          <w:szCs w:val="18"/>
          <w:lang w:val="es-CR"/>
        </w:rPr>
      </w:pPr>
    </w:p>
    <w:p w14:paraId="6FC70AE1" w14:textId="077DF1DC" w:rsidR="00967135" w:rsidRDefault="00E15211" w:rsidP="00161FA0">
      <w:pPr>
        <w:ind w:left="142"/>
        <w:jc w:val="right"/>
        <w:rPr>
          <w:rFonts w:eastAsia="Calibri"/>
          <w:lang w:val="es-CR"/>
        </w:rPr>
      </w:pPr>
      <w:r w:rsidRPr="00E15211">
        <w:rPr>
          <w:rFonts w:eastAsia="Calibri"/>
          <w:noProof/>
          <w:lang w:val="es-CR" w:eastAsia="es-CR"/>
        </w:rPr>
        <w:drawing>
          <wp:inline distT="0" distB="0" distL="0" distR="0" wp14:anchorId="6A0B8962" wp14:editId="4DB9D3A8">
            <wp:extent cx="6429375" cy="4809767"/>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40615" cy="4818175"/>
                    </a:xfrm>
                    <a:prstGeom prst="rect">
                      <a:avLst/>
                    </a:prstGeom>
                    <a:noFill/>
                    <a:ln>
                      <a:noFill/>
                    </a:ln>
                  </pic:spPr>
                </pic:pic>
              </a:graphicData>
            </a:graphic>
          </wp:inline>
        </w:drawing>
      </w:r>
    </w:p>
    <w:sectPr w:rsidR="00967135" w:rsidSect="00482DAE">
      <w:headerReference w:type="even" r:id="rId24"/>
      <w:headerReference w:type="default" r:id="rId25"/>
      <w:footerReference w:type="default" r:id="rId26"/>
      <w:headerReference w:type="first" r:id="rId27"/>
      <w:pgSz w:w="12240" w:h="15840" w:code="1"/>
      <w:pgMar w:top="1588" w:right="1469" w:bottom="1276" w:left="993"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5D97B" w14:textId="77777777" w:rsidR="005072DB" w:rsidRDefault="005072DB">
      <w:r>
        <w:separator/>
      </w:r>
    </w:p>
  </w:endnote>
  <w:endnote w:type="continuationSeparator" w:id="0">
    <w:p w14:paraId="17FCBC24" w14:textId="77777777" w:rsidR="005072DB" w:rsidRDefault="005072DB">
      <w:r>
        <w:continuationSeparator/>
      </w:r>
    </w:p>
  </w:endnote>
  <w:endnote w:type="continuationNotice" w:id="1">
    <w:p w14:paraId="53158F83" w14:textId="77777777" w:rsidR="005072DB" w:rsidRDefault="00507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72F34" w14:textId="77777777" w:rsidR="00412C65" w:rsidRDefault="00412C65" w:rsidP="00E06A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4AAED1" w14:textId="77777777" w:rsidR="00412C65" w:rsidRDefault="00412C65" w:rsidP="00E06A7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A3EF4" w14:textId="77777777" w:rsidR="00412C65" w:rsidRDefault="00412C65" w:rsidP="00A30E3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8DE0BF" w14:textId="77777777" w:rsidR="00412C65" w:rsidRDefault="00412C65" w:rsidP="003F2478">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34F69" w14:textId="16C61902" w:rsidR="00412C65" w:rsidRPr="000A0CE9" w:rsidRDefault="00412C65" w:rsidP="000A0CE9">
    <w:pPr>
      <w:pStyle w:val="Piedepgina"/>
      <w:ind w:right="360"/>
      <w:jc w:val="center"/>
      <w:rPr>
        <w:b/>
        <w:lang w:val="es-ES"/>
      </w:rPr>
    </w:pPr>
    <w:r w:rsidRPr="000A0CE9">
      <w:rPr>
        <w:b/>
        <w:lang w:val="es-ES"/>
      </w:rPr>
      <w:t xml:space="preserve">Notas </w:t>
    </w:r>
    <w:r>
      <w:rPr>
        <w:b/>
        <w:lang w:val="es-ES"/>
      </w:rPr>
      <w:t>c</w:t>
    </w:r>
    <w:r w:rsidRPr="000A0CE9">
      <w:rPr>
        <w:b/>
        <w:lang w:val="es-ES"/>
      </w:rPr>
      <w:t>omplementa</w:t>
    </w:r>
    <w:r>
      <w:rPr>
        <w:b/>
        <w:lang w:val="es-ES"/>
      </w:rPr>
      <w:t xml:space="preserve">rias correspondientes al mes de </w:t>
    </w:r>
    <w:r w:rsidR="003C42E1">
      <w:rPr>
        <w:b/>
        <w:lang w:val="es-ES"/>
      </w:rPr>
      <w:t>Mayo</w:t>
    </w:r>
    <w:r w:rsidR="00DD0E99">
      <w:rPr>
        <w:b/>
        <w:lang w:val="es-ES"/>
      </w:rPr>
      <w:t xml:space="preserve"> </w:t>
    </w:r>
    <w:r w:rsidR="00DD05F9">
      <w:rPr>
        <w:b/>
        <w:lang w:val="es-ES"/>
      </w:rPr>
      <w:t>2017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116DC" w14:textId="77777777" w:rsidR="00412C65" w:rsidRPr="000A0CE9" w:rsidRDefault="00412C65" w:rsidP="00A30E31">
    <w:pPr>
      <w:pStyle w:val="Piedepgina"/>
      <w:framePr w:wrap="around" w:vAnchor="text" w:hAnchor="margin" w:xAlign="right" w:y="1"/>
      <w:rPr>
        <w:rStyle w:val="Nmerodepgina"/>
        <w:lang w:val="es-ES"/>
      </w:rPr>
    </w:pPr>
    <w:r w:rsidRPr="00870EE4">
      <w:rPr>
        <w:rStyle w:val="Nmerodepgina"/>
        <w:lang w:val="es-ES"/>
      </w:rPr>
      <w:t xml:space="preserve">Página </w:t>
    </w:r>
    <w:r>
      <w:rPr>
        <w:rStyle w:val="Nmerodepgina"/>
      </w:rPr>
      <w:fldChar w:fldCharType="begin"/>
    </w:r>
    <w:r w:rsidRPr="00870EE4">
      <w:rPr>
        <w:rStyle w:val="Nmerodepgina"/>
        <w:lang w:val="es-ES"/>
      </w:rPr>
      <w:instrText xml:space="preserve">PAGE  </w:instrText>
    </w:r>
    <w:r>
      <w:rPr>
        <w:rStyle w:val="Nmerodepgina"/>
      </w:rPr>
      <w:fldChar w:fldCharType="separate"/>
    </w:r>
    <w:r w:rsidR="006907A8">
      <w:rPr>
        <w:rStyle w:val="Nmerodepgina"/>
        <w:noProof/>
        <w:lang w:val="es-ES"/>
      </w:rPr>
      <w:t>14</w:t>
    </w:r>
    <w:r>
      <w:rPr>
        <w:rStyle w:val="Nmerodepgina"/>
      </w:rPr>
      <w:fldChar w:fldCharType="end"/>
    </w:r>
  </w:p>
  <w:p w14:paraId="4B36E3D8" w14:textId="75D90D02" w:rsidR="00412C65" w:rsidRDefault="00412C65" w:rsidP="00090047">
    <w:pPr>
      <w:pStyle w:val="Piedepgina"/>
      <w:ind w:right="360"/>
      <w:jc w:val="center"/>
      <w:rPr>
        <w:b/>
        <w:lang w:val="es-ES"/>
      </w:rPr>
    </w:pPr>
    <w:r w:rsidRPr="000A0CE9">
      <w:rPr>
        <w:b/>
        <w:lang w:val="es-ES"/>
      </w:rPr>
      <w:t xml:space="preserve">Notas </w:t>
    </w:r>
    <w:r>
      <w:rPr>
        <w:b/>
        <w:lang w:val="es-ES"/>
      </w:rPr>
      <w:t>c</w:t>
    </w:r>
    <w:r w:rsidRPr="000A0CE9">
      <w:rPr>
        <w:b/>
        <w:lang w:val="es-ES"/>
      </w:rPr>
      <w:t>omplementa</w:t>
    </w:r>
    <w:r>
      <w:rPr>
        <w:b/>
        <w:lang w:val="es-ES"/>
      </w:rPr>
      <w:t xml:space="preserve">rias correspondientes al mes de </w:t>
    </w:r>
    <w:r w:rsidR="003C42E1">
      <w:rPr>
        <w:b/>
        <w:lang w:val="es-ES"/>
      </w:rPr>
      <w:t>Mayo</w:t>
    </w:r>
    <w:r w:rsidR="00DD0E99">
      <w:rPr>
        <w:b/>
        <w:lang w:val="es-ES"/>
      </w:rPr>
      <w:t xml:space="preserve"> </w:t>
    </w:r>
    <w:r w:rsidR="00DD05F9">
      <w:rPr>
        <w:b/>
        <w:lang w:val="es-ES"/>
      </w:rPr>
      <w:t>2017</w:t>
    </w:r>
  </w:p>
  <w:p w14:paraId="13CFB1DC" w14:textId="77777777" w:rsidR="00412C65" w:rsidRPr="000A0CE9" w:rsidRDefault="00412C65" w:rsidP="000A0CE9">
    <w:pPr>
      <w:pStyle w:val="Piedepgina"/>
      <w:ind w:right="360"/>
      <w:jc w:val="center"/>
      <w:rPr>
        <w:b/>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A5F121" w14:textId="77777777" w:rsidR="005072DB" w:rsidRDefault="005072DB">
      <w:r>
        <w:separator/>
      </w:r>
    </w:p>
  </w:footnote>
  <w:footnote w:type="continuationSeparator" w:id="0">
    <w:p w14:paraId="7137BB79" w14:textId="77777777" w:rsidR="005072DB" w:rsidRDefault="005072DB">
      <w:r>
        <w:continuationSeparator/>
      </w:r>
    </w:p>
  </w:footnote>
  <w:footnote w:type="continuationNotice" w:id="1">
    <w:p w14:paraId="2333A429" w14:textId="77777777" w:rsidR="005072DB" w:rsidRDefault="005072DB"/>
  </w:footnote>
  <w:footnote w:id="2">
    <w:p w14:paraId="2EA62B8B" w14:textId="120ED07C" w:rsidR="0020502E" w:rsidRPr="0020502E" w:rsidRDefault="0020502E">
      <w:pPr>
        <w:pStyle w:val="Textonotapie"/>
        <w:rPr>
          <w:lang w:val="es-CR"/>
        </w:rPr>
      </w:pPr>
      <w:r>
        <w:rPr>
          <w:rStyle w:val="Refdenotaalpie"/>
        </w:rPr>
        <w:footnoteRef/>
      </w:r>
      <w:r w:rsidRPr="0020502E">
        <w:rPr>
          <w:lang w:val="es-CR"/>
        </w:rPr>
        <w:t xml:space="preserve"> </w:t>
      </w:r>
      <w:r w:rsidRPr="0020502E">
        <w:rPr>
          <w:rFonts w:ascii="Arial" w:hAnsi="Arial" w:cs="Arial"/>
          <w:color w:val="000000"/>
          <w:sz w:val="14"/>
          <w:szCs w:val="14"/>
          <w:shd w:val="clear" w:color="auto" w:fill="FFFFFF"/>
          <w:lang w:val="es-CR"/>
        </w:rPr>
        <w:t>L</w:t>
      </w:r>
      <w:r>
        <w:rPr>
          <w:rFonts w:ascii="Arial" w:hAnsi="Arial" w:cs="Arial"/>
          <w:color w:val="000000"/>
          <w:sz w:val="14"/>
          <w:szCs w:val="14"/>
          <w:shd w:val="clear" w:color="auto" w:fill="FFFFFF"/>
          <w:lang w:val="es-CR"/>
        </w:rPr>
        <w:t xml:space="preserve">os gastos de estabilización monetaria son calificados y aprobados por el </w:t>
      </w:r>
      <w:r w:rsidRPr="0020502E">
        <w:rPr>
          <w:rFonts w:ascii="Arial" w:hAnsi="Arial" w:cs="Arial"/>
          <w:color w:val="000000"/>
          <w:sz w:val="14"/>
          <w:szCs w:val="14"/>
          <w:shd w:val="clear" w:color="auto" w:fill="FFFFFF"/>
          <w:lang w:val="es-CR"/>
        </w:rPr>
        <w:t>A</w:t>
      </w:r>
      <w:r>
        <w:rPr>
          <w:rFonts w:ascii="Arial" w:hAnsi="Arial" w:cs="Arial"/>
          <w:color w:val="000000"/>
          <w:sz w:val="14"/>
          <w:szCs w:val="14"/>
          <w:shd w:val="clear" w:color="auto" w:fill="FFFFFF"/>
          <w:lang w:val="es-CR"/>
        </w:rPr>
        <w:t xml:space="preserve">uditor </w:t>
      </w:r>
      <w:r w:rsidRPr="0020502E">
        <w:rPr>
          <w:rFonts w:ascii="Arial" w:hAnsi="Arial" w:cs="Arial"/>
          <w:color w:val="000000"/>
          <w:sz w:val="14"/>
          <w:szCs w:val="14"/>
          <w:shd w:val="clear" w:color="auto" w:fill="FFFFFF"/>
          <w:lang w:val="es-CR"/>
        </w:rPr>
        <w:t>I</w:t>
      </w:r>
      <w:r>
        <w:rPr>
          <w:rFonts w:ascii="Arial" w:hAnsi="Arial" w:cs="Arial"/>
          <w:color w:val="000000"/>
          <w:sz w:val="14"/>
          <w:szCs w:val="14"/>
          <w:shd w:val="clear" w:color="auto" w:fill="FFFFFF"/>
          <w:lang w:val="es-CR"/>
        </w:rPr>
        <w:t>nterno del Banco Central de forma semestral en junio y diciembre, para así cumplir con la publicación que establece el párrafo final del artículo 11 de la Ley Orgánica del Banco Central de Costa Rica Nº 7558.</w:t>
      </w:r>
      <w:r w:rsidRPr="0020502E">
        <w:rPr>
          <w:lang w:val="es-CR"/>
        </w:rPr>
        <w:b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FEF9F" w14:textId="77777777" w:rsidR="00412C65" w:rsidRDefault="00412C6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6C90D" w14:textId="77777777" w:rsidR="00412C65" w:rsidRDefault="00412C65" w:rsidP="002011F1">
    <w:pPr>
      <w:pStyle w:val="Encabezado"/>
      <w:rPr>
        <w:color w:val="000080"/>
        <w:sz w:val="20"/>
        <w:szCs w:val="20"/>
        <w:lang w:val="es-ES"/>
      </w:rPr>
    </w:pPr>
    <w:r>
      <w:rPr>
        <w:noProof/>
        <w:lang w:val="es-CR" w:eastAsia="es-CR"/>
      </w:rPr>
      <w:drawing>
        <wp:anchor distT="0" distB="0" distL="114300" distR="114300" simplePos="0" relativeHeight="251658240" behindDoc="0" locked="0" layoutInCell="1" allowOverlap="1" wp14:anchorId="64F0867D" wp14:editId="64F0867E">
          <wp:simplePos x="0" y="0"/>
          <wp:positionH relativeFrom="column">
            <wp:posOffset>-98425</wp:posOffset>
          </wp:positionH>
          <wp:positionV relativeFrom="paragraph">
            <wp:posOffset>184150</wp:posOffset>
          </wp:positionV>
          <wp:extent cx="914400" cy="284480"/>
          <wp:effectExtent l="0" t="0" r="0" b="1270"/>
          <wp:wrapNone/>
          <wp:docPr id="7"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284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BE1BE" w14:textId="77777777" w:rsidR="00412C65" w:rsidRDefault="00412C65" w:rsidP="005C485C">
    <w:pPr>
      <w:pStyle w:val="Encabezado"/>
      <w:jc w:val="right"/>
      <w:rPr>
        <w:color w:val="000080"/>
        <w:sz w:val="20"/>
        <w:szCs w:val="20"/>
        <w:lang w:val="es-ES"/>
      </w:rPr>
    </w:pPr>
  </w:p>
  <w:p w14:paraId="57E0370D" w14:textId="77777777" w:rsidR="00412C65" w:rsidRDefault="00412C65">
    <w:pPr>
      <w:pStyle w:val="Encabezado"/>
      <w:rPr>
        <w:color w:val="000080"/>
        <w:sz w:val="20"/>
        <w:szCs w:val="20"/>
        <w:lang w:val="es-E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674A0" w14:textId="77777777" w:rsidR="00412C65" w:rsidRDefault="00412C65">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0A7BE" w14:textId="77777777" w:rsidR="00412C65" w:rsidRDefault="00412C65">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34E02" w14:textId="77777777" w:rsidR="00412C65" w:rsidRDefault="00412C65">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9D952F" w14:textId="77777777" w:rsidR="00412C65" w:rsidRDefault="00412C6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C0F5E"/>
    <w:multiLevelType w:val="multilevel"/>
    <w:tmpl w:val="EA50B9B0"/>
    <w:lvl w:ilvl="0">
      <w:start w:val="1"/>
      <w:numFmt w:val="none"/>
      <w:pStyle w:val="listaa"/>
      <w:lvlText w:val="c."/>
      <w:lvlJc w:val="left"/>
      <w:pPr>
        <w:tabs>
          <w:tab w:val="num" w:pos="360"/>
        </w:tabs>
        <w:ind w:left="360" w:hanging="360"/>
      </w:pPr>
      <w:rPr>
        <w:rFonts w:ascii="Times New Roman" w:hAnsi="Times New Roman" w:cs="Times New Roman" w:hint="default"/>
        <w:b w:val="0"/>
        <w:i w:val="0"/>
        <w:color w:val="000000"/>
        <w:sz w:val="22"/>
        <w:szCs w:val="22"/>
      </w:rPr>
    </w:lvl>
    <w:lvl w:ilvl="1">
      <w:start w:val="2"/>
      <w:numFmt w:val="lowerRoman"/>
      <w:lvlText w:val="%2."/>
      <w:lvlJc w:val="left"/>
      <w:pPr>
        <w:tabs>
          <w:tab w:val="num" w:pos="1478"/>
        </w:tabs>
        <w:ind w:left="1478" w:hanging="720"/>
      </w:pPr>
      <w:rPr>
        <w:rFonts w:cs="Times New Roman" w:hint="default"/>
      </w:rPr>
    </w:lvl>
    <w:lvl w:ilvl="2">
      <w:start w:val="1"/>
      <w:numFmt w:val="lowerRoman"/>
      <w:lvlText w:val="%3."/>
      <w:lvlJc w:val="right"/>
      <w:pPr>
        <w:tabs>
          <w:tab w:val="num" w:pos="1838"/>
        </w:tabs>
        <w:ind w:left="1838" w:hanging="180"/>
      </w:pPr>
      <w:rPr>
        <w:rFonts w:cs="Times New Roman" w:hint="default"/>
      </w:rPr>
    </w:lvl>
    <w:lvl w:ilvl="3">
      <w:start w:val="1"/>
      <w:numFmt w:val="decimal"/>
      <w:lvlText w:val="%4."/>
      <w:lvlJc w:val="left"/>
      <w:pPr>
        <w:tabs>
          <w:tab w:val="num" w:pos="2558"/>
        </w:tabs>
        <w:ind w:left="2558" w:hanging="360"/>
      </w:pPr>
      <w:rPr>
        <w:rFonts w:cs="Times New Roman" w:hint="default"/>
      </w:rPr>
    </w:lvl>
    <w:lvl w:ilvl="4">
      <w:start w:val="1"/>
      <w:numFmt w:val="lowerLetter"/>
      <w:lvlText w:val="%5."/>
      <w:lvlJc w:val="left"/>
      <w:pPr>
        <w:tabs>
          <w:tab w:val="num" w:pos="3278"/>
        </w:tabs>
        <w:ind w:left="3278" w:hanging="360"/>
      </w:pPr>
      <w:rPr>
        <w:rFonts w:cs="Times New Roman" w:hint="default"/>
      </w:rPr>
    </w:lvl>
    <w:lvl w:ilvl="5">
      <w:start w:val="1"/>
      <w:numFmt w:val="lowerRoman"/>
      <w:lvlText w:val="%6."/>
      <w:lvlJc w:val="right"/>
      <w:pPr>
        <w:tabs>
          <w:tab w:val="num" w:pos="3998"/>
        </w:tabs>
        <w:ind w:left="3998" w:hanging="180"/>
      </w:pPr>
      <w:rPr>
        <w:rFonts w:cs="Times New Roman" w:hint="default"/>
      </w:rPr>
    </w:lvl>
    <w:lvl w:ilvl="6">
      <w:start w:val="1"/>
      <w:numFmt w:val="decimal"/>
      <w:lvlText w:val="%7."/>
      <w:lvlJc w:val="left"/>
      <w:pPr>
        <w:tabs>
          <w:tab w:val="num" w:pos="4718"/>
        </w:tabs>
        <w:ind w:left="4718" w:hanging="360"/>
      </w:pPr>
      <w:rPr>
        <w:rFonts w:cs="Times New Roman" w:hint="default"/>
      </w:rPr>
    </w:lvl>
    <w:lvl w:ilvl="7">
      <w:start w:val="1"/>
      <w:numFmt w:val="lowerLetter"/>
      <w:lvlText w:val="%8."/>
      <w:lvlJc w:val="left"/>
      <w:pPr>
        <w:tabs>
          <w:tab w:val="num" w:pos="5438"/>
        </w:tabs>
        <w:ind w:left="5438" w:hanging="360"/>
      </w:pPr>
      <w:rPr>
        <w:rFonts w:cs="Times New Roman" w:hint="default"/>
      </w:rPr>
    </w:lvl>
    <w:lvl w:ilvl="8">
      <w:start w:val="1"/>
      <w:numFmt w:val="lowerRoman"/>
      <w:lvlText w:val="%9."/>
      <w:lvlJc w:val="right"/>
      <w:pPr>
        <w:tabs>
          <w:tab w:val="num" w:pos="6158"/>
        </w:tabs>
        <w:ind w:left="6158" w:hanging="180"/>
      </w:pPr>
      <w:rPr>
        <w:rFonts w:cs="Times New Roman" w:hint="default"/>
      </w:rPr>
    </w:lvl>
  </w:abstractNum>
  <w:abstractNum w:abstractNumId="1" w15:restartNumberingAfterBreak="0">
    <w:nsid w:val="04770BE6"/>
    <w:multiLevelType w:val="hybridMultilevel"/>
    <w:tmpl w:val="EEBC266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5FE22CF"/>
    <w:multiLevelType w:val="hybridMultilevel"/>
    <w:tmpl w:val="43406E08"/>
    <w:lvl w:ilvl="0" w:tplc="DC1259B2">
      <w:start w:val="1"/>
      <w:numFmt w:val="lowerLetter"/>
      <w:lvlText w:val="%1."/>
      <w:lvlJc w:val="left"/>
      <w:pPr>
        <w:ind w:left="720" w:hanging="360"/>
      </w:pPr>
      <w:rPr>
        <w:rFonts w:ascii="Times New Roman" w:hAnsi="Times New Roman" w:cs="Times New Roman" w:hint="default"/>
        <w:b w:val="0"/>
        <w:i w:val="0"/>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F1BE6"/>
    <w:multiLevelType w:val="multilevel"/>
    <w:tmpl w:val="F12002D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00554BC"/>
    <w:multiLevelType w:val="hybridMultilevel"/>
    <w:tmpl w:val="CAD6F46A"/>
    <w:lvl w:ilvl="0" w:tplc="AD5078C8">
      <w:start w:val="7"/>
      <w:numFmt w:val="lowerLetter"/>
      <w:lvlText w:val="%1."/>
      <w:lvlJc w:val="left"/>
      <w:pPr>
        <w:ind w:left="720" w:hanging="360"/>
      </w:pPr>
      <w:rPr>
        <w:rFonts w:cs="Times New Roman" w:hint="default"/>
        <w:b w:val="0"/>
        <w:i w:val="0"/>
        <w:color w:val="auto"/>
        <w:sz w:val="22"/>
        <w:szCs w:val="22"/>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08044B8"/>
    <w:multiLevelType w:val="hybridMultilevel"/>
    <w:tmpl w:val="06CE4CFE"/>
    <w:lvl w:ilvl="0" w:tplc="140A0019">
      <w:start w:val="1"/>
      <w:numFmt w:val="lowerLetter"/>
      <w:lvlText w:val="%1."/>
      <w:lvlJc w:val="left"/>
      <w:pPr>
        <w:ind w:left="720" w:hanging="360"/>
      </w:pPr>
      <w:rPr>
        <w:rFonts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19247AC"/>
    <w:multiLevelType w:val="hybridMultilevel"/>
    <w:tmpl w:val="896C9406"/>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7" w15:restartNumberingAfterBreak="0">
    <w:nsid w:val="11D4377A"/>
    <w:multiLevelType w:val="hybridMultilevel"/>
    <w:tmpl w:val="0916E4F4"/>
    <w:lvl w:ilvl="0" w:tplc="59D84036">
      <w:start w:val="1"/>
      <w:numFmt w:val="bullet"/>
      <w:lvlText w:val="■"/>
      <w:lvlJc w:val="left"/>
      <w:pPr>
        <w:tabs>
          <w:tab w:val="num" w:pos="720"/>
        </w:tabs>
        <w:ind w:left="720" w:hanging="360"/>
      </w:pPr>
      <w:rPr>
        <w:rFonts w:ascii="Arial" w:hAnsi="Arial" w:hint="default"/>
      </w:rPr>
    </w:lvl>
    <w:lvl w:ilvl="1" w:tplc="A5C86572" w:tentative="1">
      <w:start w:val="1"/>
      <w:numFmt w:val="bullet"/>
      <w:lvlText w:val="■"/>
      <w:lvlJc w:val="left"/>
      <w:pPr>
        <w:tabs>
          <w:tab w:val="num" w:pos="1440"/>
        </w:tabs>
        <w:ind w:left="1440" w:hanging="360"/>
      </w:pPr>
      <w:rPr>
        <w:rFonts w:ascii="Arial" w:hAnsi="Arial" w:hint="default"/>
      </w:rPr>
    </w:lvl>
    <w:lvl w:ilvl="2" w:tplc="5AD86BFA">
      <w:start w:val="1"/>
      <w:numFmt w:val="bullet"/>
      <w:lvlText w:val="■"/>
      <w:lvlJc w:val="left"/>
      <w:pPr>
        <w:tabs>
          <w:tab w:val="num" w:pos="2160"/>
        </w:tabs>
        <w:ind w:left="2160" w:hanging="360"/>
      </w:pPr>
      <w:rPr>
        <w:rFonts w:ascii="Arial" w:hAnsi="Arial" w:hint="default"/>
      </w:rPr>
    </w:lvl>
    <w:lvl w:ilvl="3" w:tplc="140A0001">
      <w:start w:val="1"/>
      <w:numFmt w:val="bullet"/>
      <w:lvlText w:val=""/>
      <w:lvlJc w:val="left"/>
      <w:pPr>
        <w:tabs>
          <w:tab w:val="num" w:pos="2880"/>
        </w:tabs>
        <w:ind w:left="2880" w:hanging="360"/>
      </w:pPr>
      <w:rPr>
        <w:rFonts w:ascii="Symbol" w:hAnsi="Symbol" w:hint="default"/>
      </w:rPr>
    </w:lvl>
    <w:lvl w:ilvl="4" w:tplc="BB285FA0" w:tentative="1">
      <w:start w:val="1"/>
      <w:numFmt w:val="bullet"/>
      <w:lvlText w:val="■"/>
      <w:lvlJc w:val="left"/>
      <w:pPr>
        <w:tabs>
          <w:tab w:val="num" w:pos="3600"/>
        </w:tabs>
        <w:ind w:left="3600" w:hanging="360"/>
      </w:pPr>
      <w:rPr>
        <w:rFonts w:ascii="Arial" w:hAnsi="Arial" w:hint="default"/>
      </w:rPr>
    </w:lvl>
    <w:lvl w:ilvl="5" w:tplc="143A5C18" w:tentative="1">
      <w:start w:val="1"/>
      <w:numFmt w:val="bullet"/>
      <w:lvlText w:val="■"/>
      <w:lvlJc w:val="left"/>
      <w:pPr>
        <w:tabs>
          <w:tab w:val="num" w:pos="4320"/>
        </w:tabs>
        <w:ind w:left="4320" w:hanging="360"/>
      </w:pPr>
      <w:rPr>
        <w:rFonts w:ascii="Arial" w:hAnsi="Arial" w:hint="default"/>
      </w:rPr>
    </w:lvl>
    <w:lvl w:ilvl="6" w:tplc="788875D8" w:tentative="1">
      <w:start w:val="1"/>
      <w:numFmt w:val="bullet"/>
      <w:lvlText w:val="■"/>
      <w:lvlJc w:val="left"/>
      <w:pPr>
        <w:tabs>
          <w:tab w:val="num" w:pos="5040"/>
        </w:tabs>
        <w:ind w:left="5040" w:hanging="360"/>
      </w:pPr>
      <w:rPr>
        <w:rFonts w:ascii="Arial" w:hAnsi="Arial" w:hint="default"/>
      </w:rPr>
    </w:lvl>
    <w:lvl w:ilvl="7" w:tplc="807A33E6" w:tentative="1">
      <w:start w:val="1"/>
      <w:numFmt w:val="bullet"/>
      <w:lvlText w:val="■"/>
      <w:lvlJc w:val="left"/>
      <w:pPr>
        <w:tabs>
          <w:tab w:val="num" w:pos="5760"/>
        </w:tabs>
        <w:ind w:left="5760" w:hanging="360"/>
      </w:pPr>
      <w:rPr>
        <w:rFonts w:ascii="Arial" w:hAnsi="Arial" w:hint="default"/>
      </w:rPr>
    </w:lvl>
    <w:lvl w:ilvl="8" w:tplc="65C0CF0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1B6A06"/>
    <w:multiLevelType w:val="hybridMultilevel"/>
    <w:tmpl w:val="6534DC4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0" w15:restartNumberingAfterBreak="0">
    <w:nsid w:val="1D5870EB"/>
    <w:multiLevelType w:val="hybridMultilevel"/>
    <w:tmpl w:val="8C82BF0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FD26776"/>
    <w:multiLevelType w:val="hybridMultilevel"/>
    <w:tmpl w:val="C0228BC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63E5933"/>
    <w:multiLevelType w:val="hybridMultilevel"/>
    <w:tmpl w:val="099863A8"/>
    <w:lvl w:ilvl="0" w:tplc="140A0019">
      <w:start w:val="1"/>
      <w:numFmt w:val="lowerLetter"/>
      <w:lvlText w:val="%1."/>
      <w:lvlJc w:val="left"/>
      <w:pPr>
        <w:ind w:left="1353" w:hanging="360"/>
      </w:pPr>
    </w:lvl>
    <w:lvl w:ilvl="1" w:tplc="140A0019" w:tentative="1">
      <w:start w:val="1"/>
      <w:numFmt w:val="lowerLetter"/>
      <w:lvlText w:val="%2."/>
      <w:lvlJc w:val="left"/>
      <w:pPr>
        <w:ind w:left="2073" w:hanging="360"/>
      </w:pPr>
    </w:lvl>
    <w:lvl w:ilvl="2" w:tplc="140A001B" w:tentative="1">
      <w:start w:val="1"/>
      <w:numFmt w:val="lowerRoman"/>
      <w:lvlText w:val="%3."/>
      <w:lvlJc w:val="right"/>
      <w:pPr>
        <w:ind w:left="2793" w:hanging="180"/>
      </w:pPr>
    </w:lvl>
    <w:lvl w:ilvl="3" w:tplc="140A000F" w:tentative="1">
      <w:start w:val="1"/>
      <w:numFmt w:val="decimal"/>
      <w:lvlText w:val="%4."/>
      <w:lvlJc w:val="left"/>
      <w:pPr>
        <w:ind w:left="3513" w:hanging="360"/>
      </w:pPr>
    </w:lvl>
    <w:lvl w:ilvl="4" w:tplc="140A0019" w:tentative="1">
      <w:start w:val="1"/>
      <w:numFmt w:val="lowerLetter"/>
      <w:lvlText w:val="%5."/>
      <w:lvlJc w:val="left"/>
      <w:pPr>
        <w:ind w:left="4233" w:hanging="360"/>
      </w:pPr>
    </w:lvl>
    <w:lvl w:ilvl="5" w:tplc="140A001B" w:tentative="1">
      <w:start w:val="1"/>
      <w:numFmt w:val="lowerRoman"/>
      <w:lvlText w:val="%6."/>
      <w:lvlJc w:val="right"/>
      <w:pPr>
        <w:ind w:left="4953" w:hanging="180"/>
      </w:pPr>
    </w:lvl>
    <w:lvl w:ilvl="6" w:tplc="140A000F" w:tentative="1">
      <w:start w:val="1"/>
      <w:numFmt w:val="decimal"/>
      <w:lvlText w:val="%7."/>
      <w:lvlJc w:val="left"/>
      <w:pPr>
        <w:ind w:left="5673" w:hanging="360"/>
      </w:pPr>
    </w:lvl>
    <w:lvl w:ilvl="7" w:tplc="140A0019" w:tentative="1">
      <w:start w:val="1"/>
      <w:numFmt w:val="lowerLetter"/>
      <w:lvlText w:val="%8."/>
      <w:lvlJc w:val="left"/>
      <w:pPr>
        <w:ind w:left="6393" w:hanging="360"/>
      </w:pPr>
    </w:lvl>
    <w:lvl w:ilvl="8" w:tplc="140A001B" w:tentative="1">
      <w:start w:val="1"/>
      <w:numFmt w:val="lowerRoman"/>
      <w:lvlText w:val="%9."/>
      <w:lvlJc w:val="right"/>
      <w:pPr>
        <w:ind w:left="7113" w:hanging="180"/>
      </w:pPr>
    </w:lvl>
  </w:abstractNum>
  <w:abstractNum w:abstractNumId="13" w15:restartNumberingAfterBreak="0">
    <w:nsid w:val="26CD3016"/>
    <w:multiLevelType w:val="hybridMultilevel"/>
    <w:tmpl w:val="179044DE"/>
    <w:lvl w:ilvl="0" w:tplc="9CA63C2E">
      <w:start w:val="1"/>
      <w:numFmt w:val="lowerLetter"/>
      <w:lvlText w:val="(%1)"/>
      <w:lvlJc w:val="left"/>
      <w:pPr>
        <w:ind w:left="1440" w:hanging="360"/>
      </w:pPr>
      <w:rPr>
        <w:rFonts w:hint="default"/>
        <w:i w:val="0"/>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4" w15:restartNumberingAfterBreak="0">
    <w:nsid w:val="2EBE68C8"/>
    <w:multiLevelType w:val="hybridMultilevel"/>
    <w:tmpl w:val="6E007D4E"/>
    <w:lvl w:ilvl="0" w:tplc="A1804324">
      <w:start w:val="1"/>
      <w:numFmt w:val="lowerLetter"/>
      <w:lvlText w:val="%1."/>
      <w:lvlJc w:val="left"/>
      <w:pPr>
        <w:ind w:left="644" w:hanging="360"/>
      </w:pPr>
      <w:rPr>
        <w:b w:val="0"/>
        <w:i w:val="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5" w15:restartNumberingAfterBreak="0">
    <w:nsid w:val="2FE634E4"/>
    <w:multiLevelType w:val="hybridMultilevel"/>
    <w:tmpl w:val="BA827C1E"/>
    <w:lvl w:ilvl="0" w:tplc="C636A98C">
      <w:start w:val="1"/>
      <w:numFmt w:val="lowerLetter"/>
      <w:lvlText w:val="%1."/>
      <w:lvlJc w:val="left"/>
      <w:pPr>
        <w:ind w:left="720" w:hanging="360"/>
      </w:pPr>
      <w:rPr>
        <w:rFonts w:cs="Times New Roman" w:hint="default"/>
        <w:b w:val="0"/>
        <w:i w:val="0"/>
        <w:color w:val="auto"/>
        <w:sz w:val="22"/>
        <w:szCs w:val="22"/>
      </w:rPr>
    </w:lvl>
    <w:lvl w:ilvl="1" w:tplc="A9B2A95E">
      <w:start w:val="1"/>
      <w:numFmt w:val="lowerRoman"/>
      <w:lvlText w:val="%2."/>
      <w:lvlJc w:val="right"/>
      <w:pPr>
        <w:ind w:left="1211"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A0240F"/>
    <w:multiLevelType w:val="hybridMultilevel"/>
    <w:tmpl w:val="B86461FE"/>
    <w:lvl w:ilvl="0" w:tplc="AD5078C8">
      <w:start w:val="7"/>
      <w:numFmt w:val="lowerLetter"/>
      <w:lvlText w:val="%1."/>
      <w:lvlJc w:val="left"/>
      <w:pPr>
        <w:ind w:left="720" w:hanging="360"/>
      </w:pPr>
      <w:rPr>
        <w:rFonts w:cs="Times New Roman" w:hint="default"/>
        <w:b w:val="0"/>
        <w:i w:val="0"/>
        <w:color w:val="auto"/>
        <w:sz w:val="22"/>
        <w:szCs w:val="22"/>
      </w:rPr>
    </w:lvl>
    <w:lvl w:ilvl="1" w:tplc="3334A6BA">
      <w:start w:val="1"/>
      <w:numFmt w:val="lowerRoman"/>
      <w:lvlText w:val="%2."/>
      <w:lvlJc w:val="left"/>
      <w:pPr>
        <w:ind w:left="1440" w:hanging="360"/>
      </w:pPr>
      <w:rPr>
        <w:rFonts w:cs="Times New Roman"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A9E11AD"/>
    <w:multiLevelType w:val="hybridMultilevel"/>
    <w:tmpl w:val="B782A5B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DCC0886"/>
    <w:multiLevelType w:val="hybridMultilevel"/>
    <w:tmpl w:val="E33AB314"/>
    <w:lvl w:ilvl="0" w:tplc="78C6AAE8">
      <w:start w:val="1"/>
      <w:numFmt w:val="lowerLetter"/>
      <w:lvlText w:val="%1."/>
      <w:lvlJc w:val="left"/>
      <w:pPr>
        <w:ind w:left="72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0D4521B"/>
    <w:multiLevelType w:val="hybridMultilevel"/>
    <w:tmpl w:val="313E5CE2"/>
    <w:lvl w:ilvl="0" w:tplc="140A0019">
      <w:start w:val="1"/>
      <w:numFmt w:val="lowerLetter"/>
      <w:lvlText w:val="%1."/>
      <w:lvlJc w:val="left"/>
      <w:pPr>
        <w:ind w:left="1724"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20" w15:restartNumberingAfterBreak="0">
    <w:nsid w:val="4B762D81"/>
    <w:multiLevelType w:val="hybridMultilevel"/>
    <w:tmpl w:val="CE228ACC"/>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C023C88"/>
    <w:multiLevelType w:val="hybridMultilevel"/>
    <w:tmpl w:val="EF7AA7B2"/>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D31147C"/>
    <w:multiLevelType w:val="multilevel"/>
    <w:tmpl w:val="536250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24" w15:restartNumberingAfterBreak="0">
    <w:nsid w:val="544530B7"/>
    <w:multiLevelType w:val="multilevel"/>
    <w:tmpl w:val="AF363712"/>
    <w:styleLink w:val="Estilo1"/>
    <w:lvl w:ilvl="0">
      <w:start w:val="1"/>
      <w:numFmt w:val="lowerLetter"/>
      <w:lvlText w:val="%1."/>
      <w:lvlJc w:val="left"/>
      <w:pPr>
        <w:tabs>
          <w:tab w:val="num" w:pos="360"/>
        </w:tabs>
        <w:ind w:left="360" w:hanging="360"/>
      </w:pPr>
      <w:rPr>
        <w:rFonts w:ascii="Times New Roman" w:hAnsi="Times New Roman" w:cs="Times New Roman" w:hint="default"/>
        <w:b w:val="0"/>
        <w:i w:val="0"/>
        <w:color w:val="000000"/>
        <w:sz w:val="22"/>
        <w:szCs w:val="22"/>
      </w:rPr>
    </w:lvl>
    <w:lvl w:ilvl="1">
      <w:start w:val="2"/>
      <w:numFmt w:val="lowerRoman"/>
      <w:lvlText w:val="%2."/>
      <w:lvlJc w:val="left"/>
      <w:pPr>
        <w:tabs>
          <w:tab w:val="num" w:pos="1478"/>
        </w:tabs>
        <w:ind w:left="1478" w:hanging="720"/>
      </w:pPr>
      <w:rPr>
        <w:rFonts w:cs="Times New Roman" w:hint="default"/>
      </w:rPr>
    </w:lvl>
    <w:lvl w:ilvl="2">
      <w:start w:val="1"/>
      <w:numFmt w:val="lowerRoman"/>
      <w:lvlText w:val="%3."/>
      <w:lvlJc w:val="right"/>
      <w:pPr>
        <w:tabs>
          <w:tab w:val="num" w:pos="1838"/>
        </w:tabs>
        <w:ind w:left="1838" w:hanging="180"/>
      </w:pPr>
      <w:rPr>
        <w:rFonts w:cs="Times New Roman"/>
      </w:rPr>
    </w:lvl>
    <w:lvl w:ilvl="3">
      <w:start w:val="1"/>
      <w:numFmt w:val="decimal"/>
      <w:lvlText w:val="%4."/>
      <w:lvlJc w:val="left"/>
      <w:pPr>
        <w:tabs>
          <w:tab w:val="num" w:pos="2558"/>
        </w:tabs>
        <w:ind w:left="2558" w:hanging="360"/>
      </w:pPr>
      <w:rPr>
        <w:rFonts w:cs="Times New Roman"/>
      </w:rPr>
    </w:lvl>
    <w:lvl w:ilvl="4">
      <w:start w:val="1"/>
      <w:numFmt w:val="lowerLetter"/>
      <w:lvlText w:val="%5."/>
      <w:lvlJc w:val="left"/>
      <w:pPr>
        <w:tabs>
          <w:tab w:val="num" w:pos="3278"/>
        </w:tabs>
        <w:ind w:left="3278" w:hanging="360"/>
      </w:pPr>
      <w:rPr>
        <w:rFonts w:cs="Times New Roman"/>
      </w:rPr>
    </w:lvl>
    <w:lvl w:ilvl="5">
      <w:start w:val="1"/>
      <w:numFmt w:val="lowerRoman"/>
      <w:lvlText w:val="%6."/>
      <w:lvlJc w:val="right"/>
      <w:pPr>
        <w:tabs>
          <w:tab w:val="num" w:pos="3998"/>
        </w:tabs>
        <w:ind w:left="3998" w:hanging="180"/>
      </w:pPr>
      <w:rPr>
        <w:rFonts w:cs="Times New Roman"/>
      </w:rPr>
    </w:lvl>
    <w:lvl w:ilvl="6">
      <w:start w:val="1"/>
      <w:numFmt w:val="decimal"/>
      <w:lvlText w:val="%7."/>
      <w:lvlJc w:val="left"/>
      <w:pPr>
        <w:tabs>
          <w:tab w:val="num" w:pos="4718"/>
        </w:tabs>
        <w:ind w:left="4718" w:hanging="360"/>
      </w:pPr>
      <w:rPr>
        <w:rFonts w:cs="Times New Roman"/>
      </w:rPr>
    </w:lvl>
    <w:lvl w:ilvl="7">
      <w:start w:val="1"/>
      <w:numFmt w:val="lowerLetter"/>
      <w:lvlText w:val="%8."/>
      <w:lvlJc w:val="left"/>
      <w:pPr>
        <w:tabs>
          <w:tab w:val="num" w:pos="5438"/>
        </w:tabs>
        <w:ind w:left="5438" w:hanging="360"/>
      </w:pPr>
      <w:rPr>
        <w:rFonts w:cs="Times New Roman"/>
      </w:rPr>
    </w:lvl>
    <w:lvl w:ilvl="8">
      <w:start w:val="1"/>
      <w:numFmt w:val="lowerRoman"/>
      <w:lvlText w:val="%9."/>
      <w:lvlJc w:val="right"/>
      <w:pPr>
        <w:tabs>
          <w:tab w:val="num" w:pos="6158"/>
        </w:tabs>
        <w:ind w:left="6158" w:hanging="180"/>
      </w:pPr>
      <w:rPr>
        <w:rFonts w:cs="Times New Roman"/>
      </w:rPr>
    </w:lvl>
  </w:abstractNum>
  <w:abstractNum w:abstractNumId="25" w15:restartNumberingAfterBreak="0">
    <w:nsid w:val="55766012"/>
    <w:multiLevelType w:val="hybridMultilevel"/>
    <w:tmpl w:val="A620B41C"/>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6" w15:restartNumberingAfterBreak="0">
    <w:nsid w:val="56B35E7D"/>
    <w:multiLevelType w:val="hybridMultilevel"/>
    <w:tmpl w:val="199CE5C2"/>
    <w:lvl w:ilvl="0" w:tplc="0AC8110E">
      <w:start w:val="1"/>
      <w:numFmt w:val="lowerLetter"/>
      <w:lvlText w:val="%1."/>
      <w:lvlJc w:val="left"/>
      <w:pPr>
        <w:ind w:left="644" w:hanging="360"/>
      </w:pPr>
      <w:rPr>
        <w:rFonts w:hint="default"/>
        <w:b w:val="0"/>
        <w:i w:val="0"/>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7" w15:restartNumberingAfterBreak="0">
    <w:nsid w:val="63C546EB"/>
    <w:multiLevelType w:val="hybridMultilevel"/>
    <w:tmpl w:val="95206E9C"/>
    <w:lvl w:ilvl="0" w:tplc="140A000F">
      <w:start w:val="1"/>
      <w:numFmt w:val="decimal"/>
      <w:lvlText w:val="%1."/>
      <w:lvlJc w:val="left"/>
      <w:pPr>
        <w:ind w:left="360" w:hanging="360"/>
      </w:pPr>
    </w:lvl>
    <w:lvl w:ilvl="1" w:tplc="140A0017">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8" w15:restartNumberingAfterBreak="0">
    <w:nsid w:val="75366321"/>
    <w:multiLevelType w:val="hybridMultilevel"/>
    <w:tmpl w:val="EE9C797C"/>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9" w15:restartNumberingAfterBreak="0">
    <w:nsid w:val="7BBE7BA4"/>
    <w:multiLevelType w:val="hybridMultilevel"/>
    <w:tmpl w:val="F89407D4"/>
    <w:lvl w:ilvl="0" w:tplc="86468C60">
      <w:start w:val="1"/>
      <w:numFmt w:val="lowerRoman"/>
      <w:pStyle w:val="listai"/>
      <w:lvlText w:val="%1."/>
      <w:lvlJc w:val="left"/>
      <w:pPr>
        <w:tabs>
          <w:tab w:val="num" w:pos="1620"/>
        </w:tabs>
        <w:ind w:left="1620" w:hanging="720"/>
      </w:pPr>
      <w:rPr>
        <w:rFonts w:ascii="Times New Roman" w:hAnsi="Times New Roman" w:cs="Times New Roman" w:hint="default"/>
        <w:sz w:val="24"/>
        <w:szCs w:val="24"/>
      </w:rPr>
    </w:lvl>
    <w:lvl w:ilvl="1" w:tplc="140A0019" w:tentative="1">
      <w:start w:val="1"/>
      <w:numFmt w:val="lowerLetter"/>
      <w:lvlText w:val="%2."/>
      <w:lvlJc w:val="left"/>
      <w:pPr>
        <w:tabs>
          <w:tab w:val="num" w:pos="2160"/>
        </w:tabs>
        <w:ind w:left="2160" w:hanging="360"/>
      </w:pPr>
      <w:rPr>
        <w:rFonts w:cs="Times New Roman"/>
      </w:rPr>
    </w:lvl>
    <w:lvl w:ilvl="2" w:tplc="140A001B" w:tentative="1">
      <w:start w:val="1"/>
      <w:numFmt w:val="lowerRoman"/>
      <w:lvlText w:val="%3."/>
      <w:lvlJc w:val="right"/>
      <w:pPr>
        <w:tabs>
          <w:tab w:val="num" w:pos="2880"/>
        </w:tabs>
        <w:ind w:left="2880" w:hanging="180"/>
      </w:pPr>
      <w:rPr>
        <w:rFonts w:cs="Times New Roman"/>
      </w:rPr>
    </w:lvl>
    <w:lvl w:ilvl="3" w:tplc="140A000F" w:tentative="1">
      <w:start w:val="1"/>
      <w:numFmt w:val="decimal"/>
      <w:lvlText w:val="%4."/>
      <w:lvlJc w:val="left"/>
      <w:pPr>
        <w:tabs>
          <w:tab w:val="num" w:pos="3600"/>
        </w:tabs>
        <w:ind w:left="3600" w:hanging="360"/>
      </w:pPr>
      <w:rPr>
        <w:rFonts w:cs="Times New Roman"/>
      </w:rPr>
    </w:lvl>
    <w:lvl w:ilvl="4" w:tplc="140A0019">
      <w:start w:val="1"/>
      <w:numFmt w:val="lowerLetter"/>
      <w:lvlText w:val="%5."/>
      <w:lvlJc w:val="left"/>
      <w:pPr>
        <w:tabs>
          <w:tab w:val="num" w:pos="4320"/>
        </w:tabs>
        <w:ind w:left="4320" w:hanging="360"/>
      </w:pPr>
      <w:rPr>
        <w:rFonts w:cs="Times New Roman"/>
      </w:rPr>
    </w:lvl>
    <w:lvl w:ilvl="5" w:tplc="140A001B" w:tentative="1">
      <w:start w:val="1"/>
      <w:numFmt w:val="lowerRoman"/>
      <w:lvlText w:val="%6."/>
      <w:lvlJc w:val="right"/>
      <w:pPr>
        <w:tabs>
          <w:tab w:val="num" w:pos="5040"/>
        </w:tabs>
        <w:ind w:left="5040" w:hanging="180"/>
      </w:pPr>
      <w:rPr>
        <w:rFonts w:cs="Times New Roman"/>
      </w:rPr>
    </w:lvl>
    <w:lvl w:ilvl="6" w:tplc="140A000F" w:tentative="1">
      <w:start w:val="1"/>
      <w:numFmt w:val="decimal"/>
      <w:lvlText w:val="%7."/>
      <w:lvlJc w:val="left"/>
      <w:pPr>
        <w:tabs>
          <w:tab w:val="num" w:pos="5760"/>
        </w:tabs>
        <w:ind w:left="5760" w:hanging="360"/>
      </w:pPr>
      <w:rPr>
        <w:rFonts w:cs="Times New Roman"/>
      </w:rPr>
    </w:lvl>
    <w:lvl w:ilvl="7" w:tplc="140A0019" w:tentative="1">
      <w:start w:val="1"/>
      <w:numFmt w:val="lowerLetter"/>
      <w:lvlText w:val="%8."/>
      <w:lvlJc w:val="left"/>
      <w:pPr>
        <w:tabs>
          <w:tab w:val="num" w:pos="6480"/>
        </w:tabs>
        <w:ind w:left="6480" w:hanging="360"/>
      </w:pPr>
      <w:rPr>
        <w:rFonts w:cs="Times New Roman"/>
      </w:rPr>
    </w:lvl>
    <w:lvl w:ilvl="8" w:tplc="140A001B" w:tentative="1">
      <w:start w:val="1"/>
      <w:numFmt w:val="lowerRoman"/>
      <w:lvlText w:val="%9."/>
      <w:lvlJc w:val="right"/>
      <w:pPr>
        <w:tabs>
          <w:tab w:val="num" w:pos="7200"/>
        </w:tabs>
        <w:ind w:left="7200" w:hanging="180"/>
      </w:pPr>
      <w:rPr>
        <w:rFonts w:cs="Times New Roman"/>
      </w:rPr>
    </w:lvl>
  </w:abstractNum>
  <w:num w:numId="1">
    <w:abstractNumId w:val="29"/>
  </w:num>
  <w:num w:numId="2">
    <w:abstractNumId w:val="24"/>
  </w:num>
  <w:num w:numId="3">
    <w:abstractNumId w:val="15"/>
  </w:num>
  <w:num w:numId="4">
    <w:abstractNumId w:val="0"/>
  </w:num>
  <w:num w:numId="5">
    <w:abstractNumId w:val="9"/>
  </w:num>
  <w:num w:numId="6">
    <w:abstractNumId w:val="23"/>
  </w:num>
  <w:num w:numId="7">
    <w:abstractNumId w:val="4"/>
  </w:num>
  <w:num w:numId="8">
    <w:abstractNumId w:val="16"/>
  </w:num>
  <w:num w:numId="9">
    <w:abstractNumId w:val="20"/>
  </w:num>
  <w:num w:numId="10">
    <w:abstractNumId w:val="12"/>
  </w:num>
  <w:num w:numId="11">
    <w:abstractNumId w:val="14"/>
  </w:num>
  <w:num w:numId="12">
    <w:abstractNumId w:val="18"/>
  </w:num>
  <w:num w:numId="13">
    <w:abstractNumId w:val="28"/>
  </w:num>
  <w:num w:numId="14">
    <w:abstractNumId w:val="25"/>
  </w:num>
  <w:num w:numId="15">
    <w:abstractNumId w:val="19"/>
  </w:num>
  <w:num w:numId="16">
    <w:abstractNumId w:val="6"/>
  </w:num>
  <w:num w:numId="17">
    <w:abstractNumId w:val="21"/>
  </w:num>
  <w:num w:numId="18">
    <w:abstractNumId w:val="11"/>
  </w:num>
  <w:num w:numId="19">
    <w:abstractNumId w:val="10"/>
  </w:num>
  <w:num w:numId="20">
    <w:abstractNumId w:val="17"/>
  </w:num>
  <w:num w:numId="21">
    <w:abstractNumId w:val="5"/>
  </w:num>
  <w:num w:numId="22">
    <w:abstractNumId w:val="26"/>
  </w:num>
  <w:num w:numId="23">
    <w:abstractNumId w:val="13"/>
  </w:num>
  <w:num w:numId="24">
    <w:abstractNumId w:val="1"/>
  </w:num>
  <w:num w:numId="25">
    <w:abstractNumId w:val="7"/>
  </w:num>
  <w:num w:numId="26">
    <w:abstractNumId w:val="3"/>
  </w:num>
  <w:num w:numId="27">
    <w:abstractNumId w:val="22"/>
  </w:num>
  <w:num w:numId="28">
    <w:abstractNumId w:val="8"/>
  </w:num>
  <w:num w:numId="29">
    <w:abstractNumId w:val="2"/>
  </w:num>
  <w:num w:numId="30">
    <w:abstractNumId w:val="0"/>
  </w:num>
  <w:num w:numId="31">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D24"/>
    <w:rsid w:val="00000B3C"/>
    <w:rsid w:val="00002358"/>
    <w:rsid w:val="0000291B"/>
    <w:rsid w:val="00005673"/>
    <w:rsid w:val="000056E8"/>
    <w:rsid w:val="0000592C"/>
    <w:rsid w:val="00005938"/>
    <w:rsid w:val="00005BE3"/>
    <w:rsid w:val="00005E2D"/>
    <w:rsid w:val="00006258"/>
    <w:rsid w:val="00006295"/>
    <w:rsid w:val="0000698E"/>
    <w:rsid w:val="0000771A"/>
    <w:rsid w:val="00010F1F"/>
    <w:rsid w:val="00011294"/>
    <w:rsid w:val="00015897"/>
    <w:rsid w:val="000158BB"/>
    <w:rsid w:val="00015916"/>
    <w:rsid w:val="0001677C"/>
    <w:rsid w:val="000169A7"/>
    <w:rsid w:val="000173E4"/>
    <w:rsid w:val="00017A38"/>
    <w:rsid w:val="00017C11"/>
    <w:rsid w:val="00017F9C"/>
    <w:rsid w:val="0002090A"/>
    <w:rsid w:val="00020D86"/>
    <w:rsid w:val="00021007"/>
    <w:rsid w:val="000214D5"/>
    <w:rsid w:val="0002286C"/>
    <w:rsid w:val="000233E8"/>
    <w:rsid w:val="00023406"/>
    <w:rsid w:val="0002404F"/>
    <w:rsid w:val="000240BD"/>
    <w:rsid w:val="000241B2"/>
    <w:rsid w:val="00024298"/>
    <w:rsid w:val="00024327"/>
    <w:rsid w:val="00024468"/>
    <w:rsid w:val="0002452B"/>
    <w:rsid w:val="00024977"/>
    <w:rsid w:val="0002534D"/>
    <w:rsid w:val="00025BF2"/>
    <w:rsid w:val="000269A9"/>
    <w:rsid w:val="00026D4F"/>
    <w:rsid w:val="00026E82"/>
    <w:rsid w:val="0003002F"/>
    <w:rsid w:val="00030069"/>
    <w:rsid w:val="00030603"/>
    <w:rsid w:val="00030CE7"/>
    <w:rsid w:val="0003184C"/>
    <w:rsid w:val="000319BC"/>
    <w:rsid w:val="000327DB"/>
    <w:rsid w:val="00032804"/>
    <w:rsid w:val="00032E28"/>
    <w:rsid w:val="00032F7D"/>
    <w:rsid w:val="00033C35"/>
    <w:rsid w:val="00034AF9"/>
    <w:rsid w:val="00034DF2"/>
    <w:rsid w:val="00035656"/>
    <w:rsid w:val="00036969"/>
    <w:rsid w:val="0003794C"/>
    <w:rsid w:val="00037D49"/>
    <w:rsid w:val="0004024C"/>
    <w:rsid w:val="00040B9F"/>
    <w:rsid w:val="00040CDB"/>
    <w:rsid w:val="0004256D"/>
    <w:rsid w:val="0004382F"/>
    <w:rsid w:val="00043DD2"/>
    <w:rsid w:val="0004531B"/>
    <w:rsid w:val="0004570C"/>
    <w:rsid w:val="0004578E"/>
    <w:rsid w:val="0004584D"/>
    <w:rsid w:val="00045BA4"/>
    <w:rsid w:val="000466D9"/>
    <w:rsid w:val="000468A5"/>
    <w:rsid w:val="00046E00"/>
    <w:rsid w:val="000474C0"/>
    <w:rsid w:val="00050850"/>
    <w:rsid w:val="00050CB2"/>
    <w:rsid w:val="0005402A"/>
    <w:rsid w:val="00055E81"/>
    <w:rsid w:val="000600A6"/>
    <w:rsid w:val="00060306"/>
    <w:rsid w:val="0006033A"/>
    <w:rsid w:val="0006043D"/>
    <w:rsid w:val="0006046A"/>
    <w:rsid w:val="000604AF"/>
    <w:rsid w:val="000604E3"/>
    <w:rsid w:val="00060AB4"/>
    <w:rsid w:val="0006146E"/>
    <w:rsid w:val="000614DE"/>
    <w:rsid w:val="00062107"/>
    <w:rsid w:val="00062514"/>
    <w:rsid w:val="000625CA"/>
    <w:rsid w:val="0006375D"/>
    <w:rsid w:val="00064F81"/>
    <w:rsid w:val="0006500D"/>
    <w:rsid w:val="00065BD0"/>
    <w:rsid w:val="00066005"/>
    <w:rsid w:val="00067718"/>
    <w:rsid w:val="00070804"/>
    <w:rsid w:val="00070F30"/>
    <w:rsid w:val="00072049"/>
    <w:rsid w:val="00072D2E"/>
    <w:rsid w:val="00073EF2"/>
    <w:rsid w:val="000750FD"/>
    <w:rsid w:val="000753DC"/>
    <w:rsid w:val="00075727"/>
    <w:rsid w:val="00076302"/>
    <w:rsid w:val="00080654"/>
    <w:rsid w:val="00080FB1"/>
    <w:rsid w:val="000811EF"/>
    <w:rsid w:val="0008194E"/>
    <w:rsid w:val="00081C5F"/>
    <w:rsid w:val="0008261D"/>
    <w:rsid w:val="000827EC"/>
    <w:rsid w:val="00082AD1"/>
    <w:rsid w:val="00082B1E"/>
    <w:rsid w:val="00082CEA"/>
    <w:rsid w:val="00082D14"/>
    <w:rsid w:val="000832D9"/>
    <w:rsid w:val="000843D2"/>
    <w:rsid w:val="00084F05"/>
    <w:rsid w:val="00085032"/>
    <w:rsid w:val="00085524"/>
    <w:rsid w:val="00085A8B"/>
    <w:rsid w:val="00086489"/>
    <w:rsid w:val="0008650E"/>
    <w:rsid w:val="000875F6"/>
    <w:rsid w:val="00087B35"/>
    <w:rsid w:val="00087C6F"/>
    <w:rsid w:val="00090047"/>
    <w:rsid w:val="000911DC"/>
    <w:rsid w:val="00091853"/>
    <w:rsid w:val="00091A6A"/>
    <w:rsid w:val="000926CB"/>
    <w:rsid w:val="000928AC"/>
    <w:rsid w:val="000929F0"/>
    <w:rsid w:val="00092B41"/>
    <w:rsid w:val="000945A5"/>
    <w:rsid w:val="00094CB1"/>
    <w:rsid w:val="00095706"/>
    <w:rsid w:val="00095AAF"/>
    <w:rsid w:val="000960DF"/>
    <w:rsid w:val="000966C1"/>
    <w:rsid w:val="00096DE1"/>
    <w:rsid w:val="0009781C"/>
    <w:rsid w:val="00097F73"/>
    <w:rsid w:val="000A049A"/>
    <w:rsid w:val="000A0CE9"/>
    <w:rsid w:val="000A0E4F"/>
    <w:rsid w:val="000A1030"/>
    <w:rsid w:val="000A172F"/>
    <w:rsid w:val="000A1CC1"/>
    <w:rsid w:val="000A3A83"/>
    <w:rsid w:val="000A3D43"/>
    <w:rsid w:val="000A3DC9"/>
    <w:rsid w:val="000A5341"/>
    <w:rsid w:val="000A5B78"/>
    <w:rsid w:val="000A5DFB"/>
    <w:rsid w:val="000A6266"/>
    <w:rsid w:val="000A6593"/>
    <w:rsid w:val="000A6734"/>
    <w:rsid w:val="000A6848"/>
    <w:rsid w:val="000A7E27"/>
    <w:rsid w:val="000B0404"/>
    <w:rsid w:val="000B10EE"/>
    <w:rsid w:val="000B203A"/>
    <w:rsid w:val="000B2587"/>
    <w:rsid w:val="000B4DEC"/>
    <w:rsid w:val="000B5011"/>
    <w:rsid w:val="000B514C"/>
    <w:rsid w:val="000B7526"/>
    <w:rsid w:val="000C0561"/>
    <w:rsid w:val="000C086F"/>
    <w:rsid w:val="000C0F49"/>
    <w:rsid w:val="000C12B1"/>
    <w:rsid w:val="000C445F"/>
    <w:rsid w:val="000C56B2"/>
    <w:rsid w:val="000C6414"/>
    <w:rsid w:val="000C6DE7"/>
    <w:rsid w:val="000D1608"/>
    <w:rsid w:val="000D163E"/>
    <w:rsid w:val="000D1D12"/>
    <w:rsid w:val="000D1D2E"/>
    <w:rsid w:val="000D2EAB"/>
    <w:rsid w:val="000D334A"/>
    <w:rsid w:val="000D3608"/>
    <w:rsid w:val="000D3F63"/>
    <w:rsid w:val="000D3FC9"/>
    <w:rsid w:val="000D488A"/>
    <w:rsid w:val="000D4986"/>
    <w:rsid w:val="000D4A1A"/>
    <w:rsid w:val="000D4B5D"/>
    <w:rsid w:val="000D4CB0"/>
    <w:rsid w:val="000D4CDB"/>
    <w:rsid w:val="000D546D"/>
    <w:rsid w:val="000D59A9"/>
    <w:rsid w:val="000D6A13"/>
    <w:rsid w:val="000E0863"/>
    <w:rsid w:val="000E20F8"/>
    <w:rsid w:val="000E25F3"/>
    <w:rsid w:val="000E2DDC"/>
    <w:rsid w:val="000E3675"/>
    <w:rsid w:val="000E3B2A"/>
    <w:rsid w:val="000E4280"/>
    <w:rsid w:val="000E493D"/>
    <w:rsid w:val="000E4B08"/>
    <w:rsid w:val="000E5CDD"/>
    <w:rsid w:val="000E643E"/>
    <w:rsid w:val="000E6881"/>
    <w:rsid w:val="000E7443"/>
    <w:rsid w:val="000E7971"/>
    <w:rsid w:val="000E79E6"/>
    <w:rsid w:val="000E7D82"/>
    <w:rsid w:val="000F0F76"/>
    <w:rsid w:val="000F118A"/>
    <w:rsid w:val="000F122A"/>
    <w:rsid w:val="000F1331"/>
    <w:rsid w:val="000F2B71"/>
    <w:rsid w:val="000F3830"/>
    <w:rsid w:val="000F3B16"/>
    <w:rsid w:val="000F4AB2"/>
    <w:rsid w:val="000F4F9B"/>
    <w:rsid w:val="000F53B7"/>
    <w:rsid w:val="000F5C20"/>
    <w:rsid w:val="000F5E1B"/>
    <w:rsid w:val="000F5E49"/>
    <w:rsid w:val="000F6054"/>
    <w:rsid w:val="000F629F"/>
    <w:rsid w:val="000F703D"/>
    <w:rsid w:val="000F709A"/>
    <w:rsid w:val="000F71B0"/>
    <w:rsid w:val="000F78B1"/>
    <w:rsid w:val="00100F6D"/>
    <w:rsid w:val="001025AB"/>
    <w:rsid w:val="00102F34"/>
    <w:rsid w:val="0010346B"/>
    <w:rsid w:val="00103BF1"/>
    <w:rsid w:val="00104A5A"/>
    <w:rsid w:val="0010596D"/>
    <w:rsid w:val="00105FD3"/>
    <w:rsid w:val="001062E3"/>
    <w:rsid w:val="00106B15"/>
    <w:rsid w:val="00106B6B"/>
    <w:rsid w:val="00106EAB"/>
    <w:rsid w:val="00106FB3"/>
    <w:rsid w:val="00107034"/>
    <w:rsid w:val="00107755"/>
    <w:rsid w:val="00111A4A"/>
    <w:rsid w:val="00111FEE"/>
    <w:rsid w:val="0011266A"/>
    <w:rsid w:val="001129D8"/>
    <w:rsid w:val="00112F4B"/>
    <w:rsid w:val="00113032"/>
    <w:rsid w:val="001138CE"/>
    <w:rsid w:val="00114933"/>
    <w:rsid w:val="00114B5B"/>
    <w:rsid w:val="00114B87"/>
    <w:rsid w:val="001151D4"/>
    <w:rsid w:val="0011670C"/>
    <w:rsid w:val="00116842"/>
    <w:rsid w:val="00116FC0"/>
    <w:rsid w:val="00117318"/>
    <w:rsid w:val="00117BED"/>
    <w:rsid w:val="00120966"/>
    <w:rsid w:val="00120B9D"/>
    <w:rsid w:val="00122310"/>
    <w:rsid w:val="00122A38"/>
    <w:rsid w:val="00123012"/>
    <w:rsid w:val="00123410"/>
    <w:rsid w:val="00123804"/>
    <w:rsid w:val="00124186"/>
    <w:rsid w:val="001248BD"/>
    <w:rsid w:val="00124BCC"/>
    <w:rsid w:val="00124F3D"/>
    <w:rsid w:val="00127633"/>
    <w:rsid w:val="00130462"/>
    <w:rsid w:val="001324FE"/>
    <w:rsid w:val="0013367D"/>
    <w:rsid w:val="00133FF9"/>
    <w:rsid w:val="00134700"/>
    <w:rsid w:val="00135592"/>
    <w:rsid w:val="00135FF1"/>
    <w:rsid w:val="001361FC"/>
    <w:rsid w:val="00136544"/>
    <w:rsid w:val="001365D6"/>
    <w:rsid w:val="001369C7"/>
    <w:rsid w:val="001377F5"/>
    <w:rsid w:val="00137B2C"/>
    <w:rsid w:val="00137F8D"/>
    <w:rsid w:val="00140943"/>
    <w:rsid w:val="00142A89"/>
    <w:rsid w:val="00142EF7"/>
    <w:rsid w:val="001432B3"/>
    <w:rsid w:val="00144B6F"/>
    <w:rsid w:val="00146947"/>
    <w:rsid w:val="00146EFC"/>
    <w:rsid w:val="0014708E"/>
    <w:rsid w:val="001471F7"/>
    <w:rsid w:val="001476FD"/>
    <w:rsid w:val="00147A74"/>
    <w:rsid w:val="00147D18"/>
    <w:rsid w:val="00147F2C"/>
    <w:rsid w:val="0015081D"/>
    <w:rsid w:val="0015102C"/>
    <w:rsid w:val="001511C9"/>
    <w:rsid w:val="0015131C"/>
    <w:rsid w:val="00152BAE"/>
    <w:rsid w:val="00152F1E"/>
    <w:rsid w:val="00153569"/>
    <w:rsid w:val="00154B84"/>
    <w:rsid w:val="00154FB3"/>
    <w:rsid w:val="00155AA1"/>
    <w:rsid w:val="001561FC"/>
    <w:rsid w:val="001563DF"/>
    <w:rsid w:val="00157762"/>
    <w:rsid w:val="0016009B"/>
    <w:rsid w:val="001603A6"/>
    <w:rsid w:val="00160AE6"/>
    <w:rsid w:val="001611BB"/>
    <w:rsid w:val="0016132D"/>
    <w:rsid w:val="00161FA0"/>
    <w:rsid w:val="00162416"/>
    <w:rsid w:val="00162976"/>
    <w:rsid w:val="0016344E"/>
    <w:rsid w:val="001637E0"/>
    <w:rsid w:val="001638F5"/>
    <w:rsid w:val="00165017"/>
    <w:rsid w:val="00166292"/>
    <w:rsid w:val="00166A7A"/>
    <w:rsid w:val="00166E0D"/>
    <w:rsid w:val="00167EBC"/>
    <w:rsid w:val="00167FB8"/>
    <w:rsid w:val="001703C3"/>
    <w:rsid w:val="001704C3"/>
    <w:rsid w:val="001709F3"/>
    <w:rsid w:val="0017154F"/>
    <w:rsid w:val="0017194C"/>
    <w:rsid w:val="00171A61"/>
    <w:rsid w:val="00171BF8"/>
    <w:rsid w:val="00172956"/>
    <w:rsid w:val="00172FC6"/>
    <w:rsid w:val="00174444"/>
    <w:rsid w:val="00175032"/>
    <w:rsid w:val="001755D0"/>
    <w:rsid w:val="00175AD1"/>
    <w:rsid w:val="001807B8"/>
    <w:rsid w:val="00181B40"/>
    <w:rsid w:val="00181D6B"/>
    <w:rsid w:val="00182224"/>
    <w:rsid w:val="00184794"/>
    <w:rsid w:val="0018534D"/>
    <w:rsid w:val="00186015"/>
    <w:rsid w:val="001861C7"/>
    <w:rsid w:val="0018672E"/>
    <w:rsid w:val="00186CD4"/>
    <w:rsid w:val="00187288"/>
    <w:rsid w:val="001874E7"/>
    <w:rsid w:val="00187F1C"/>
    <w:rsid w:val="0019019D"/>
    <w:rsid w:val="0019026E"/>
    <w:rsid w:val="00190791"/>
    <w:rsid w:val="00191250"/>
    <w:rsid w:val="00191A7F"/>
    <w:rsid w:val="00192152"/>
    <w:rsid w:val="001924F6"/>
    <w:rsid w:val="001927AF"/>
    <w:rsid w:val="00192A21"/>
    <w:rsid w:val="001931AE"/>
    <w:rsid w:val="001935D3"/>
    <w:rsid w:val="001936AE"/>
    <w:rsid w:val="00193A25"/>
    <w:rsid w:val="00193EC2"/>
    <w:rsid w:val="00193F0A"/>
    <w:rsid w:val="0019430E"/>
    <w:rsid w:val="001944E7"/>
    <w:rsid w:val="00194BFF"/>
    <w:rsid w:val="00194E64"/>
    <w:rsid w:val="00194FA6"/>
    <w:rsid w:val="001953C2"/>
    <w:rsid w:val="0019664B"/>
    <w:rsid w:val="0019670A"/>
    <w:rsid w:val="00196C1F"/>
    <w:rsid w:val="001A01D5"/>
    <w:rsid w:val="001A0537"/>
    <w:rsid w:val="001A165A"/>
    <w:rsid w:val="001A1D25"/>
    <w:rsid w:val="001A3666"/>
    <w:rsid w:val="001A43C9"/>
    <w:rsid w:val="001A468E"/>
    <w:rsid w:val="001A4A4E"/>
    <w:rsid w:val="001A6180"/>
    <w:rsid w:val="001A6535"/>
    <w:rsid w:val="001A6771"/>
    <w:rsid w:val="001A76D5"/>
    <w:rsid w:val="001B1930"/>
    <w:rsid w:val="001B1C9F"/>
    <w:rsid w:val="001B1E4C"/>
    <w:rsid w:val="001B26DB"/>
    <w:rsid w:val="001B3380"/>
    <w:rsid w:val="001B3A8B"/>
    <w:rsid w:val="001B3E56"/>
    <w:rsid w:val="001B4157"/>
    <w:rsid w:val="001B4970"/>
    <w:rsid w:val="001B5942"/>
    <w:rsid w:val="001B7799"/>
    <w:rsid w:val="001B7CA1"/>
    <w:rsid w:val="001C00EC"/>
    <w:rsid w:val="001C0377"/>
    <w:rsid w:val="001C0906"/>
    <w:rsid w:val="001C0B5F"/>
    <w:rsid w:val="001C1725"/>
    <w:rsid w:val="001C1EEC"/>
    <w:rsid w:val="001C1F03"/>
    <w:rsid w:val="001C228C"/>
    <w:rsid w:val="001C2FB7"/>
    <w:rsid w:val="001C331D"/>
    <w:rsid w:val="001C33C4"/>
    <w:rsid w:val="001C396C"/>
    <w:rsid w:val="001C3EBC"/>
    <w:rsid w:val="001C4C27"/>
    <w:rsid w:val="001C50D1"/>
    <w:rsid w:val="001C5ACA"/>
    <w:rsid w:val="001C5C81"/>
    <w:rsid w:val="001C775E"/>
    <w:rsid w:val="001C7BAA"/>
    <w:rsid w:val="001C7CA3"/>
    <w:rsid w:val="001C7F08"/>
    <w:rsid w:val="001D0160"/>
    <w:rsid w:val="001D040D"/>
    <w:rsid w:val="001D08FF"/>
    <w:rsid w:val="001D1C6F"/>
    <w:rsid w:val="001D2DD0"/>
    <w:rsid w:val="001D30C9"/>
    <w:rsid w:val="001D3A83"/>
    <w:rsid w:val="001D3F8E"/>
    <w:rsid w:val="001D4087"/>
    <w:rsid w:val="001D42BE"/>
    <w:rsid w:val="001D44FD"/>
    <w:rsid w:val="001D551F"/>
    <w:rsid w:val="001D5DD6"/>
    <w:rsid w:val="001D6844"/>
    <w:rsid w:val="001D68C7"/>
    <w:rsid w:val="001D78F5"/>
    <w:rsid w:val="001D7F79"/>
    <w:rsid w:val="001E11B2"/>
    <w:rsid w:val="001E1F6A"/>
    <w:rsid w:val="001E23A9"/>
    <w:rsid w:val="001E2A9A"/>
    <w:rsid w:val="001E4E58"/>
    <w:rsid w:val="001E5F1E"/>
    <w:rsid w:val="001E6E5A"/>
    <w:rsid w:val="001E76BC"/>
    <w:rsid w:val="001E7CD1"/>
    <w:rsid w:val="001E7FC1"/>
    <w:rsid w:val="001F0269"/>
    <w:rsid w:val="001F069A"/>
    <w:rsid w:val="001F07DC"/>
    <w:rsid w:val="001F0C82"/>
    <w:rsid w:val="001F1746"/>
    <w:rsid w:val="001F2306"/>
    <w:rsid w:val="001F2554"/>
    <w:rsid w:val="001F2873"/>
    <w:rsid w:val="001F2EBD"/>
    <w:rsid w:val="001F3C68"/>
    <w:rsid w:val="001F3CD0"/>
    <w:rsid w:val="001F4012"/>
    <w:rsid w:val="001F414E"/>
    <w:rsid w:val="001F55B6"/>
    <w:rsid w:val="001F60F7"/>
    <w:rsid w:val="001F6752"/>
    <w:rsid w:val="001F768D"/>
    <w:rsid w:val="001F7790"/>
    <w:rsid w:val="001F7D5F"/>
    <w:rsid w:val="00200602"/>
    <w:rsid w:val="00200A1B"/>
    <w:rsid w:val="00200BD6"/>
    <w:rsid w:val="00201018"/>
    <w:rsid w:val="00201036"/>
    <w:rsid w:val="002011F1"/>
    <w:rsid w:val="0020138D"/>
    <w:rsid w:val="00201544"/>
    <w:rsid w:val="0020222F"/>
    <w:rsid w:val="00202BB5"/>
    <w:rsid w:val="002032D8"/>
    <w:rsid w:val="0020378A"/>
    <w:rsid w:val="00203F61"/>
    <w:rsid w:val="00204655"/>
    <w:rsid w:val="002049DA"/>
    <w:rsid w:val="00204DC4"/>
    <w:rsid w:val="0020502E"/>
    <w:rsid w:val="002050D4"/>
    <w:rsid w:val="002051D6"/>
    <w:rsid w:val="00205362"/>
    <w:rsid w:val="002059AB"/>
    <w:rsid w:val="00205DCD"/>
    <w:rsid w:val="0020678C"/>
    <w:rsid w:val="002077F0"/>
    <w:rsid w:val="0021016E"/>
    <w:rsid w:val="0021030C"/>
    <w:rsid w:val="00210703"/>
    <w:rsid w:val="00210B7B"/>
    <w:rsid w:val="0021108A"/>
    <w:rsid w:val="00212112"/>
    <w:rsid w:val="00213A6F"/>
    <w:rsid w:val="00214064"/>
    <w:rsid w:val="002143BC"/>
    <w:rsid w:val="00214931"/>
    <w:rsid w:val="00214FE1"/>
    <w:rsid w:val="002159B9"/>
    <w:rsid w:val="00215FB7"/>
    <w:rsid w:val="00216C4E"/>
    <w:rsid w:val="002172AE"/>
    <w:rsid w:val="00221464"/>
    <w:rsid w:val="00221F37"/>
    <w:rsid w:val="00222780"/>
    <w:rsid w:val="00222C4A"/>
    <w:rsid w:val="00223553"/>
    <w:rsid w:val="00223FF0"/>
    <w:rsid w:val="0022401F"/>
    <w:rsid w:val="0022421E"/>
    <w:rsid w:val="00224852"/>
    <w:rsid w:val="00225127"/>
    <w:rsid w:val="002261DF"/>
    <w:rsid w:val="002266B7"/>
    <w:rsid w:val="00226F61"/>
    <w:rsid w:val="00227159"/>
    <w:rsid w:val="0022715D"/>
    <w:rsid w:val="002275EC"/>
    <w:rsid w:val="0023005E"/>
    <w:rsid w:val="00230268"/>
    <w:rsid w:val="00230BDD"/>
    <w:rsid w:val="00230DAB"/>
    <w:rsid w:val="00231EAE"/>
    <w:rsid w:val="00232494"/>
    <w:rsid w:val="00232CAE"/>
    <w:rsid w:val="00232D04"/>
    <w:rsid w:val="00232F1B"/>
    <w:rsid w:val="002346A7"/>
    <w:rsid w:val="0023696F"/>
    <w:rsid w:val="00236BE5"/>
    <w:rsid w:val="00236CE8"/>
    <w:rsid w:val="00236E13"/>
    <w:rsid w:val="002377D6"/>
    <w:rsid w:val="0024053C"/>
    <w:rsid w:val="00242F1E"/>
    <w:rsid w:val="00243AA6"/>
    <w:rsid w:val="00244622"/>
    <w:rsid w:val="0024478F"/>
    <w:rsid w:val="00245202"/>
    <w:rsid w:val="00246050"/>
    <w:rsid w:val="00246190"/>
    <w:rsid w:val="00246DB3"/>
    <w:rsid w:val="00246F5D"/>
    <w:rsid w:val="0025023F"/>
    <w:rsid w:val="00250354"/>
    <w:rsid w:val="0025076E"/>
    <w:rsid w:val="002509DE"/>
    <w:rsid w:val="002522CA"/>
    <w:rsid w:val="00252525"/>
    <w:rsid w:val="0025294E"/>
    <w:rsid w:val="00252F5E"/>
    <w:rsid w:val="00253594"/>
    <w:rsid w:val="002538C1"/>
    <w:rsid w:val="0025423A"/>
    <w:rsid w:val="002545A6"/>
    <w:rsid w:val="00254616"/>
    <w:rsid w:val="002557F3"/>
    <w:rsid w:val="002563D7"/>
    <w:rsid w:val="00256C2B"/>
    <w:rsid w:val="00256EA1"/>
    <w:rsid w:val="002574AB"/>
    <w:rsid w:val="002577A7"/>
    <w:rsid w:val="00257FCD"/>
    <w:rsid w:val="00260B2A"/>
    <w:rsid w:val="00260FB8"/>
    <w:rsid w:val="00263228"/>
    <w:rsid w:val="00263F59"/>
    <w:rsid w:val="00263FCB"/>
    <w:rsid w:val="00264AC6"/>
    <w:rsid w:val="00266327"/>
    <w:rsid w:val="00266A26"/>
    <w:rsid w:val="00266FC0"/>
    <w:rsid w:val="00267015"/>
    <w:rsid w:val="00267698"/>
    <w:rsid w:val="0026770B"/>
    <w:rsid w:val="00267A55"/>
    <w:rsid w:val="002703CB"/>
    <w:rsid w:val="00270EDD"/>
    <w:rsid w:val="00270FE5"/>
    <w:rsid w:val="00271E21"/>
    <w:rsid w:val="00272257"/>
    <w:rsid w:val="00273CC8"/>
    <w:rsid w:val="00274128"/>
    <w:rsid w:val="00274BA1"/>
    <w:rsid w:val="00274BCD"/>
    <w:rsid w:val="00275221"/>
    <w:rsid w:val="00275B36"/>
    <w:rsid w:val="0027621A"/>
    <w:rsid w:val="00276293"/>
    <w:rsid w:val="0027660C"/>
    <w:rsid w:val="00276BB5"/>
    <w:rsid w:val="002771F7"/>
    <w:rsid w:val="0027751C"/>
    <w:rsid w:val="0027778C"/>
    <w:rsid w:val="0028068F"/>
    <w:rsid w:val="002811C4"/>
    <w:rsid w:val="00281A08"/>
    <w:rsid w:val="00281B31"/>
    <w:rsid w:val="00281BC7"/>
    <w:rsid w:val="00281E2D"/>
    <w:rsid w:val="002826C8"/>
    <w:rsid w:val="00284104"/>
    <w:rsid w:val="00284EBA"/>
    <w:rsid w:val="002864DB"/>
    <w:rsid w:val="00286707"/>
    <w:rsid w:val="002867A0"/>
    <w:rsid w:val="002876B4"/>
    <w:rsid w:val="00287DF9"/>
    <w:rsid w:val="0029025C"/>
    <w:rsid w:val="002904D6"/>
    <w:rsid w:val="00290601"/>
    <w:rsid w:val="002906AE"/>
    <w:rsid w:val="002907F6"/>
    <w:rsid w:val="00290CD3"/>
    <w:rsid w:val="00291D6E"/>
    <w:rsid w:val="00292B5D"/>
    <w:rsid w:val="0029311E"/>
    <w:rsid w:val="0029323A"/>
    <w:rsid w:val="0029325F"/>
    <w:rsid w:val="002946AE"/>
    <w:rsid w:val="00294C07"/>
    <w:rsid w:val="00295196"/>
    <w:rsid w:val="00295295"/>
    <w:rsid w:val="002954DB"/>
    <w:rsid w:val="0029614E"/>
    <w:rsid w:val="00297B49"/>
    <w:rsid w:val="002A1280"/>
    <w:rsid w:val="002A1B40"/>
    <w:rsid w:val="002A1B6F"/>
    <w:rsid w:val="002A2028"/>
    <w:rsid w:val="002A216A"/>
    <w:rsid w:val="002A29D1"/>
    <w:rsid w:val="002A335C"/>
    <w:rsid w:val="002A345E"/>
    <w:rsid w:val="002A3574"/>
    <w:rsid w:val="002A41DF"/>
    <w:rsid w:val="002A6334"/>
    <w:rsid w:val="002A6702"/>
    <w:rsid w:val="002A6D74"/>
    <w:rsid w:val="002A7AE3"/>
    <w:rsid w:val="002B09A6"/>
    <w:rsid w:val="002B0B49"/>
    <w:rsid w:val="002B187D"/>
    <w:rsid w:val="002B21F8"/>
    <w:rsid w:val="002B22C3"/>
    <w:rsid w:val="002B2375"/>
    <w:rsid w:val="002B3C8B"/>
    <w:rsid w:val="002B549E"/>
    <w:rsid w:val="002B5656"/>
    <w:rsid w:val="002B5AA7"/>
    <w:rsid w:val="002B60AB"/>
    <w:rsid w:val="002B6B95"/>
    <w:rsid w:val="002B6F6C"/>
    <w:rsid w:val="002B7669"/>
    <w:rsid w:val="002B7912"/>
    <w:rsid w:val="002C06E5"/>
    <w:rsid w:val="002C0B6B"/>
    <w:rsid w:val="002C0F12"/>
    <w:rsid w:val="002C1A0C"/>
    <w:rsid w:val="002C1B5B"/>
    <w:rsid w:val="002C1C46"/>
    <w:rsid w:val="002C2265"/>
    <w:rsid w:val="002C2DFE"/>
    <w:rsid w:val="002C330E"/>
    <w:rsid w:val="002C48A2"/>
    <w:rsid w:val="002C49C4"/>
    <w:rsid w:val="002C51AA"/>
    <w:rsid w:val="002C5D3E"/>
    <w:rsid w:val="002C5DA2"/>
    <w:rsid w:val="002C6324"/>
    <w:rsid w:val="002C734F"/>
    <w:rsid w:val="002C7779"/>
    <w:rsid w:val="002C79BC"/>
    <w:rsid w:val="002D035B"/>
    <w:rsid w:val="002D0645"/>
    <w:rsid w:val="002D0784"/>
    <w:rsid w:val="002D0D32"/>
    <w:rsid w:val="002D0EE1"/>
    <w:rsid w:val="002D1428"/>
    <w:rsid w:val="002D1C3D"/>
    <w:rsid w:val="002D200E"/>
    <w:rsid w:val="002D2108"/>
    <w:rsid w:val="002D3587"/>
    <w:rsid w:val="002D3599"/>
    <w:rsid w:val="002D4778"/>
    <w:rsid w:val="002D4CF3"/>
    <w:rsid w:val="002D4F14"/>
    <w:rsid w:val="002D5419"/>
    <w:rsid w:val="002D5973"/>
    <w:rsid w:val="002D5DED"/>
    <w:rsid w:val="002D6285"/>
    <w:rsid w:val="002D66C7"/>
    <w:rsid w:val="002D6E5C"/>
    <w:rsid w:val="002D77A2"/>
    <w:rsid w:val="002E0EA2"/>
    <w:rsid w:val="002E222B"/>
    <w:rsid w:val="002E2951"/>
    <w:rsid w:val="002E2C55"/>
    <w:rsid w:val="002E31B4"/>
    <w:rsid w:val="002E463B"/>
    <w:rsid w:val="002E4B6F"/>
    <w:rsid w:val="002E53C5"/>
    <w:rsid w:val="002E5970"/>
    <w:rsid w:val="002E59BC"/>
    <w:rsid w:val="002E5E82"/>
    <w:rsid w:val="002E60AA"/>
    <w:rsid w:val="002E630B"/>
    <w:rsid w:val="002E6DBB"/>
    <w:rsid w:val="002E70B7"/>
    <w:rsid w:val="002E7831"/>
    <w:rsid w:val="002F0291"/>
    <w:rsid w:val="002F057B"/>
    <w:rsid w:val="002F15CA"/>
    <w:rsid w:val="002F1C43"/>
    <w:rsid w:val="002F2BC4"/>
    <w:rsid w:val="002F2E6F"/>
    <w:rsid w:val="002F2FCE"/>
    <w:rsid w:val="002F32E5"/>
    <w:rsid w:val="002F35A4"/>
    <w:rsid w:val="002F4555"/>
    <w:rsid w:val="002F4895"/>
    <w:rsid w:val="002F5037"/>
    <w:rsid w:val="002F516F"/>
    <w:rsid w:val="002F6374"/>
    <w:rsid w:val="002F6BEA"/>
    <w:rsid w:val="002F6C87"/>
    <w:rsid w:val="002F6FA7"/>
    <w:rsid w:val="002F72C4"/>
    <w:rsid w:val="002F74E3"/>
    <w:rsid w:val="00300100"/>
    <w:rsid w:val="00300A7A"/>
    <w:rsid w:val="00300BA3"/>
    <w:rsid w:val="0030139F"/>
    <w:rsid w:val="003025C6"/>
    <w:rsid w:val="0030321A"/>
    <w:rsid w:val="00303685"/>
    <w:rsid w:val="00303C84"/>
    <w:rsid w:val="00303ED6"/>
    <w:rsid w:val="00304300"/>
    <w:rsid w:val="0030574B"/>
    <w:rsid w:val="003057CE"/>
    <w:rsid w:val="003059EB"/>
    <w:rsid w:val="00305A0A"/>
    <w:rsid w:val="00305C9B"/>
    <w:rsid w:val="00306D13"/>
    <w:rsid w:val="00307591"/>
    <w:rsid w:val="0030788C"/>
    <w:rsid w:val="00310095"/>
    <w:rsid w:val="003117C1"/>
    <w:rsid w:val="003117C9"/>
    <w:rsid w:val="00312221"/>
    <w:rsid w:val="00312489"/>
    <w:rsid w:val="003127A2"/>
    <w:rsid w:val="00313009"/>
    <w:rsid w:val="003140C1"/>
    <w:rsid w:val="0031443C"/>
    <w:rsid w:val="00314A5A"/>
    <w:rsid w:val="003158F0"/>
    <w:rsid w:val="003166C1"/>
    <w:rsid w:val="00316805"/>
    <w:rsid w:val="00316B62"/>
    <w:rsid w:val="003170DD"/>
    <w:rsid w:val="003172EB"/>
    <w:rsid w:val="003177BD"/>
    <w:rsid w:val="00317C4E"/>
    <w:rsid w:val="00321364"/>
    <w:rsid w:val="00321815"/>
    <w:rsid w:val="00321EFE"/>
    <w:rsid w:val="00322806"/>
    <w:rsid w:val="0032280A"/>
    <w:rsid w:val="003235A7"/>
    <w:rsid w:val="003243D0"/>
    <w:rsid w:val="003246E1"/>
    <w:rsid w:val="0032498F"/>
    <w:rsid w:val="003257B1"/>
    <w:rsid w:val="003259E7"/>
    <w:rsid w:val="003307C1"/>
    <w:rsid w:val="00330A4B"/>
    <w:rsid w:val="00330BBA"/>
    <w:rsid w:val="00330C94"/>
    <w:rsid w:val="00331739"/>
    <w:rsid w:val="003318E4"/>
    <w:rsid w:val="00332523"/>
    <w:rsid w:val="0033254B"/>
    <w:rsid w:val="00333207"/>
    <w:rsid w:val="00333B8B"/>
    <w:rsid w:val="0033481A"/>
    <w:rsid w:val="00334D47"/>
    <w:rsid w:val="00334E7A"/>
    <w:rsid w:val="00334EA9"/>
    <w:rsid w:val="00336904"/>
    <w:rsid w:val="00336B00"/>
    <w:rsid w:val="00336DAF"/>
    <w:rsid w:val="00337014"/>
    <w:rsid w:val="003370DF"/>
    <w:rsid w:val="0034015F"/>
    <w:rsid w:val="00340D79"/>
    <w:rsid w:val="00340DD5"/>
    <w:rsid w:val="00341124"/>
    <w:rsid w:val="003416F1"/>
    <w:rsid w:val="00341D2D"/>
    <w:rsid w:val="00341DC9"/>
    <w:rsid w:val="0034215A"/>
    <w:rsid w:val="003424F9"/>
    <w:rsid w:val="0034307F"/>
    <w:rsid w:val="003430D1"/>
    <w:rsid w:val="0034315F"/>
    <w:rsid w:val="00343EC5"/>
    <w:rsid w:val="00344062"/>
    <w:rsid w:val="00345022"/>
    <w:rsid w:val="0034613D"/>
    <w:rsid w:val="00346ED9"/>
    <w:rsid w:val="00347F17"/>
    <w:rsid w:val="00350147"/>
    <w:rsid w:val="00350350"/>
    <w:rsid w:val="00350C1C"/>
    <w:rsid w:val="00350FCA"/>
    <w:rsid w:val="00351268"/>
    <w:rsid w:val="003520B7"/>
    <w:rsid w:val="003523DF"/>
    <w:rsid w:val="003525B6"/>
    <w:rsid w:val="0035302C"/>
    <w:rsid w:val="0035381A"/>
    <w:rsid w:val="003546B8"/>
    <w:rsid w:val="00354A4D"/>
    <w:rsid w:val="00354DDE"/>
    <w:rsid w:val="00355145"/>
    <w:rsid w:val="00355638"/>
    <w:rsid w:val="00355B35"/>
    <w:rsid w:val="00356702"/>
    <w:rsid w:val="00357D41"/>
    <w:rsid w:val="00361253"/>
    <w:rsid w:val="00361B71"/>
    <w:rsid w:val="003637DB"/>
    <w:rsid w:val="00364405"/>
    <w:rsid w:val="00366E37"/>
    <w:rsid w:val="00367015"/>
    <w:rsid w:val="00367C05"/>
    <w:rsid w:val="00367F78"/>
    <w:rsid w:val="00371119"/>
    <w:rsid w:val="00371464"/>
    <w:rsid w:val="00371547"/>
    <w:rsid w:val="00371BEC"/>
    <w:rsid w:val="0037252C"/>
    <w:rsid w:val="00372D24"/>
    <w:rsid w:val="0037313F"/>
    <w:rsid w:val="00373D73"/>
    <w:rsid w:val="0037454B"/>
    <w:rsid w:val="00374FCE"/>
    <w:rsid w:val="00375253"/>
    <w:rsid w:val="0037580F"/>
    <w:rsid w:val="00376655"/>
    <w:rsid w:val="00376A42"/>
    <w:rsid w:val="00377015"/>
    <w:rsid w:val="003800EB"/>
    <w:rsid w:val="003803ED"/>
    <w:rsid w:val="0038155A"/>
    <w:rsid w:val="00382D37"/>
    <w:rsid w:val="00383A44"/>
    <w:rsid w:val="0038414D"/>
    <w:rsid w:val="00384334"/>
    <w:rsid w:val="00385124"/>
    <w:rsid w:val="003854F2"/>
    <w:rsid w:val="003857F1"/>
    <w:rsid w:val="0038589B"/>
    <w:rsid w:val="00386816"/>
    <w:rsid w:val="0038686D"/>
    <w:rsid w:val="0038686F"/>
    <w:rsid w:val="00386A44"/>
    <w:rsid w:val="00387268"/>
    <w:rsid w:val="003873CA"/>
    <w:rsid w:val="003878CC"/>
    <w:rsid w:val="00387A85"/>
    <w:rsid w:val="00391B10"/>
    <w:rsid w:val="00391C40"/>
    <w:rsid w:val="00392412"/>
    <w:rsid w:val="00392CE5"/>
    <w:rsid w:val="00392F89"/>
    <w:rsid w:val="00393EE1"/>
    <w:rsid w:val="003940E3"/>
    <w:rsid w:val="00394588"/>
    <w:rsid w:val="00394E75"/>
    <w:rsid w:val="00395319"/>
    <w:rsid w:val="003968FC"/>
    <w:rsid w:val="00396A68"/>
    <w:rsid w:val="00396F8B"/>
    <w:rsid w:val="003A05C6"/>
    <w:rsid w:val="003A0797"/>
    <w:rsid w:val="003A0A63"/>
    <w:rsid w:val="003A139E"/>
    <w:rsid w:val="003A1446"/>
    <w:rsid w:val="003A23D9"/>
    <w:rsid w:val="003A26EE"/>
    <w:rsid w:val="003A2731"/>
    <w:rsid w:val="003A343D"/>
    <w:rsid w:val="003A37F9"/>
    <w:rsid w:val="003A43E4"/>
    <w:rsid w:val="003A4B76"/>
    <w:rsid w:val="003A4D82"/>
    <w:rsid w:val="003A6FE0"/>
    <w:rsid w:val="003A78A1"/>
    <w:rsid w:val="003A79B0"/>
    <w:rsid w:val="003B045A"/>
    <w:rsid w:val="003B099D"/>
    <w:rsid w:val="003B130A"/>
    <w:rsid w:val="003B1893"/>
    <w:rsid w:val="003B1A87"/>
    <w:rsid w:val="003B3273"/>
    <w:rsid w:val="003B34E7"/>
    <w:rsid w:val="003B41C7"/>
    <w:rsid w:val="003B4402"/>
    <w:rsid w:val="003B4BF2"/>
    <w:rsid w:val="003B4C2B"/>
    <w:rsid w:val="003B594E"/>
    <w:rsid w:val="003B59EB"/>
    <w:rsid w:val="003B6471"/>
    <w:rsid w:val="003B68BB"/>
    <w:rsid w:val="003B6CCC"/>
    <w:rsid w:val="003B7314"/>
    <w:rsid w:val="003B77FA"/>
    <w:rsid w:val="003C101D"/>
    <w:rsid w:val="003C1367"/>
    <w:rsid w:val="003C21E4"/>
    <w:rsid w:val="003C3C99"/>
    <w:rsid w:val="003C42E1"/>
    <w:rsid w:val="003C434C"/>
    <w:rsid w:val="003C5827"/>
    <w:rsid w:val="003C5C4D"/>
    <w:rsid w:val="003D058C"/>
    <w:rsid w:val="003D0912"/>
    <w:rsid w:val="003D0DCB"/>
    <w:rsid w:val="003D121C"/>
    <w:rsid w:val="003D18DA"/>
    <w:rsid w:val="003D238F"/>
    <w:rsid w:val="003D295F"/>
    <w:rsid w:val="003D3156"/>
    <w:rsid w:val="003D3BAA"/>
    <w:rsid w:val="003D3EED"/>
    <w:rsid w:val="003D413C"/>
    <w:rsid w:val="003D45C5"/>
    <w:rsid w:val="003D476A"/>
    <w:rsid w:val="003D4DF6"/>
    <w:rsid w:val="003D4E9B"/>
    <w:rsid w:val="003D4F52"/>
    <w:rsid w:val="003D55F6"/>
    <w:rsid w:val="003D59FE"/>
    <w:rsid w:val="003D5EC2"/>
    <w:rsid w:val="003D7734"/>
    <w:rsid w:val="003D7B8A"/>
    <w:rsid w:val="003E0593"/>
    <w:rsid w:val="003E0FB3"/>
    <w:rsid w:val="003E240B"/>
    <w:rsid w:val="003E246F"/>
    <w:rsid w:val="003E25A2"/>
    <w:rsid w:val="003E2E5F"/>
    <w:rsid w:val="003E3BCA"/>
    <w:rsid w:val="003E4676"/>
    <w:rsid w:val="003E4AF2"/>
    <w:rsid w:val="003E549D"/>
    <w:rsid w:val="003E5515"/>
    <w:rsid w:val="003E5520"/>
    <w:rsid w:val="003E56E0"/>
    <w:rsid w:val="003E6313"/>
    <w:rsid w:val="003E67EE"/>
    <w:rsid w:val="003E6945"/>
    <w:rsid w:val="003E6DB0"/>
    <w:rsid w:val="003E7131"/>
    <w:rsid w:val="003E7880"/>
    <w:rsid w:val="003E7BE3"/>
    <w:rsid w:val="003F16C5"/>
    <w:rsid w:val="003F2478"/>
    <w:rsid w:val="003F24DD"/>
    <w:rsid w:val="003F349E"/>
    <w:rsid w:val="003F36CB"/>
    <w:rsid w:val="003F3881"/>
    <w:rsid w:val="003F3B67"/>
    <w:rsid w:val="003F448F"/>
    <w:rsid w:val="003F51C6"/>
    <w:rsid w:val="003F52EB"/>
    <w:rsid w:val="003F5BC8"/>
    <w:rsid w:val="003F62A8"/>
    <w:rsid w:val="003F69C1"/>
    <w:rsid w:val="003F6C68"/>
    <w:rsid w:val="003F732D"/>
    <w:rsid w:val="003F74DA"/>
    <w:rsid w:val="003F7D06"/>
    <w:rsid w:val="004002C9"/>
    <w:rsid w:val="00400B29"/>
    <w:rsid w:val="00400C1E"/>
    <w:rsid w:val="004016E1"/>
    <w:rsid w:val="00401CAB"/>
    <w:rsid w:val="00401F27"/>
    <w:rsid w:val="00402011"/>
    <w:rsid w:val="00402296"/>
    <w:rsid w:val="004026E4"/>
    <w:rsid w:val="00402E29"/>
    <w:rsid w:val="004031BA"/>
    <w:rsid w:val="004038C3"/>
    <w:rsid w:val="00403C1B"/>
    <w:rsid w:val="00403D36"/>
    <w:rsid w:val="00404164"/>
    <w:rsid w:val="00404308"/>
    <w:rsid w:val="004048D4"/>
    <w:rsid w:val="004048E6"/>
    <w:rsid w:val="004052A5"/>
    <w:rsid w:val="004055B9"/>
    <w:rsid w:val="00405BBF"/>
    <w:rsid w:val="00405D79"/>
    <w:rsid w:val="00406167"/>
    <w:rsid w:val="004063F0"/>
    <w:rsid w:val="00406C47"/>
    <w:rsid w:val="00407145"/>
    <w:rsid w:val="00410606"/>
    <w:rsid w:val="004109C9"/>
    <w:rsid w:val="00410B0B"/>
    <w:rsid w:val="00410BA2"/>
    <w:rsid w:val="00412C65"/>
    <w:rsid w:val="00412DE2"/>
    <w:rsid w:val="00412F83"/>
    <w:rsid w:val="004138E6"/>
    <w:rsid w:val="00413ADE"/>
    <w:rsid w:val="00414215"/>
    <w:rsid w:val="0041478E"/>
    <w:rsid w:val="00414D50"/>
    <w:rsid w:val="004155A3"/>
    <w:rsid w:val="00415B43"/>
    <w:rsid w:val="00415EE9"/>
    <w:rsid w:val="00416389"/>
    <w:rsid w:val="0041736E"/>
    <w:rsid w:val="0041748A"/>
    <w:rsid w:val="0041795B"/>
    <w:rsid w:val="00417CD4"/>
    <w:rsid w:val="00420929"/>
    <w:rsid w:val="00421411"/>
    <w:rsid w:val="00421C5C"/>
    <w:rsid w:val="004223B7"/>
    <w:rsid w:val="00422905"/>
    <w:rsid w:val="00423157"/>
    <w:rsid w:val="00423AD3"/>
    <w:rsid w:val="0042460E"/>
    <w:rsid w:val="00424EFB"/>
    <w:rsid w:val="00424F5E"/>
    <w:rsid w:val="00425964"/>
    <w:rsid w:val="00425EAF"/>
    <w:rsid w:val="0042620E"/>
    <w:rsid w:val="004279DB"/>
    <w:rsid w:val="00427AC7"/>
    <w:rsid w:val="00427CB8"/>
    <w:rsid w:val="00430017"/>
    <w:rsid w:val="00430387"/>
    <w:rsid w:val="0043173E"/>
    <w:rsid w:val="004319E8"/>
    <w:rsid w:val="00432560"/>
    <w:rsid w:val="0043261E"/>
    <w:rsid w:val="0043321A"/>
    <w:rsid w:val="004333DE"/>
    <w:rsid w:val="00433510"/>
    <w:rsid w:val="00433A35"/>
    <w:rsid w:val="00433A65"/>
    <w:rsid w:val="0043462F"/>
    <w:rsid w:val="004347D7"/>
    <w:rsid w:val="00434C73"/>
    <w:rsid w:val="00436123"/>
    <w:rsid w:val="00436570"/>
    <w:rsid w:val="00436691"/>
    <w:rsid w:val="00436887"/>
    <w:rsid w:val="00436AAC"/>
    <w:rsid w:val="00437BA9"/>
    <w:rsid w:val="00437C95"/>
    <w:rsid w:val="004404D1"/>
    <w:rsid w:val="00440616"/>
    <w:rsid w:val="00440C61"/>
    <w:rsid w:val="00440CCE"/>
    <w:rsid w:val="004428BC"/>
    <w:rsid w:val="0044291A"/>
    <w:rsid w:val="004430F5"/>
    <w:rsid w:val="00444024"/>
    <w:rsid w:val="00444B4D"/>
    <w:rsid w:val="00444C92"/>
    <w:rsid w:val="0044581C"/>
    <w:rsid w:val="00445C52"/>
    <w:rsid w:val="00445F29"/>
    <w:rsid w:val="004463D9"/>
    <w:rsid w:val="004471F0"/>
    <w:rsid w:val="00450128"/>
    <w:rsid w:val="00450385"/>
    <w:rsid w:val="004516E7"/>
    <w:rsid w:val="00451B9A"/>
    <w:rsid w:val="00452072"/>
    <w:rsid w:val="00452BAC"/>
    <w:rsid w:val="004538A1"/>
    <w:rsid w:val="00454BB2"/>
    <w:rsid w:val="00454BE5"/>
    <w:rsid w:val="004553A0"/>
    <w:rsid w:val="00455E29"/>
    <w:rsid w:val="004569D2"/>
    <w:rsid w:val="00457AD7"/>
    <w:rsid w:val="00457ECF"/>
    <w:rsid w:val="004604E2"/>
    <w:rsid w:val="0046093D"/>
    <w:rsid w:val="00461E6B"/>
    <w:rsid w:val="004622E2"/>
    <w:rsid w:val="00462A0C"/>
    <w:rsid w:val="00462F58"/>
    <w:rsid w:val="0046359B"/>
    <w:rsid w:val="00463865"/>
    <w:rsid w:val="004641E7"/>
    <w:rsid w:val="004644BE"/>
    <w:rsid w:val="004649F3"/>
    <w:rsid w:val="00465722"/>
    <w:rsid w:val="00465B87"/>
    <w:rsid w:val="00466699"/>
    <w:rsid w:val="004669ED"/>
    <w:rsid w:val="00466DBF"/>
    <w:rsid w:val="004675AD"/>
    <w:rsid w:val="00467BC4"/>
    <w:rsid w:val="00467D4E"/>
    <w:rsid w:val="00467E49"/>
    <w:rsid w:val="00470184"/>
    <w:rsid w:val="0047060C"/>
    <w:rsid w:val="00470978"/>
    <w:rsid w:val="00470B92"/>
    <w:rsid w:val="004711FD"/>
    <w:rsid w:val="00473E94"/>
    <w:rsid w:val="004740C7"/>
    <w:rsid w:val="00474774"/>
    <w:rsid w:val="00475722"/>
    <w:rsid w:val="00476A2F"/>
    <w:rsid w:val="00477F0A"/>
    <w:rsid w:val="0048032C"/>
    <w:rsid w:val="00480374"/>
    <w:rsid w:val="00481170"/>
    <w:rsid w:val="00482DAE"/>
    <w:rsid w:val="00483291"/>
    <w:rsid w:val="00483539"/>
    <w:rsid w:val="00483B46"/>
    <w:rsid w:val="00484A99"/>
    <w:rsid w:val="00485F43"/>
    <w:rsid w:val="0048611F"/>
    <w:rsid w:val="00486669"/>
    <w:rsid w:val="004872CA"/>
    <w:rsid w:val="00492255"/>
    <w:rsid w:val="00492B81"/>
    <w:rsid w:val="00494D84"/>
    <w:rsid w:val="0049502C"/>
    <w:rsid w:val="0049530C"/>
    <w:rsid w:val="0049565F"/>
    <w:rsid w:val="00495953"/>
    <w:rsid w:val="004959DA"/>
    <w:rsid w:val="00495C57"/>
    <w:rsid w:val="00495FF1"/>
    <w:rsid w:val="00496554"/>
    <w:rsid w:val="00496E5D"/>
    <w:rsid w:val="00497904"/>
    <w:rsid w:val="00497952"/>
    <w:rsid w:val="004A1476"/>
    <w:rsid w:val="004A2ADB"/>
    <w:rsid w:val="004A2CBF"/>
    <w:rsid w:val="004A3A35"/>
    <w:rsid w:val="004A3FF6"/>
    <w:rsid w:val="004A4265"/>
    <w:rsid w:val="004A4FFC"/>
    <w:rsid w:val="004A5DB4"/>
    <w:rsid w:val="004A5E68"/>
    <w:rsid w:val="004A714F"/>
    <w:rsid w:val="004A72AF"/>
    <w:rsid w:val="004A73D2"/>
    <w:rsid w:val="004A789C"/>
    <w:rsid w:val="004A7A02"/>
    <w:rsid w:val="004B125B"/>
    <w:rsid w:val="004B1719"/>
    <w:rsid w:val="004B26A9"/>
    <w:rsid w:val="004B2DFB"/>
    <w:rsid w:val="004B455F"/>
    <w:rsid w:val="004B4BE9"/>
    <w:rsid w:val="004B4CA1"/>
    <w:rsid w:val="004B5FCE"/>
    <w:rsid w:val="004B60D7"/>
    <w:rsid w:val="004B6A75"/>
    <w:rsid w:val="004B7E93"/>
    <w:rsid w:val="004C01E3"/>
    <w:rsid w:val="004C1EBE"/>
    <w:rsid w:val="004C2467"/>
    <w:rsid w:val="004C257F"/>
    <w:rsid w:val="004C2AB4"/>
    <w:rsid w:val="004C3CF6"/>
    <w:rsid w:val="004C3D08"/>
    <w:rsid w:val="004C4468"/>
    <w:rsid w:val="004C5D5D"/>
    <w:rsid w:val="004C66BA"/>
    <w:rsid w:val="004C6763"/>
    <w:rsid w:val="004C67E9"/>
    <w:rsid w:val="004C6862"/>
    <w:rsid w:val="004D04C1"/>
    <w:rsid w:val="004D1082"/>
    <w:rsid w:val="004D12A1"/>
    <w:rsid w:val="004D1520"/>
    <w:rsid w:val="004D1921"/>
    <w:rsid w:val="004D1BA3"/>
    <w:rsid w:val="004D1F45"/>
    <w:rsid w:val="004D26FB"/>
    <w:rsid w:val="004D2736"/>
    <w:rsid w:val="004D31E3"/>
    <w:rsid w:val="004D4156"/>
    <w:rsid w:val="004D482D"/>
    <w:rsid w:val="004D4B39"/>
    <w:rsid w:val="004D568C"/>
    <w:rsid w:val="004D66A0"/>
    <w:rsid w:val="004D7230"/>
    <w:rsid w:val="004D794C"/>
    <w:rsid w:val="004D79F7"/>
    <w:rsid w:val="004D7A5F"/>
    <w:rsid w:val="004E013D"/>
    <w:rsid w:val="004E1A2A"/>
    <w:rsid w:val="004E22FC"/>
    <w:rsid w:val="004E25B0"/>
    <w:rsid w:val="004E2C6E"/>
    <w:rsid w:val="004E2D0A"/>
    <w:rsid w:val="004E3D08"/>
    <w:rsid w:val="004E4C96"/>
    <w:rsid w:val="004E58D5"/>
    <w:rsid w:val="004E6731"/>
    <w:rsid w:val="004E734C"/>
    <w:rsid w:val="004F07D5"/>
    <w:rsid w:val="004F08A0"/>
    <w:rsid w:val="004F1904"/>
    <w:rsid w:val="004F1A05"/>
    <w:rsid w:val="004F1C71"/>
    <w:rsid w:val="004F22FF"/>
    <w:rsid w:val="004F2376"/>
    <w:rsid w:val="004F2458"/>
    <w:rsid w:val="004F25D3"/>
    <w:rsid w:val="004F26AF"/>
    <w:rsid w:val="004F2A83"/>
    <w:rsid w:val="004F2ED6"/>
    <w:rsid w:val="004F3866"/>
    <w:rsid w:val="004F3AE5"/>
    <w:rsid w:val="004F3C81"/>
    <w:rsid w:val="004F4008"/>
    <w:rsid w:val="004F435A"/>
    <w:rsid w:val="004F4651"/>
    <w:rsid w:val="004F4777"/>
    <w:rsid w:val="004F47A8"/>
    <w:rsid w:val="004F47D7"/>
    <w:rsid w:val="004F5571"/>
    <w:rsid w:val="004F55E8"/>
    <w:rsid w:val="004F5B97"/>
    <w:rsid w:val="004F6D09"/>
    <w:rsid w:val="004F7BD5"/>
    <w:rsid w:val="004F7FBE"/>
    <w:rsid w:val="005007F9"/>
    <w:rsid w:val="00501BF3"/>
    <w:rsid w:val="00502C06"/>
    <w:rsid w:val="00503B2A"/>
    <w:rsid w:val="0050403F"/>
    <w:rsid w:val="0050446D"/>
    <w:rsid w:val="005053A0"/>
    <w:rsid w:val="005057F0"/>
    <w:rsid w:val="00505A3B"/>
    <w:rsid w:val="00505C96"/>
    <w:rsid w:val="005066A4"/>
    <w:rsid w:val="005069C0"/>
    <w:rsid w:val="00506DEB"/>
    <w:rsid w:val="00507086"/>
    <w:rsid w:val="005072DB"/>
    <w:rsid w:val="00507694"/>
    <w:rsid w:val="0050777B"/>
    <w:rsid w:val="00507DCB"/>
    <w:rsid w:val="005102D4"/>
    <w:rsid w:val="00510A15"/>
    <w:rsid w:val="00511B84"/>
    <w:rsid w:val="00511BB0"/>
    <w:rsid w:val="005120EA"/>
    <w:rsid w:val="005121C2"/>
    <w:rsid w:val="0051247A"/>
    <w:rsid w:val="00512F0C"/>
    <w:rsid w:val="0051352A"/>
    <w:rsid w:val="00513958"/>
    <w:rsid w:val="00514CC5"/>
    <w:rsid w:val="005155A0"/>
    <w:rsid w:val="00515C88"/>
    <w:rsid w:val="0051652A"/>
    <w:rsid w:val="00516692"/>
    <w:rsid w:val="00516E2F"/>
    <w:rsid w:val="005173A8"/>
    <w:rsid w:val="0051768B"/>
    <w:rsid w:val="005209CF"/>
    <w:rsid w:val="005210F0"/>
    <w:rsid w:val="00521814"/>
    <w:rsid w:val="0052206D"/>
    <w:rsid w:val="00522445"/>
    <w:rsid w:val="00522803"/>
    <w:rsid w:val="00522973"/>
    <w:rsid w:val="00522CE3"/>
    <w:rsid w:val="00524296"/>
    <w:rsid w:val="0052477C"/>
    <w:rsid w:val="0052491A"/>
    <w:rsid w:val="00525207"/>
    <w:rsid w:val="005259B4"/>
    <w:rsid w:val="00525B8E"/>
    <w:rsid w:val="00526692"/>
    <w:rsid w:val="0052669E"/>
    <w:rsid w:val="00526F16"/>
    <w:rsid w:val="00527030"/>
    <w:rsid w:val="00527516"/>
    <w:rsid w:val="00527DB4"/>
    <w:rsid w:val="005313A7"/>
    <w:rsid w:val="00531C6A"/>
    <w:rsid w:val="00531E73"/>
    <w:rsid w:val="0053224D"/>
    <w:rsid w:val="00533523"/>
    <w:rsid w:val="00533DC5"/>
    <w:rsid w:val="00533F72"/>
    <w:rsid w:val="00534895"/>
    <w:rsid w:val="00534E20"/>
    <w:rsid w:val="00534F63"/>
    <w:rsid w:val="00535B93"/>
    <w:rsid w:val="00536621"/>
    <w:rsid w:val="00536B8F"/>
    <w:rsid w:val="0053712D"/>
    <w:rsid w:val="00537898"/>
    <w:rsid w:val="005405C4"/>
    <w:rsid w:val="00540713"/>
    <w:rsid w:val="00540D54"/>
    <w:rsid w:val="00541494"/>
    <w:rsid w:val="00541663"/>
    <w:rsid w:val="00541BFC"/>
    <w:rsid w:val="00541D5E"/>
    <w:rsid w:val="00542339"/>
    <w:rsid w:val="00542769"/>
    <w:rsid w:val="00542FAB"/>
    <w:rsid w:val="0054349F"/>
    <w:rsid w:val="0054384E"/>
    <w:rsid w:val="005440E0"/>
    <w:rsid w:val="00544130"/>
    <w:rsid w:val="005441B8"/>
    <w:rsid w:val="005443DB"/>
    <w:rsid w:val="00544E7E"/>
    <w:rsid w:val="005454F3"/>
    <w:rsid w:val="005458F2"/>
    <w:rsid w:val="0054608C"/>
    <w:rsid w:val="005461F5"/>
    <w:rsid w:val="00546A14"/>
    <w:rsid w:val="00546AA9"/>
    <w:rsid w:val="00547599"/>
    <w:rsid w:val="00550475"/>
    <w:rsid w:val="005506C3"/>
    <w:rsid w:val="00553546"/>
    <w:rsid w:val="00553A22"/>
    <w:rsid w:val="00554553"/>
    <w:rsid w:val="00555496"/>
    <w:rsid w:val="0055596D"/>
    <w:rsid w:val="00555D56"/>
    <w:rsid w:val="00556085"/>
    <w:rsid w:val="00556A0D"/>
    <w:rsid w:val="00556CE7"/>
    <w:rsid w:val="00556E86"/>
    <w:rsid w:val="00556F6D"/>
    <w:rsid w:val="005603DE"/>
    <w:rsid w:val="005606C5"/>
    <w:rsid w:val="005613C2"/>
    <w:rsid w:val="005628AC"/>
    <w:rsid w:val="005643FC"/>
    <w:rsid w:val="00564B65"/>
    <w:rsid w:val="005665AA"/>
    <w:rsid w:val="005667E2"/>
    <w:rsid w:val="005668F6"/>
    <w:rsid w:val="00567A3A"/>
    <w:rsid w:val="00567BA4"/>
    <w:rsid w:val="00570053"/>
    <w:rsid w:val="0057184D"/>
    <w:rsid w:val="00572613"/>
    <w:rsid w:val="0057287E"/>
    <w:rsid w:val="00572EA8"/>
    <w:rsid w:val="005731D4"/>
    <w:rsid w:val="00573B4B"/>
    <w:rsid w:val="005746AF"/>
    <w:rsid w:val="00574717"/>
    <w:rsid w:val="00575760"/>
    <w:rsid w:val="00577047"/>
    <w:rsid w:val="00577298"/>
    <w:rsid w:val="0058072F"/>
    <w:rsid w:val="00580A4C"/>
    <w:rsid w:val="0058155B"/>
    <w:rsid w:val="0058339B"/>
    <w:rsid w:val="00583976"/>
    <w:rsid w:val="00583D4E"/>
    <w:rsid w:val="005844F5"/>
    <w:rsid w:val="005853AF"/>
    <w:rsid w:val="00585867"/>
    <w:rsid w:val="00586293"/>
    <w:rsid w:val="00586F60"/>
    <w:rsid w:val="0058762A"/>
    <w:rsid w:val="00587F09"/>
    <w:rsid w:val="005906AB"/>
    <w:rsid w:val="0059082E"/>
    <w:rsid w:val="0059122D"/>
    <w:rsid w:val="0059232F"/>
    <w:rsid w:val="005923BA"/>
    <w:rsid w:val="005923C1"/>
    <w:rsid w:val="00593578"/>
    <w:rsid w:val="005939A4"/>
    <w:rsid w:val="0059409C"/>
    <w:rsid w:val="00595053"/>
    <w:rsid w:val="005957C9"/>
    <w:rsid w:val="00596783"/>
    <w:rsid w:val="00596B4B"/>
    <w:rsid w:val="00596CF5"/>
    <w:rsid w:val="0059704E"/>
    <w:rsid w:val="00597572"/>
    <w:rsid w:val="00597C25"/>
    <w:rsid w:val="005A09A1"/>
    <w:rsid w:val="005A0BDD"/>
    <w:rsid w:val="005A19F2"/>
    <w:rsid w:val="005A2FF8"/>
    <w:rsid w:val="005A3061"/>
    <w:rsid w:val="005A3482"/>
    <w:rsid w:val="005A3A18"/>
    <w:rsid w:val="005A3DF1"/>
    <w:rsid w:val="005A3E90"/>
    <w:rsid w:val="005A4179"/>
    <w:rsid w:val="005A454D"/>
    <w:rsid w:val="005A4648"/>
    <w:rsid w:val="005A4DAD"/>
    <w:rsid w:val="005A655E"/>
    <w:rsid w:val="005A6E5F"/>
    <w:rsid w:val="005A7CEE"/>
    <w:rsid w:val="005A7F5B"/>
    <w:rsid w:val="005B071E"/>
    <w:rsid w:val="005B0BAF"/>
    <w:rsid w:val="005B0FB7"/>
    <w:rsid w:val="005B1060"/>
    <w:rsid w:val="005B1314"/>
    <w:rsid w:val="005B1D2A"/>
    <w:rsid w:val="005B275F"/>
    <w:rsid w:val="005B2AF5"/>
    <w:rsid w:val="005B3235"/>
    <w:rsid w:val="005B382B"/>
    <w:rsid w:val="005B38C4"/>
    <w:rsid w:val="005B3D5D"/>
    <w:rsid w:val="005B40E2"/>
    <w:rsid w:val="005B4322"/>
    <w:rsid w:val="005B465B"/>
    <w:rsid w:val="005B481F"/>
    <w:rsid w:val="005B4986"/>
    <w:rsid w:val="005B53AD"/>
    <w:rsid w:val="005B5D3F"/>
    <w:rsid w:val="005B5EAD"/>
    <w:rsid w:val="005B653C"/>
    <w:rsid w:val="005B6A92"/>
    <w:rsid w:val="005B6CC2"/>
    <w:rsid w:val="005C01D3"/>
    <w:rsid w:val="005C0861"/>
    <w:rsid w:val="005C0E00"/>
    <w:rsid w:val="005C1481"/>
    <w:rsid w:val="005C312C"/>
    <w:rsid w:val="005C3DEA"/>
    <w:rsid w:val="005C485C"/>
    <w:rsid w:val="005C4EB2"/>
    <w:rsid w:val="005C519B"/>
    <w:rsid w:val="005C5B67"/>
    <w:rsid w:val="005C7169"/>
    <w:rsid w:val="005C71FE"/>
    <w:rsid w:val="005C7755"/>
    <w:rsid w:val="005D0FFC"/>
    <w:rsid w:val="005D1F5F"/>
    <w:rsid w:val="005D279A"/>
    <w:rsid w:val="005D33FE"/>
    <w:rsid w:val="005D3F5C"/>
    <w:rsid w:val="005D44B5"/>
    <w:rsid w:val="005D4F0B"/>
    <w:rsid w:val="005D50A3"/>
    <w:rsid w:val="005D5196"/>
    <w:rsid w:val="005D5B31"/>
    <w:rsid w:val="005D5FB1"/>
    <w:rsid w:val="005D6B85"/>
    <w:rsid w:val="005E00C1"/>
    <w:rsid w:val="005E19AB"/>
    <w:rsid w:val="005E24F0"/>
    <w:rsid w:val="005E3192"/>
    <w:rsid w:val="005E3253"/>
    <w:rsid w:val="005E3AED"/>
    <w:rsid w:val="005E4E57"/>
    <w:rsid w:val="005E5028"/>
    <w:rsid w:val="005E50F6"/>
    <w:rsid w:val="005E619D"/>
    <w:rsid w:val="005E6E44"/>
    <w:rsid w:val="005E77C5"/>
    <w:rsid w:val="005F0087"/>
    <w:rsid w:val="005F0107"/>
    <w:rsid w:val="005F02CE"/>
    <w:rsid w:val="005F085D"/>
    <w:rsid w:val="005F0902"/>
    <w:rsid w:val="005F0A00"/>
    <w:rsid w:val="005F11FE"/>
    <w:rsid w:val="005F1575"/>
    <w:rsid w:val="005F1ACB"/>
    <w:rsid w:val="005F2106"/>
    <w:rsid w:val="005F2B2D"/>
    <w:rsid w:val="005F309F"/>
    <w:rsid w:val="005F3148"/>
    <w:rsid w:val="005F3C2A"/>
    <w:rsid w:val="005F4243"/>
    <w:rsid w:val="005F45C0"/>
    <w:rsid w:val="005F464B"/>
    <w:rsid w:val="005F6B8E"/>
    <w:rsid w:val="005F6F35"/>
    <w:rsid w:val="005F70D0"/>
    <w:rsid w:val="005F752F"/>
    <w:rsid w:val="005F7677"/>
    <w:rsid w:val="005F79FB"/>
    <w:rsid w:val="00600847"/>
    <w:rsid w:val="00600D51"/>
    <w:rsid w:val="00600F62"/>
    <w:rsid w:val="00601909"/>
    <w:rsid w:val="0060199A"/>
    <w:rsid w:val="00601A28"/>
    <w:rsid w:val="0060217E"/>
    <w:rsid w:val="00602A55"/>
    <w:rsid w:val="00603E32"/>
    <w:rsid w:val="00604462"/>
    <w:rsid w:val="00604BDC"/>
    <w:rsid w:val="00604FE9"/>
    <w:rsid w:val="00605405"/>
    <w:rsid w:val="00606592"/>
    <w:rsid w:val="00606677"/>
    <w:rsid w:val="00606D16"/>
    <w:rsid w:val="00607AFC"/>
    <w:rsid w:val="00607CB9"/>
    <w:rsid w:val="00607F31"/>
    <w:rsid w:val="00607FCF"/>
    <w:rsid w:val="00610C18"/>
    <w:rsid w:val="00610EC8"/>
    <w:rsid w:val="00614024"/>
    <w:rsid w:val="006141EE"/>
    <w:rsid w:val="00614EA6"/>
    <w:rsid w:val="0061508D"/>
    <w:rsid w:val="006160CB"/>
    <w:rsid w:val="00616181"/>
    <w:rsid w:val="0061690F"/>
    <w:rsid w:val="00616DE7"/>
    <w:rsid w:val="006179B1"/>
    <w:rsid w:val="00617EDB"/>
    <w:rsid w:val="006208EF"/>
    <w:rsid w:val="00621091"/>
    <w:rsid w:val="0062112F"/>
    <w:rsid w:val="00621412"/>
    <w:rsid w:val="0062224E"/>
    <w:rsid w:val="00622AC4"/>
    <w:rsid w:val="00622B58"/>
    <w:rsid w:val="00622D64"/>
    <w:rsid w:val="00623048"/>
    <w:rsid w:val="00623133"/>
    <w:rsid w:val="0062350B"/>
    <w:rsid w:val="0062382E"/>
    <w:rsid w:val="00624FAA"/>
    <w:rsid w:val="00626DC9"/>
    <w:rsid w:val="00626DDC"/>
    <w:rsid w:val="00626EC7"/>
    <w:rsid w:val="006270B2"/>
    <w:rsid w:val="00630DEA"/>
    <w:rsid w:val="006319CF"/>
    <w:rsid w:val="006319ED"/>
    <w:rsid w:val="00631D05"/>
    <w:rsid w:val="00632B4F"/>
    <w:rsid w:val="00632CA7"/>
    <w:rsid w:val="006331BF"/>
    <w:rsid w:val="00633858"/>
    <w:rsid w:val="00633A76"/>
    <w:rsid w:val="0063452A"/>
    <w:rsid w:val="00634896"/>
    <w:rsid w:val="0063714F"/>
    <w:rsid w:val="006371D3"/>
    <w:rsid w:val="006373B6"/>
    <w:rsid w:val="006400C8"/>
    <w:rsid w:val="00641436"/>
    <w:rsid w:val="00641619"/>
    <w:rsid w:val="00642001"/>
    <w:rsid w:val="006425DC"/>
    <w:rsid w:val="00642846"/>
    <w:rsid w:val="006432FA"/>
    <w:rsid w:val="00643B56"/>
    <w:rsid w:val="00644452"/>
    <w:rsid w:val="00644B8A"/>
    <w:rsid w:val="00645286"/>
    <w:rsid w:val="00645CFC"/>
    <w:rsid w:val="00645D2F"/>
    <w:rsid w:val="0064607C"/>
    <w:rsid w:val="00646868"/>
    <w:rsid w:val="00650193"/>
    <w:rsid w:val="0065065F"/>
    <w:rsid w:val="00650D30"/>
    <w:rsid w:val="00651EED"/>
    <w:rsid w:val="00652181"/>
    <w:rsid w:val="006523B8"/>
    <w:rsid w:val="00652830"/>
    <w:rsid w:val="006532A4"/>
    <w:rsid w:val="006536DC"/>
    <w:rsid w:val="00653908"/>
    <w:rsid w:val="00654EA4"/>
    <w:rsid w:val="00654F04"/>
    <w:rsid w:val="00655656"/>
    <w:rsid w:val="0065583E"/>
    <w:rsid w:val="00655B09"/>
    <w:rsid w:val="006568AC"/>
    <w:rsid w:val="00656ACB"/>
    <w:rsid w:val="00656F4D"/>
    <w:rsid w:val="006570BB"/>
    <w:rsid w:val="006571F7"/>
    <w:rsid w:val="0065733F"/>
    <w:rsid w:val="00657A45"/>
    <w:rsid w:val="00657D31"/>
    <w:rsid w:val="00657D58"/>
    <w:rsid w:val="00660B0A"/>
    <w:rsid w:val="00660F7A"/>
    <w:rsid w:val="0066154A"/>
    <w:rsid w:val="0066332F"/>
    <w:rsid w:val="00663373"/>
    <w:rsid w:val="006645B8"/>
    <w:rsid w:val="006652EE"/>
    <w:rsid w:val="00665325"/>
    <w:rsid w:val="00665A6F"/>
    <w:rsid w:val="00665A92"/>
    <w:rsid w:val="00665B5F"/>
    <w:rsid w:val="00666B0E"/>
    <w:rsid w:val="00667507"/>
    <w:rsid w:val="006675EE"/>
    <w:rsid w:val="00667A8A"/>
    <w:rsid w:val="00667E15"/>
    <w:rsid w:val="00670043"/>
    <w:rsid w:val="006708E9"/>
    <w:rsid w:val="006723BD"/>
    <w:rsid w:val="0067360A"/>
    <w:rsid w:val="00673DE2"/>
    <w:rsid w:val="006745FC"/>
    <w:rsid w:val="00674D35"/>
    <w:rsid w:val="00674F51"/>
    <w:rsid w:val="00674F5F"/>
    <w:rsid w:val="00674FEA"/>
    <w:rsid w:val="00675120"/>
    <w:rsid w:val="00675E43"/>
    <w:rsid w:val="00675F32"/>
    <w:rsid w:val="006769C6"/>
    <w:rsid w:val="00676C24"/>
    <w:rsid w:val="00676DDA"/>
    <w:rsid w:val="0068044F"/>
    <w:rsid w:val="006809A2"/>
    <w:rsid w:val="00682563"/>
    <w:rsid w:val="00682B99"/>
    <w:rsid w:val="0068406A"/>
    <w:rsid w:val="00684073"/>
    <w:rsid w:val="00684368"/>
    <w:rsid w:val="006857BF"/>
    <w:rsid w:val="006859FB"/>
    <w:rsid w:val="00687683"/>
    <w:rsid w:val="006877F9"/>
    <w:rsid w:val="00687B10"/>
    <w:rsid w:val="00687CFD"/>
    <w:rsid w:val="00690377"/>
    <w:rsid w:val="006907A8"/>
    <w:rsid w:val="006909DB"/>
    <w:rsid w:val="00690DAE"/>
    <w:rsid w:val="006911EA"/>
    <w:rsid w:val="006917A1"/>
    <w:rsid w:val="0069202A"/>
    <w:rsid w:val="00692043"/>
    <w:rsid w:val="00692425"/>
    <w:rsid w:val="00692BA3"/>
    <w:rsid w:val="00693387"/>
    <w:rsid w:val="00694479"/>
    <w:rsid w:val="00695087"/>
    <w:rsid w:val="0069526E"/>
    <w:rsid w:val="006960B7"/>
    <w:rsid w:val="00696AD3"/>
    <w:rsid w:val="00697738"/>
    <w:rsid w:val="006A049D"/>
    <w:rsid w:val="006A13E2"/>
    <w:rsid w:val="006A1C27"/>
    <w:rsid w:val="006A20BD"/>
    <w:rsid w:val="006A27A3"/>
    <w:rsid w:val="006A2847"/>
    <w:rsid w:val="006A29AA"/>
    <w:rsid w:val="006A331D"/>
    <w:rsid w:val="006A3C82"/>
    <w:rsid w:val="006A4E8D"/>
    <w:rsid w:val="006A5162"/>
    <w:rsid w:val="006A5232"/>
    <w:rsid w:val="006A5258"/>
    <w:rsid w:val="006A52AF"/>
    <w:rsid w:val="006A5737"/>
    <w:rsid w:val="006A5FF4"/>
    <w:rsid w:val="006A6235"/>
    <w:rsid w:val="006A7607"/>
    <w:rsid w:val="006A7D15"/>
    <w:rsid w:val="006B020A"/>
    <w:rsid w:val="006B128D"/>
    <w:rsid w:val="006B1389"/>
    <w:rsid w:val="006B3BA1"/>
    <w:rsid w:val="006B45C4"/>
    <w:rsid w:val="006B48CE"/>
    <w:rsid w:val="006B4CE7"/>
    <w:rsid w:val="006B4FDD"/>
    <w:rsid w:val="006B5920"/>
    <w:rsid w:val="006B5937"/>
    <w:rsid w:val="006B5D05"/>
    <w:rsid w:val="006B64DA"/>
    <w:rsid w:val="006B67E1"/>
    <w:rsid w:val="006C0150"/>
    <w:rsid w:val="006C08D0"/>
    <w:rsid w:val="006C11D7"/>
    <w:rsid w:val="006C1790"/>
    <w:rsid w:val="006C18E6"/>
    <w:rsid w:val="006C1F84"/>
    <w:rsid w:val="006C2E9B"/>
    <w:rsid w:val="006C47DF"/>
    <w:rsid w:val="006C48ED"/>
    <w:rsid w:val="006C55C4"/>
    <w:rsid w:val="006C5676"/>
    <w:rsid w:val="006C5F88"/>
    <w:rsid w:val="006C688D"/>
    <w:rsid w:val="006C6BB0"/>
    <w:rsid w:val="006C73D5"/>
    <w:rsid w:val="006C75DC"/>
    <w:rsid w:val="006C765F"/>
    <w:rsid w:val="006C7FFA"/>
    <w:rsid w:val="006D05D4"/>
    <w:rsid w:val="006D081B"/>
    <w:rsid w:val="006D0B29"/>
    <w:rsid w:val="006D0CCB"/>
    <w:rsid w:val="006D1561"/>
    <w:rsid w:val="006D1E33"/>
    <w:rsid w:val="006D1F3F"/>
    <w:rsid w:val="006D201F"/>
    <w:rsid w:val="006D304C"/>
    <w:rsid w:val="006D32DD"/>
    <w:rsid w:val="006D34F5"/>
    <w:rsid w:val="006D3668"/>
    <w:rsid w:val="006D4C7A"/>
    <w:rsid w:val="006D547C"/>
    <w:rsid w:val="006D57FE"/>
    <w:rsid w:val="006D5A59"/>
    <w:rsid w:val="006D5AB7"/>
    <w:rsid w:val="006D5FDF"/>
    <w:rsid w:val="006D6AD7"/>
    <w:rsid w:val="006D6B09"/>
    <w:rsid w:val="006D7737"/>
    <w:rsid w:val="006D7E64"/>
    <w:rsid w:val="006E0943"/>
    <w:rsid w:val="006E1D95"/>
    <w:rsid w:val="006E1EA2"/>
    <w:rsid w:val="006E20DA"/>
    <w:rsid w:val="006E2579"/>
    <w:rsid w:val="006E2BDD"/>
    <w:rsid w:val="006E37D8"/>
    <w:rsid w:val="006E4A3A"/>
    <w:rsid w:val="006E501E"/>
    <w:rsid w:val="006E5435"/>
    <w:rsid w:val="006E57A5"/>
    <w:rsid w:val="006E64DE"/>
    <w:rsid w:val="006E7B78"/>
    <w:rsid w:val="006F00D7"/>
    <w:rsid w:val="006F0151"/>
    <w:rsid w:val="006F068E"/>
    <w:rsid w:val="006F0E09"/>
    <w:rsid w:val="006F1132"/>
    <w:rsid w:val="006F1215"/>
    <w:rsid w:val="006F1253"/>
    <w:rsid w:val="006F1353"/>
    <w:rsid w:val="006F284E"/>
    <w:rsid w:val="006F2D84"/>
    <w:rsid w:val="006F30DC"/>
    <w:rsid w:val="006F3543"/>
    <w:rsid w:val="006F5E48"/>
    <w:rsid w:val="006F74EA"/>
    <w:rsid w:val="00700F31"/>
    <w:rsid w:val="00702739"/>
    <w:rsid w:val="00702BF6"/>
    <w:rsid w:val="0070341D"/>
    <w:rsid w:val="00703B2E"/>
    <w:rsid w:val="00704686"/>
    <w:rsid w:val="007054DA"/>
    <w:rsid w:val="00705C3A"/>
    <w:rsid w:val="007061B9"/>
    <w:rsid w:val="0070661A"/>
    <w:rsid w:val="00707969"/>
    <w:rsid w:val="00707F9D"/>
    <w:rsid w:val="00710882"/>
    <w:rsid w:val="007109FE"/>
    <w:rsid w:val="00710F0E"/>
    <w:rsid w:val="00711788"/>
    <w:rsid w:val="00711AE2"/>
    <w:rsid w:val="00711BEA"/>
    <w:rsid w:val="00711E59"/>
    <w:rsid w:val="00711F02"/>
    <w:rsid w:val="00712628"/>
    <w:rsid w:val="00712C17"/>
    <w:rsid w:val="00713C31"/>
    <w:rsid w:val="00714118"/>
    <w:rsid w:val="007144C9"/>
    <w:rsid w:val="007147D2"/>
    <w:rsid w:val="007148A6"/>
    <w:rsid w:val="00715422"/>
    <w:rsid w:val="00715C2D"/>
    <w:rsid w:val="00715EA2"/>
    <w:rsid w:val="0071612B"/>
    <w:rsid w:val="00716FFD"/>
    <w:rsid w:val="00717BEC"/>
    <w:rsid w:val="00720723"/>
    <w:rsid w:val="00720906"/>
    <w:rsid w:val="00720BEA"/>
    <w:rsid w:val="007219AF"/>
    <w:rsid w:val="0072248A"/>
    <w:rsid w:val="007234FF"/>
    <w:rsid w:val="007236F8"/>
    <w:rsid w:val="0072390C"/>
    <w:rsid w:val="00723DCB"/>
    <w:rsid w:val="00724722"/>
    <w:rsid w:val="00726869"/>
    <w:rsid w:val="007270FF"/>
    <w:rsid w:val="007276E1"/>
    <w:rsid w:val="00730EAD"/>
    <w:rsid w:val="00730EDF"/>
    <w:rsid w:val="00731344"/>
    <w:rsid w:val="007318BD"/>
    <w:rsid w:val="00731A31"/>
    <w:rsid w:val="00731C26"/>
    <w:rsid w:val="00731C91"/>
    <w:rsid w:val="00732114"/>
    <w:rsid w:val="00732846"/>
    <w:rsid w:val="00732AA7"/>
    <w:rsid w:val="00732C13"/>
    <w:rsid w:val="00732E52"/>
    <w:rsid w:val="00733360"/>
    <w:rsid w:val="00734261"/>
    <w:rsid w:val="007357C2"/>
    <w:rsid w:val="00735E85"/>
    <w:rsid w:val="0073620C"/>
    <w:rsid w:val="007365AD"/>
    <w:rsid w:val="00736AA5"/>
    <w:rsid w:val="00737B81"/>
    <w:rsid w:val="00737F0C"/>
    <w:rsid w:val="007406FA"/>
    <w:rsid w:val="00740A5E"/>
    <w:rsid w:val="00740A99"/>
    <w:rsid w:val="00740F21"/>
    <w:rsid w:val="007410BF"/>
    <w:rsid w:val="00741934"/>
    <w:rsid w:val="0074210C"/>
    <w:rsid w:val="00742120"/>
    <w:rsid w:val="0074272D"/>
    <w:rsid w:val="00742CE7"/>
    <w:rsid w:val="00742CF8"/>
    <w:rsid w:val="00742D70"/>
    <w:rsid w:val="00742EF0"/>
    <w:rsid w:val="00744382"/>
    <w:rsid w:val="00744E46"/>
    <w:rsid w:val="0074599C"/>
    <w:rsid w:val="00745B1C"/>
    <w:rsid w:val="00745CCF"/>
    <w:rsid w:val="00746567"/>
    <w:rsid w:val="00746940"/>
    <w:rsid w:val="00746B62"/>
    <w:rsid w:val="007501CC"/>
    <w:rsid w:val="00750443"/>
    <w:rsid w:val="007504EF"/>
    <w:rsid w:val="00750D8A"/>
    <w:rsid w:val="00750E1D"/>
    <w:rsid w:val="00751888"/>
    <w:rsid w:val="00751EA3"/>
    <w:rsid w:val="007523FA"/>
    <w:rsid w:val="0075243C"/>
    <w:rsid w:val="00752C47"/>
    <w:rsid w:val="00753678"/>
    <w:rsid w:val="0075427D"/>
    <w:rsid w:val="00754296"/>
    <w:rsid w:val="007546BF"/>
    <w:rsid w:val="00754D54"/>
    <w:rsid w:val="00754E46"/>
    <w:rsid w:val="007553C4"/>
    <w:rsid w:val="007572CC"/>
    <w:rsid w:val="007572D0"/>
    <w:rsid w:val="0075752A"/>
    <w:rsid w:val="00761107"/>
    <w:rsid w:val="0076132E"/>
    <w:rsid w:val="00761541"/>
    <w:rsid w:val="00762AA4"/>
    <w:rsid w:val="00762AA5"/>
    <w:rsid w:val="0076391D"/>
    <w:rsid w:val="0076477F"/>
    <w:rsid w:val="0076483E"/>
    <w:rsid w:val="00764B47"/>
    <w:rsid w:val="00765200"/>
    <w:rsid w:val="00765D09"/>
    <w:rsid w:val="0076628A"/>
    <w:rsid w:val="007662C0"/>
    <w:rsid w:val="0076636D"/>
    <w:rsid w:val="007674F0"/>
    <w:rsid w:val="007705E6"/>
    <w:rsid w:val="00771885"/>
    <w:rsid w:val="00771ADC"/>
    <w:rsid w:val="0077296E"/>
    <w:rsid w:val="007729FF"/>
    <w:rsid w:val="007730E1"/>
    <w:rsid w:val="00773293"/>
    <w:rsid w:val="0077347C"/>
    <w:rsid w:val="00773A94"/>
    <w:rsid w:val="00773B10"/>
    <w:rsid w:val="0077409E"/>
    <w:rsid w:val="00774185"/>
    <w:rsid w:val="00774D5D"/>
    <w:rsid w:val="007750A9"/>
    <w:rsid w:val="00775890"/>
    <w:rsid w:val="00775BF5"/>
    <w:rsid w:val="00776024"/>
    <w:rsid w:val="007766FD"/>
    <w:rsid w:val="0077677D"/>
    <w:rsid w:val="00777A32"/>
    <w:rsid w:val="00777AAC"/>
    <w:rsid w:val="00777BBD"/>
    <w:rsid w:val="00780422"/>
    <w:rsid w:val="0078048A"/>
    <w:rsid w:val="00780D56"/>
    <w:rsid w:val="00780EE6"/>
    <w:rsid w:val="00781675"/>
    <w:rsid w:val="00781E04"/>
    <w:rsid w:val="00782CF1"/>
    <w:rsid w:val="007835F5"/>
    <w:rsid w:val="007840FA"/>
    <w:rsid w:val="007848E7"/>
    <w:rsid w:val="0078493D"/>
    <w:rsid w:val="007849ED"/>
    <w:rsid w:val="007853F3"/>
    <w:rsid w:val="00785A30"/>
    <w:rsid w:val="0079002B"/>
    <w:rsid w:val="00791931"/>
    <w:rsid w:val="0079200A"/>
    <w:rsid w:val="00792E63"/>
    <w:rsid w:val="00793176"/>
    <w:rsid w:val="00793385"/>
    <w:rsid w:val="007933CA"/>
    <w:rsid w:val="0079369D"/>
    <w:rsid w:val="0079371E"/>
    <w:rsid w:val="00793826"/>
    <w:rsid w:val="00793F75"/>
    <w:rsid w:val="00794723"/>
    <w:rsid w:val="00794763"/>
    <w:rsid w:val="00794BE4"/>
    <w:rsid w:val="00795A2E"/>
    <w:rsid w:val="007A00CF"/>
    <w:rsid w:val="007A0DB2"/>
    <w:rsid w:val="007A1669"/>
    <w:rsid w:val="007A1BF1"/>
    <w:rsid w:val="007A1F7D"/>
    <w:rsid w:val="007A20CE"/>
    <w:rsid w:val="007A25EB"/>
    <w:rsid w:val="007A2E4D"/>
    <w:rsid w:val="007A32C9"/>
    <w:rsid w:val="007A47CC"/>
    <w:rsid w:val="007A4EC2"/>
    <w:rsid w:val="007A6354"/>
    <w:rsid w:val="007A70CE"/>
    <w:rsid w:val="007A70E7"/>
    <w:rsid w:val="007A76BC"/>
    <w:rsid w:val="007A776F"/>
    <w:rsid w:val="007A7F6B"/>
    <w:rsid w:val="007B01F3"/>
    <w:rsid w:val="007B0A06"/>
    <w:rsid w:val="007B0C4D"/>
    <w:rsid w:val="007B1F4C"/>
    <w:rsid w:val="007B272A"/>
    <w:rsid w:val="007B2F9D"/>
    <w:rsid w:val="007B357E"/>
    <w:rsid w:val="007B43F6"/>
    <w:rsid w:val="007B551B"/>
    <w:rsid w:val="007B5706"/>
    <w:rsid w:val="007B586C"/>
    <w:rsid w:val="007B5A0F"/>
    <w:rsid w:val="007B5A7B"/>
    <w:rsid w:val="007B70AE"/>
    <w:rsid w:val="007B78A1"/>
    <w:rsid w:val="007B7C06"/>
    <w:rsid w:val="007C0F62"/>
    <w:rsid w:val="007C1ABE"/>
    <w:rsid w:val="007C249D"/>
    <w:rsid w:val="007C2DD3"/>
    <w:rsid w:val="007C3393"/>
    <w:rsid w:val="007C3871"/>
    <w:rsid w:val="007C4760"/>
    <w:rsid w:val="007C4B60"/>
    <w:rsid w:val="007C4BB0"/>
    <w:rsid w:val="007C502F"/>
    <w:rsid w:val="007C6054"/>
    <w:rsid w:val="007C6AC9"/>
    <w:rsid w:val="007C76E2"/>
    <w:rsid w:val="007D03DF"/>
    <w:rsid w:val="007D073C"/>
    <w:rsid w:val="007D09F1"/>
    <w:rsid w:val="007D13F7"/>
    <w:rsid w:val="007D239E"/>
    <w:rsid w:val="007D2479"/>
    <w:rsid w:val="007D39DF"/>
    <w:rsid w:val="007D3FE3"/>
    <w:rsid w:val="007D4518"/>
    <w:rsid w:val="007D4A8A"/>
    <w:rsid w:val="007D5282"/>
    <w:rsid w:val="007D5778"/>
    <w:rsid w:val="007D5FC4"/>
    <w:rsid w:val="007D7D12"/>
    <w:rsid w:val="007E0973"/>
    <w:rsid w:val="007E153F"/>
    <w:rsid w:val="007E15A5"/>
    <w:rsid w:val="007E1A6E"/>
    <w:rsid w:val="007E1BBA"/>
    <w:rsid w:val="007E1C81"/>
    <w:rsid w:val="007E1E55"/>
    <w:rsid w:val="007E1FEE"/>
    <w:rsid w:val="007E2463"/>
    <w:rsid w:val="007E2CA1"/>
    <w:rsid w:val="007E2D98"/>
    <w:rsid w:val="007E300C"/>
    <w:rsid w:val="007E3024"/>
    <w:rsid w:val="007E40F4"/>
    <w:rsid w:val="007E6782"/>
    <w:rsid w:val="007E7281"/>
    <w:rsid w:val="007E763F"/>
    <w:rsid w:val="007F013E"/>
    <w:rsid w:val="007F1991"/>
    <w:rsid w:val="007F1FD8"/>
    <w:rsid w:val="007F20CD"/>
    <w:rsid w:val="007F21C5"/>
    <w:rsid w:val="007F223E"/>
    <w:rsid w:val="007F227D"/>
    <w:rsid w:val="007F2FE6"/>
    <w:rsid w:val="007F35CA"/>
    <w:rsid w:val="007F459D"/>
    <w:rsid w:val="007F45AD"/>
    <w:rsid w:val="007F4C5D"/>
    <w:rsid w:val="007F56CB"/>
    <w:rsid w:val="007F593E"/>
    <w:rsid w:val="007F5ABA"/>
    <w:rsid w:val="007F5AC7"/>
    <w:rsid w:val="007F7596"/>
    <w:rsid w:val="007F77CB"/>
    <w:rsid w:val="00800BB2"/>
    <w:rsid w:val="008021CD"/>
    <w:rsid w:val="008032E7"/>
    <w:rsid w:val="00803431"/>
    <w:rsid w:val="00803981"/>
    <w:rsid w:val="00804959"/>
    <w:rsid w:val="00804C08"/>
    <w:rsid w:val="00804E34"/>
    <w:rsid w:val="008051D6"/>
    <w:rsid w:val="0080579F"/>
    <w:rsid w:val="00805ADD"/>
    <w:rsid w:val="00805DD0"/>
    <w:rsid w:val="00806281"/>
    <w:rsid w:val="00806918"/>
    <w:rsid w:val="00806BBC"/>
    <w:rsid w:val="008077AD"/>
    <w:rsid w:val="008119DE"/>
    <w:rsid w:val="00811D6A"/>
    <w:rsid w:val="00811F50"/>
    <w:rsid w:val="008130F2"/>
    <w:rsid w:val="0081321F"/>
    <w:rsid w:val="00813267"/>
    <w:rsid w:val="00814230"/>
    <w:rsid w:val="008142EB"/>
    <w:rsid w:val="00816049"/>
    <w:rsid w:val="00817403"/>
    <w:rsid w:val="00817B89"/>
    <w:rsid w:val="008200CC"/>
    <w:rsid w:val="00820664"/>
    <w:rsid w:val="008208A1"/>
    <w:rsid w:val="00820AC6"/>
    <w:rsid w:val="00820CCD"/>
    <w:rsid w:val="00821B2A"/>
    <w:rsid w:val="00822074"/>
    <w:rsid w:val="00822171"/>
    <w:rsid w:val="00822B0B"/>
    <w:rsid w:val="00822D4F"/>
    <w:rsid w:val="00823078"/>
    <w:rsid w:val="00823559"/>
    <w:rsid w:val="00823AA4"/>
    <w:rsid w:val="00823F95"/>
    <w:rsid w:val="008249A2"/>
    <w:rsid w:val="00826262"/>
    <w:rsid w:val="00826AB0"/>
    <w:rsid w:val="00826F61"/>
    <w:rsid w:val="00827DF6"/>
    <w:rsid w:val="00827EAE"/>
    <w:rsid w:val="008310BD"/>
    <w:rsid w:val="0083141B"/>
    <w:rsid w:val="00831854"/>
    <w:rsid w:val="00831FF1"/>
    <w:rsid w:val="008325CB"/>
    <w:rsid w:val="00832D5E"/>
    <w:rsid w:val="00832F1F"/>
    <w:rsid w:val="008336A7"/>
    <w:rsid w:val="00833F50"/>
    <w:rsid w:val="008341B9"/>
    <w:rsid w:val="00834310"/>
    <w:rsid w:val="00834863"/>
    <w:rsid w:val="00835B35"/>
    <w:rsid w:val="00836F7D"/>
    <w:rsid w:val="00837D1A"/>
    <w:rsid w:val="0084018C"/>
    <w:rsid w:val="0084075D"/>
    <w:rsid w:val="008418B7"/>
    <w:rsid w:val="00841D3B"/>
    <w:rsid w:val="00841F31"/>
    <w:rsid w:val="0084253D"/>
    <w:rsid w:val="008428E1"/>
    <w:rsid w:val="008433ED"/>
    <w:rsid w:val="00843768"/>
    <w:rsid w:val="00844879"/>
    <w:rsid w:val="00844E85"/>
    <w:rsid w:val="008466B3"/>
    <w:rsid w:val="00846A57"/>
    <w:rsid w:val="00847B45"/>
    <w:rsid w:val="0085026B"/>
    <w:rsid w:val="0085031F"/>
    <w:rsid w:val="008510CC"/>
    <w:rsid w:val="00851229"/>
    <w:rsid w:val="00851235"/>
    <w:rsid w:val="0085175C"/>
    <w:rsid w:val="00852BA7"/>
    <w:rsid w:val="008537D1"/>
    <w:rsid w:val="00853A91"/>
    <w:rsid w:val="00853C6C"/>
    <w:rsid w:val="0085468C"/>
    <w:rsid w:val="00854C7C"/>
    <w:rsid w:val="0085506C"/>
    <w:rsid w:val="00855943"/>
    <w:rsid w:val="00855B94"/>
    <w:rsid w:val="00855C98"/>
    <w:rsid w:val="0085639C"/>
    <w:rsid w:val="00856810"/>
    <w:rsid w:val="00856B22"/>
    <w:rsid w:val="00856BF9"/>
    <w:rsid w:val="00856CCD"/>
    <w:rsid w:val="00856F9E"/>
    <w:rsid w:val="0085742C"/>
    <w:rsid w:val="0085799B"/>
    <w:rsid w:val="00857EA6"/>
    <w:rsid w:val="00860D45"/>
    <w:rsid w:val="00860DCC"/>
    <w:rsid w:val="00861343"/>
    <w:rsid w:val="00861A00"/>
    <w:rsid w:val="00861BB6"/>
    <w:rsid w:val="008623C7"/>
    <w:rsid w:val="008625DD"/>
    <w:rsid w:val="0086287D"/>
    <w:rsid w:val="00863A89"/>
    <w:rsid w:val="00863E4A"/>
    <w:rsid w:val="008646E2"/>
    <w:rsid w:val="00864781"/>
    <w:rsid w:val="00864F20"/>
    <w:rsid w:val="00865225"/>
    <w:rsid w:val="00865234"/>
    <w:rsid w:val="008653E6"/>
    <w:rsid w:val="008656FD"/>
    <w:rsid w:val="00866624"/>
    <w:rsid w:val="00867A8A"/>
    <w:rsid w:val="00870EE4"/>
    <w:rsid w:val="00871036"/>
    <w:rsid w:val="00871A18"/>
    <w:rsid w:val="008720A8"/>
    <w:rsid w:val="00872567"/>
    <w:rsid w:val="008731F6"/>
    <w:rsid w:val="008734FD"/>
    <w:rsid w:val="00873555"/>
    <w:rsid w:val="00873CC5"/>
    <w:rsid w:val="00873F95"/>
    <w:rsid w:val="0087452F"/>
    <w:rsid w:val="00874890"/>
    <w:rsid w:val="00874B89"/>
    <w:rsid w:val="008754F1"/>
    <w:rsid w:val="0087580C"/>
    <w:rsid w:val="00875BDC"/>
    <w:rsid w:val="008762BC"/>
    <w:rsid w:val="00876CBE"/>
    <w:rsid w:val="00877126"/>
    <w:rsid w:val="00877929"/>
    <w:rsid w:val="008802C9"/>
    <w:rsid w:val="0088056D"/>
    <w:rsid w:val="008807E8"/>
    <w:rsid w:val="008808E9"/>
    <w:rsid w:val="008816F0"/>
    <w:rsid w:val="008831C9"/>
    <w:rsid w:val="008832C7"/>
    <w:rsid w:val="008838AF"/>
    <w:rsid w:val="00884F11"/>
    <w:rsid w:val="00885623"/>
    <w:rsid w:val="00885AA1"/>
    <w:rsid w:val="00885ABB"/>
    <w:rsid w:val="00885F8F"/>
    <w:rsid w:val="00886247"/>
    <w:rsid w:val="008862E5"/>
    <w:rsid w:val="00887C91"/>
    <w:rsid w:val="008927E3"/>
    <w:rsid w:val="0089280E"/>
    <w:rsid w:val="008931DC"/>
    <w:rsid w:val="00893527"/>
    <w:rsid w:val="008939ED"/>
    <w:rsid w:val="0089437C"/>
    <w:rsid w:val="00894800"/>
    <w:rsid w:val="00895466"/>
    <w:rsid w:val="008958B1"/>
    <w:rsid w:val="00895EE2"/>
    <w:rsid w:val="00895FD5"/>
    <w:rsid w:val="008963FA"/>
    <w:rsid w:val="00896C01"/>
    <w:rsid w:val="00897AD4"/>
    <w:rsid w:val="00897C5E"/>
    <w:rsid w:val="008A04A9"/>
    <w:rsid w:val="008A06A8"/>
    <w:rsid w:val="008A1B6B"/>
    <w:rsid w:val="008A226B"/>
    <w:rsid w:val="008A2800"/>
    <w:rsid w:val="008A2E46"/>
    <w:rsid w:val="008A3011"/>
    <w:rsid w:val="008A4AF1"/>
    <w:rsid w:val="008A54C7"/>
    <w:rsid w:val="008A655B"/>
    <w:rsid w:val="008A7BC8"/>
    <w:rsid w:val="008A7E63"/>
    <w:rsid w:val="008A7F77"/>
    <w:rsid w:val="008B0660"/>
    <w:rsid w:val="008B0EC7"/>
    <w:rsid w:val="008B143C"/>
    <w:rsid w:val="008B1608"/>
    <w:rsid w:val="008B2CDC"/>
    <w:rsid w:val="008B2F60"/>
    <w:rsid w:val="008B3D8C"/>
    <w:rsid w:val="008B3EB8"/>
    <w:rsid w:val="008B3EFB"/>
    <w:rsid w:val="008B47B9"/>
    <w:rsid w:val="008B54AD"/>
    <w:rsid w:val="008B6270"/>
    <w:rsid w:val="008B642C"/>
    <w:rsid w:val="008B76CE"/>
    <w:rsid w:val="008B7979"/>
    <w:rsid w:val="008B7B03"/>
    <w:rsid w:val="008B7BB8"/>
    <w:rsid w:val="008C0489"/>
    <w:rsid w:val="008C0534"/>
    <w:rsid w:val="008C062B"/>
    <w:rsid w:val="008C2D16"/>
    <w:rsid w:val="008C3045"/>
    <w:rsid w:val="008C33EE"/>
    <w:rsid w:val="008C3729"/>
    <w:rsid w:val="008C3BA3"/>
    <w:rsid w:val="008C4068"/>
    <w:rsid w:val="008C4408"/>
    <w:rsid w:val="008C448C"/>
    <w:rsid w:val="008C4A8D"/>
    <w:rsid w:val="008C5003"/>
    <w:rsid w:val="008C6079"/>
    <w:rsid w:val="008C6794"/>
    <w:rsid w:val="008C6BAB"/>
    <w:rsid w:val="008C7B52"/>
    <w:rsid w:val="008C7C88"/>
    <w:rsid w:val="008C7D55"/>
    <w:rsid w:val="008D0598"/>
    <w:rsid w:val="008D0C77"/>
    <w:rsid w:val="008D1159"/>
    <w:rsid w:val="008D195C"/>
    <w:rsid w:val="008D1A47"/>
    <w:rsid w:val="008D1F9D"/>
    <w:rsid w:val="008D22F9"/>
    <w:rsid w:val="008D2EA4"/>
    <w:rsid w:val="008D3015"/>
    <w:rsid w:val="008D327D"/>
    <w:rsid w:val="008D3894"/>
    <w:rsid w:val="008D39B2"/>
    <w:rsid w:val="008D3F26"/>
    <w:rsid w:val="008D40D0"/>
    <w:rsid w:val="008D5031"/>
    <w:rsid w:val="008D5423"/>
    <w:rsid w:val="008D5496"/>
    <w:rsid w:val="008D5816"/>
    <w:rsid w:val="008D59F6"/>
    <w:rsid w:val="008D5C2A"/>
    <w:rsid w:val="008E0399"/>
    <w:rsid w:val="008E049A"/>
    <w:rsid w:val="008E0F97"/>
    <w:rsid w:val="008E11A1"/>
    <w:rsid w:val="008E150B"/>
    <w:rsid w:val="008E1684"/>
    <w:rsid w:val="008E22E9"/>
    <w:rsid w:val="008E2BD3"/>
    <w:rsid w:val="008E38F8"/>
    <w:rsid w:val="008E4550"/>
    <w:rsid w:val="008E4D18"/>
    <w:rsid w:val="008E56A4"/>
    <w:rsid w:val="008E5A70"/>
    <w:rsid w:val="008E65D7"/>
    <w:rsid w:val="008E6B68"/>
    <w:rsid w:val="008E6E13"/>
    <w:rsid w:val="008E7027"/>
    <w:rsid w:val="008E72DB"/>
    <w:rsid w:val="008E79F5"/>
    <w:rsid w:val="008E7F70"/>
    <w:rsid w:val="008F0B78"/>
    <w:rsid w:val="008F0CE9"/>
    <w:rsid w:val="008F205E"/>
    <w:rsid w:val="008F278C"/>
    <w:rsid w:val="008F29DA"/>
    <w:rsid w:val="008F3F63"/>
    <w:rsid w:val="008F42F7"/>
    <w:rsid w:val="008F48DD"/>
    <w:rsid w:val="008F4ADC"/>
    <w:rsid w:val="008F5460"/>
    <w:rsid w:val="008F55C3"/>
    <w:rsid w:val="008F5BB7"/>
    <w:rsid w:val="008F6A68"/>
    <w:rsid w:val="008F6CC3"/>
    <w:rsid w:val="008F7692"/>
    <w:rsid w:val="008F7732"/>
    <w:rsid w:val="008F796C"/>
    <w:rsid w:val="008F7A3D"/>
    <w:rsid w:val="009003F9"/>
    <w:rsid w:val="009005D0"/>
    <w:rsid w:val="0090129C"/>
    <w:rsid w:val="00901359"/>
    <w:rsid w:val="009016E0"/>
    <w:rsid w:val="009038C5"/>
    <w:rsid w:val="009047A4"/>
    <w:rsid w:val="0090480F"/>
    <w:rsid w:val="00905D2B"/>
    <w:rsid w:val="00905EC2"/>
    <w:rsid w:val="00906053"/>
    <w:rsid w:val="009060CE"/>
    <w:rsid w:val="0090720D"/>
    <w:rsid w:val="009072CF"/>
    <w:rsid w:val="0090747F"/>
    <w:rsid w:val="00907B0B"/>
    <w:rsid w:val="00907BD6"/>
    <w:rsid w:val="0091006E"/>
    <w:rsid w:val="0091042E"/>
    <w:rsid w:val="0091054E"/>
    <w:rsid w:val="00910BF3"/>
    <w:rsid w:val="00911CD8"/>
    <w:rsid w:val="00912409"/>
    <w:rsid w:val="009126E7"/>
    <w:rsid w:val="00913A97"/>
    <w:rsid w:val="00913F5E"/>
    <w:rsid w:val="00914B0D"/>
    <w:rsid w:val="00914C64"/>
    <w:rsid w:val="00916025"/>
    <w:rsid w:val="009164B8"/>
    <w:rsid w:val="00917886"/>
    <w:rsid w:val="00917C7A"/>
    <w:rsid w:val="00920E55"/>
    <w:rsid w:val="0092171C"/>
    <w:rsid w:val="00921A31"/>
    <w:rsid w:val="00922941"/>
    <w:rsid w:val="009233BE"/>
    <w:rsid w:val="009241B7"/>
    <w:rsid w:val="00924386"/>
    <w:rsid w:val="00924668"/>
    <w:rsid w:val="0092471B"/>
    <w:rsid w:val="00924B1E"/>
    <w:rsid w:val="00924EE6"/>
    <w:rsid w:val="00926666"/>
    <w:rsid w:val="0092775E"/>
    <w:rsid w:val="00927C4F"/>
    <w:rsid w:val="00930450"/>
    <w:rsid w:val="00930753"/>
    <w:rsid w:val="00930ADD"/>
    <w:rsid w:val="0093118D"/>
    <w:rsid w:val="009321B3"/>
    <w:rsid w:val="00932B7B"/>
    <w:rsid w:val="00934040"/>
    <w:rsid w:val="009349B8"/>
    <w:rsid w:val="00934A98"/>
    <w:rsid w:val="009364BC"/>
    <w:rsid w:val="00936890"/>
    <w:rsid w:val="00936B8B"/>
    <w:rsid w:val="00937851"/>
    <w:rsid w:val="00937A71"/>
    <w:rsid w:val="00937F16"/>
    <w:rsid w:val="00940101"/>
    <w:rsid w:val="009402D8"/>
    <w:rsid w:val="00941FE2"/>
    <w:rsid w:val="00942795"/>
    <w:rsid w:val="009436F9"/>
    <w:rsid w:val="00943A2D"/>
    <w:rsid w:val="0094498B"/>
    <w:rsid w:val="00946EE1"/>
    <w:rsid w:val="00947749"/>
    <w:rsid w:val="00947A51"/>
    <w:rsid w:val="0095048A"/>
    <w:rsid w:val="009504BE"/>
    <w:rsid w:val="00950577"/>
    <w:rsid w:val="0095157E"/>
    <w:rsid w:val="009520F0"/>
    <w:rsid w:val="009522FA"/>
    <w:rsid w:val="00952CE1"/>
    <w:rsid w:val="00953735"/>
    <w:rsid w:val="00953E9C"/>
    <w:rsid w:val="00953F19"/>
    <w:rsid w:val="009541F0"/>
    <w:rsid w:val="009546F8"/>
    <w:rsid w:val="009547F7"/>
    <w:rsid w:val="00954EF9"/>
    <w:rsid w:val="00955A61"/>
    <w:rsid w:val="00955AED"/>
    <w:rsid w:val="009570D7"/>
    <w:rsid w:val="0095776B"/>
    <w:rsid w:val="00960161"/>
    <w:rsid w:val="009613E1"/>
    <w:rsid w:val="009614DA"/>
    <w:rsid w:val="00961990"/>
    <w:rsid w:val="00962100"/>
    <w:rsid w:val="009621A8"/>
    <w:rsid w:val="00962366"/>
    <w:rsid w:val="00962A2D"/>
    <w:rsid w:val="00962B10"/>
    <w:rsid w:val="0096386F"/>
    <w:rsid w:val="00963C9B"/>
    <w:rsid w:val="00964258"/>
    <w:rsid w:val="009654A2"/>
    <w:rsid w:val="00965C8B"/>
    <w:rsid w:val="0096658E"/>
    <w:rsid w:val="009665DF"/>
    <w:rsid w:val="00967135"/>
    <w:rsid w:val="00967152"/>
    <w:rsid w:val="009678A3"/>
    <w:rsid w:val="00967C5B"/>
    <w:rsid w:val="00970228"/>
    <w:rsid w:val="00971690"/>
    <w:rsid w:val="00971AD8"/>
    <w:rsid w:val="009729CC"/>
    <w:rsid w:val="00972F87"/>
    <w:rsid w:val="009731B7"/>
    <w:rsid w:val="009733E9"/>
    <w:rsid w:val="0097373E"/>
    <w:rsid w:val="00974A7A"/>
    <w:rsid w:val="00975035"/>
    <w:rsid w:val="009754EA"/>
    <w:rsid w:val="009755E2"/>
    <w:rsid w:val="00976C31"/>
    <w:rsid w:val="00977D2F"/>
    <w:rsid w:val="009800FC"/>
    <w:rsid w:val="0098045B"/>
    <w:rsid w:val="00980BCF"/>
    <w:rsid w:val="00980F7D"/>
    <w:rsid w:val="00982183"/>
    <w:rsid w:val="00982247"/>
    <w:rsid w:val="009823E0"/>
    <w:rsid w:val="00982D3A"/>
    <w:rsid w:val="00982DB9"/>
    <w:rsid w:val="00983110"/>
    <w:rsid w:val="00983659"/>
    <w:rsid w:val="0098411F"/>
    <w:rsid w:val="009842B0"/>
    <w:rsid w:val="009849D2"/>
    <w:rsid w:val="00984DB5"/>
    <w:rsid w:val="00986070"/>
    <w:rsid w:val="0098685B"/>
    <w:rsid w:val="00987012"/>
    <w:rsid w:val="0098749B"/>
    <w:rsid w:val="00987C4C"/>
    <w:rsid w:val="00987CF2"/>
    <w:rsid w:val="00990804"/>
    <w:rsid w:val="00990D5A"/>
    <w:rsid w:val="009918C9"/>
    <w:rsid w:val="0099213C"/>
    <w:rsid w:val="009921F5"/>
    <w:rsid w:val="00993909"/>
    <w:rsid w:val="00994C7B"/>
    <w:rsid w:val="00994DBA"/>
    <w:rsid w:val="00995FBB"/>
    <w:rsid w:val="0099741F"/>
    <w:rsid w:val="009976BF"/>
    <w:rsid w:val="00997CD9"/>
    <w:rsid w:val="009A059E"/>
    <w:rsid w:val="009A0F91"/>
    <w:rsid w:val="009A144C"/>
    <w:rsid w:val="009A1C2A"/>
    <w:rsid w:val="009A21F1"/>
    <w:rsid w:val="009A2354"/>
    <w:rsid w:val="009A3EB3"/>
    <w:rsid w:val="009A4004"/>
    <w:rsid w:val="009A43E9"/>
    <w:rsid w:val="009A5B5D"/>
    <w:rsid w:val="009A7370"/>
    <w:rsid w:val="009B0453"/>
    <w:rsid w:val="009B0A97"/>
    <w:rsid w:val="009B0B9B"/>
    <w:rsid w:val="009B0FA4"/>
    <w:rsid w:val="009B1A16"/>
    <w:rsid w:val="009B2724"/>
    <w:rsid w:val="009B3788"/>
    <w:rsid w:val="009B3BF0"/>
    <w:rsid w:val="009B3E59"/>
    <w:rsid w:val="009B40BC"/>
    <w:rsid w:val="009B43ED"/>
    <w:rsid w:val="009B61BA"/>
    <w:rsid w:val="009B6210"/>
    <w:rsid w:val="009B6F8D"/>
    <w:rsid w:val="009B7063"/>
    <w:rsid w:val="009B7F53"/>
    <w:rsid w:val="009C0A55"/>
    <w:rsid w:val="009C1826"/>
    <w:rsid w:val="009C1E86"/>
    <w:rsid w:val="009C1F53"/>
    <w:rsid w:val="009C1F81"/>
    <w:rsid w:val="009C2D16"/>
    <w:rsid w:val="009C33E0"/>
    <w:rsid w:val="009C4832"/>
    <w:rsid w:val="009C5C1C"/>
    <w:rsid w:val="009C62A8"/>
    <w:rsid w:val="009C6515"/>
    <w:rsid w:val="009C6BBE"/>
    <w:rsid w:val="009C756D"/>
    <w:rsid w:val="009C7853"/>
    <w:rsid w:val="009C7BFC"/>
    <w:rsid w:val="009C7FF6"/>
    <w:rsid w:val="009D0459"/>
    <w:rsid w:val="009D0622"/>
    <w:rsid w:val="009D0ED3"/>
    <w:rsid w:val="009D2199"/>
    <w:rsid w:val="009D375F"/>
    <w:rsid w:val="009D41E6"/>
    <w:rsid w:val="009D43A5"/>
    <w:rsid w:val="009D4596"/>
    <w:rsid w:val="009D4E3C"/>
    <w:rsid w:val="009D6141"/>
    <w:rsid w:val="009D6D36"/>
    <w:rsid w:val="009D7AC7"/>
    <w:rsid w:val="009E0901"/>
    <w:rsid w:val="009E0B44"/>
    <w:rsid w:val="009E0F69"/>
    <w:rsid w:val="009E1A58"/>
    <w:rsid w:val="009E20C6"/>
    <w:rsid w:val="009E2B02"/>
    <w:rsid w:val="009E2BB8"/>
    <w:rsid w:val="009E2CF2"/>
    <w:rsid w:val="009E37D4"/>
    <w:rsid w:val="009E3A9B"/>
    <w:rsid w:val="009E4385"/>
    <w:rsid w:val="009E44E5"/>
    <w:rsid w:val="009E4C56"/>
    <w:rsid w:val="009E4F54"/>
    <w:rsid w:val="009E5405"/>
    <w:rsid w:val="009E5841"/>
    <w:rsid w:val="009E5A9B"/>
    <w:rsid w:val="009E5FC9"/>
    <w:rsid w:val="009E6233"/>
    <w:rsid w:val="009E62C8"/>
    <w:rsid w:val="009F0A77"/>
    <w:rsid w:val="009F0F9B"/>
    <w:rsid w:val="009F207E"/>
    <w:rsid w:val="009F2428"/>
    <w:rsid w:val="009F27EC"/>
    <w:rsid w:val="009F2AFE"/>
    <w:rsid w:val="009F3FBD"/>
    <w:rsid w:val="009F45C1"/>
    <w:rsid w:val="009F4695"/>
    <w:rsid w:val="009F5E69"/>
    <w:rsid w:val="009F6D0D"/>
    <w:rsid w:val="009F6D8E"/>
    <w:rsid w:val="00A003B8"/>
    <w:rsid w:val="00A00B6A"/>
    <w:rsid w:val="00A00D9C"/>
    <w:rsid w:val="00A0135D"/>
    <w:rsid w:val="00A02ACC"/>
    <w:rsid w:val="00A02B52"/>
    <w:rsid w:val="00A03A74"/>
    <w:rsid w:val="00A03C40"/>
    <w:rsid w:val="00A03C8B"/>
    <w:rsid w:val="00A03F1B"/>
    <w:rsid w:val="00A040C7"/>
    <w:rsid w:val="00A04318"/>
    <w:rsid w:val="00A04ECB"/>
    <w:rsid w:val="00A050DF"/>
    <w:rsid w:val="00A053FC"/>
    <w:rsid w:val="00A066BD"/>
    <w:rsid w:val="00A06796"/>
    <w:rsid w:val="00A074A1"/>
    <w:rsid w:val="00A078D7"/>
    <w:rsid w:val="00A10556"/>
    <w:rsid w:val="00A1075E"/>
    <w:rsid w:val="00A10E56"/>
    <w:rsid w:val="00A10E93"/>
    <w:rsid w:val="00A11BE2"/>
    <w:rsid w:val="00A11ECC"/>
    <w:rsid w:val="00A12C4D"/>
    <w:rsid w:val="00A134F1"/>
    <w:rsid w:val="00A1506F"/>
    <w:rsid w:val="00A1575F"/>
    <w:rsid w:val="00A160F7"/>
    <w:rsid w:val="00A16469"/>
    <w:rsid w:val="00A209E1"/>
    <w:rsid w:val="00A21705"/>
    <w:rsid w:val="00A2198F"/>
    <w:rsid w:val="00A229F5"/>
    <w:rsid w:val="00A22A4B"/>
    <w:rsid w:val="00A236C2"/>
    <w:rsid w:val="00A2387A"/>
    <w:rsid w:val="00A24444"/>
    <w:rsid w:val="00A24EC3"/>
    <w:rsid w:val="00A2651B"/>
    <w:rsid w:val="00A26987"/>
    <w:rsid w:val="00A30461"/>
    <w:rsid w:val="00A30C2A"/>
    <w:rsid w:val="00A30E31"/>
    <w:rsid w:val="00A314E7"/>
    <w:rsid w:val="00A31972"/>
    <w:rsid w:val="00A33FB0"/>
    <w:rsid w:val="00A3500D"/>
    <w:rsid w:val="00A35850"/>
    <w:rsid w:val="00A359B9"/>
    <w:rsid w:val="00A36288"/>
    <w:rsid w:val="00A363C4"/>
    <w:rsid w:val="00A37203"/>
    <w:rsid w:val="00A3759E"/>
    <w:rsid w:val="00A37CEB"/>
    <w:rsid w:val="00A37D19"/>
    <w:rsid w:val="00A37DC4"/>
    <w:rsid w:val="00A40100"/>
    <w:rsid w:val="00A40122"/>
    <w:rsid w:val="00A40497"/>
    <w:rsid w:val="00A40918"/>
    <w:rsid w:val="00A40E9B"/>
    <w:rsid w:val="00A42427"/>
    <w:rsid w:val="00A44895"/>
    <w:rsid w:val="00A44AC0"/>
    <w:rsid w:val="00A44B3C"/>
    <w:rsid w:val="00A45374"/>
    <w:rsid w:val="00A45779"/>
    <w:rsid w:val="00A46388"/>
    <w:rsid w:val="00A468FA"/>
    <w:rsid w:val="00A47010"/>
    <w:rsid w:val="00A47026"/>
    <w:rsid w:val="00A471F7"/>
    <w:rsid w:val="00A47372"/>
    <w:rsid w:val="00A50255"/>
    <w:rsid w:val="00A5074C"/>
    <w:rsid w:val="00A50F66"/>
    <w:rsid w:val="00A51B21"/>
    <w:rsid w:val="00A51F20"/>
    <w:rsid w:val="00A51F7D"/>
    <w:rsid w:val="00A52496"/>
    <w:rsid w:val="00A54418"/>
    <w:rsid w:val="00A562C3"/>
    <w:rsid w:val="00A570AF"/>
    <w:rsid w:val="00A57164"/>
    <w:rsid w:val="00A575F8"/>
    <w:rsid w:val="00A577A1"/>
    <w:rsid w:val="00A57D25"/>
    <w:rsid w:val="00A6050E"/>
    <w:rsid w:val="00A60589"/>
    <w:rsid w:val="00A60913"/>
    <w:rsid w:val="00A60C20"/>
    <w:rsid w:val="00A60F53"/>
    <w:rsid w:val="00A6135F"/>
    <w:rsid w:val="00A61E23"/>
    <w:rsid w:val="00A63275"/>
    <w:rsid w:val="00A636A8"/>
    <w:rsid w:val="00A638CF"/>
    <w:rsid w:val="00A639BD"/>
    <w:rsid w:val="00A63DCC"/>
    <w:rsid w:val="00A656E5"/>
    <w:rsid w:val="00A65BF3"/>
    <w:rsid w:val="00A660B6"/>
    <w:rsid w:val="00A667B4"/>
    <w:rsid w:val="00A670E8"/>
    <w:rsid w:val="00A67568"/>
    <w:rsid w:val="00A67C09"/>
    <w:rsid w:val="00A70668"/>
    <w:rsid w:val="00A710D4"/>
    <w:rsid w:val="00A71513"/>
    <w:rsid w:val="00A71937"/>
    <w:rsid w:val="00A72293"/>
    <w:rsid w:val="00A72AF9"/>
    <w:rsid w:val="00A73F5A"/>
    <w:rsid w:val="00A74107"/>
    <w:rsid w:val="00A74980"/>
    <w:rsid w:val="00A74D35"/>
    <w:rsid w:val="00A75CC9"/>
    <w:rsid w:val="00A76BA5"/>
    <w:rsid w:val="00A76EEB"/>
    <w:rsid w:val="00A7746B"/>
    <w:rsid w:val="00A775EE"/>
    <w:rsid w:val="00A776E7"/>
    <w:rsid w:val="00A80373"/>
    <w:rsid w:val="00A803F1"/>
    <w:rsid w:val="00A80400"/>
    <w:rsid w:val="00A805B2"/>
    <w:rsid w:val="00A8084E"/>
    <w:rsid w:val="00A80CFA"/>
    <w:rsid w:val="00A80DCD"/>
    <w:rsid w:val="00A8133A"/>
    <w:rsid w:val="00A8154A"/>
    <w:rsid w:val="00A818E0"/>
    <w:rsid w:val="00A82B06"/>
    <w:rsid w:val="00A82B64"/>
    <w:rsid w:val="00A82DD1"/>
    <w:rsid w:val="00A831A9"/>
    <w:rsid w:val="00A838EC"/>
    <w:rsid w:val="00A83C17"/>
    <w:rsid w:val="00A83E20"/>
    <w:rsid w:val="00A849A5"/>
    <w:rsid w:val="00A8542F"/>
    <w:rsid w:val="00A855A6"/>
    <w:rsid w:val="00A8571D"/>
    <w:rsid w:val="00A86BB1"/>
    <w:rsid w:val="00A876DD"/>
    <w:rsid w:val="00A90732"/>
    <w:rsid w:val="00A90782"/>
    <w:rsid w:val="00A9172D"/>
    <w:rsid w:val="00A918AB"/>
    <w:rsid w:val="00A91920"/>
    <w:rsid w:val="00A919F4"/>
    <w:rsid w:val="00A92C2A"/>
    <w:rsid w:val="00A92F49"/>
    <w:rsid w:val="00A931ED"/>
    <w:rsid w:val="00A93488"/>
    <w:rsid w:val="00A93CE3"/>
    <w:rsid w:val="00A93FC4"/>
    <w:rsid w:val="00A949CA"/>
    <w:rsid w:val="00A96A2F"/>
    <w:rsid w:val="00A96DE1"/>
    <w:rsid w:val="00A97974"/>
    <w:rsid w:val="00A97EED"/>
    <w:rsid w:val="00AA0602"/>
    <w:rsid w:val="00AA13AA"/>
    <w:rsid w:val="00AA301F"/>
    <w:rsid w:val="00AA30E1"/>
    <w:rsid w:val="00AA3101"/>
    <w:rsid w:val="00AA3A4E"/>
    <w:rsid w:val="00AA4406"/>
    <w:rsid w:val="00AA5970"/>
    <w:rsid w:val="00AA68AE"/>
    <w:rsid w:val="00AA6E5C"/>
    <w:rsid w:val="00AA7BF3"/>
    <w:rsid w:val="00AB0775"/>
    <w:rsid w:val="00AB14AA"/>
    <w:rsid w:val="00AB1DA4"/>
    <w:rsid w:val="00AB1DFD"/>
    <w:rsid w:val="00AB3432"/>
    <w:rsid w:val="00AB3A3A"/>
    <w:rsid w:val="00AB4970"/>
    <w:rsid w:val="00AB53AA"/>
    <w:rsid w:val="00AB53E6"/>
    <w:rsid w:val="00AB7EAF"/>
    <w:rsid w:val="00AC000B"/>
    <w:rsid w:val="00AC028B"/>
    <w:rsid w:val="00AC0337"/>
    <w:rsid w:val="00AC122A"/>
    <w:rsid w:val="00AC1BDC"/>
    <w:rsid w:val="00AC4624"/>
    <w:rsid w:val="00AC523C"/>
    <w:rsid w:val="00AC5A16"/>
    <w:rsid w:val="00AC61E6"/>
    <w:rsid w:val="00AC675F"/>
    <w:rsid w:val="00AC713F"/>
    <w:rsid w:val="00AC79C3"/>
    <w:rsid w:val="00AD0407"/>
    <w:rsid w:val="00AD13F6"/>
    <w:rsid w:val="00AD190A"/>
    <w:rsid w:val="00AD3E8A"/>
    <w:rsid w:val="00AD40F8"/>
    <w:rsid w:val="00AD41AA"/>
    <w:rsid w:val="00AD58FC"/>
    <w:rsid w:val="00AD5CE0"/>
    <w:rsid w:val="00AD795A"/>
    <w:rsid w:val="00AE003D"/>
    <w:rsid w:val="00AE08A9"/>
    <w:rsid w:val="00AE0D99"/>
    <w:rsid w:val="00AE0FB8"/>
    <w:rsid w:val="00AE1844"/>
    <w:rsid w:val="00AE29E4"/>
    <w:rsid w:val="00AE347D"/>
    <w:rsid w:val="00AE3888"/>
    <w:rsid w:val="00AE39D3"/>
    <w:rsid w:val="00AE420E"/>
    <w:rsid w:val="00AE42FB"/>
    <w:rsid w:val="00AE5A10"/>
    <w:rsid w:val="00AE697F"/>
    <w:rsid w:val="00AE6C3E"/>
    <w:rsid w:val="00AE7814"/>
    <w:rsid w:val="00AF02A8"/>
    <w:rsid w:val="00AF083C"/>
    <w:rsid w:val="00AF0C86"/>
    <w:rsid w:val="00AF1017"/>
    <w:rsid w:val="00AF118B"/>
    <w:rsid w:val="00AF1C9A"/>
    <w:rsid w:val="00AF2F0C"/>
    <w:rsid w:val="00AF3791"/>
    <w:rsid w:val="00AF3BF5"/>
    <w:rsid w:val="00AF3C52"/>
    <w:rsid w:val="00AF4A04"/>
    <w:rsid w:val="00AF4BCD"/>
    <w:rsid w:val="00AF51BE"/>
    <w:rsid w:val="00AF5F70"/>
    <w:rsid w:val="00AF6025"/>
    <w:rsid w:val="00AF637E"/>
    <w:rsid w:val="00AF6900"/>
    <w:rsid w:val="00AF6C00"/>
    <w:rsid w:val="00AF7328"/>
    <w:rsid w:val="00AF74E4"/>
    <w:rsid w:val="00B002AF"/>
    <w:rsid w:val="00B00C41"/>
    <w:rsid w:val="00B00EA4"/>
    <w:rsid w:val="00B01626"/>
    <w:rsid w:val="00B0178E"/>
    <w:rsid w:val="00B02716"/>
    <w:rsid w:val="00B027D1"/>
    <w:rsid w:val="00B0363A"/>
    <w:rsid w:val="00B03B1E"/>
    <w:rsid w:val="00B03E80"/>
    <w:rsid w:val="00B0401A"/>
    <w:rsid w:val="00B04058"/>
    <w:rsid w:val="00B05437"/>
    <w:rsid w:val="00B05AAF"/>
    <w:rsid w:val="00B0649B"/>
    <w:rsid w:val="00B06892"/>
    <w:rsid w:val="00B0726B"/>
    <w:rsid w:val="00B075F3"/>
    <w:rsid w:val="00B07AC2"/>
    <w:rsid w:val="00B07FD4"/>
    <w:rsid w:val="00B12901"/>
    <w:rsid w:val="00B12BF6"/>
    <w:rsid w:val="00B12BFD"/>
    <w:rsid w:val="00B133B6"/>
    <w:rsid w:val="00B1343E"/>
    <w:rsid w:val="00B13564"/>
    <w:rsid w:val="00B14022"/>
    <w:rsid w:val="00B14B3A"/>
    <w:rsid w:val="00B1734E"/>
    <w:rsid w:val="00B17937"/>
    <w:rsid w:val="00B20AF0"/>
    <w:rsid w:val="00B21040"/>
    <w:rsid w:val="00B21EFD"/>
    <w:rsid w:val="00B22097"/>
    <w:rsid w:val="00B222C8"/>
    <w:rsid w:val="00B23036"/>
    <w:rsid w:val="00B251DB"/>
    <w:rsid w:val="00B25253"/>
    <w:rsid w:val="00B2570F"/>
    <w:rsid w:val="00B26DEE"/>
    <w:rsid w:val="00B27153"/>
    <w:rsid w:val="00B271D6"/>
    <w:rsid w:val="00B309E2"/>
    <w:rsid w:val="00B31368"/>
    <w:rsid w:val="00B319D2"/>
    <w:rsid w:val="00B31C30"/>
    <w:rsid w:val="00B3234D"/>
    <w:rsid w:val="00B32D65"/>
    <w:rsid w:val="00B33076"/>
    <w:rsid w:val="00B33706"/>
    <w:rsid w:val="00B33810"/>
    <w:rsid w:val="00B33E9E"/>
    <w:rsid w:val="00B34698"/>
    <w:rsid w:val="00B348D0"/>
    <w:rsid w:val="00B34AAB"/>
    <w:rsid w:val="00B35EC6"/>
    <w:rsid w:val="00B368A0"/>
    <w:rsid w:val="00B36BD6"/>
    <w:rsid w:val="00B37303"/>
    <w:rsid w:val="00B37397"/>
    <w:rsid w:val="00B40974"/>
    <w:rsid w:val="00B419A4"/>
    <w:rsid w:val="00B423A0"/>
    <w:rsid w:val="00B42E8C"/>
    <w:rsid w:val="00B441C5"/>
    <w:rsid w:val="00B47897"/>
    <w:rsid w:val="00B47A7B"/>
    <w:rsid w:val="00B50556"/>
    <w:rsid w:val="00B512B9"/>
    <w:rsid w:val="00B519D4"/>
    <w:rsid w:val="00B51D90"/>
    <w:rsid w:val="00B52448"/>
    <w:rsid w:val="00B52558"/>
    <w:rsid w:val="00B52759"/>
    <w:rsid w:val="00B52B57"/>
    <w:rsid w:val="00B52F89"/>
    <w:rsid w:val="00B5320E"/>
    <w:rsid w:val="00B534EC"/>
    <w:rsid w:val="00B53600"/>
    <w:rsid w:val="00B5380A"/>
    <w:rsid w:val="00B5384A"/>
    <w:rsid w:val="00B53CF1"/>
    <w:rsid w:val="00B54F01"/>
    <w:rsid w:val="00B550F8"/>
    <w:rsid w:val="00B557BB"/>
    <w:rsid w:val="00B55BD0"/>
    <w:rsid w:val="00B577FB"/>
    <w:rsid w:val="00B60390"/>
    <w:rsid w:val="00B6118D"/>
    <w:rsid w:val="00B61539"/>
    <w:rsid w:val="00B61FE4"/>
    <w:rsid w:val="00B633A0"/>
    <w:rsid w:val="00B63796"/>
    <w:rsid w:val="00B63A71"/>
    <w:rsid w:val="00B63EE2"/>
    <w:rsid w:val="00B6576F"/>
    <w:rsid w:val="00B65EF9"/>
    <w:rsid w:val="00B66279"/>
    <w:rsid w:val="00B66A8E"/>
    <w:rsid w:val="00B67662"/>
    <w:rsid w:val="00B67A9D"/>
    <w:rsid w:val="00B67BD7"/>
    <w:rsid w:val="00B70A5B"/>
    <w:rsid w:val="00B70A81"/>
    <w:rsid w:val="00B73B53"/>
    <w:rsid w:val="00B742D5"/>
    <w:rsid w:val="00B750BA"/>
    <w:rsid w:val="00B75DFB"/>
    <w:rsid w:val="00B76221"/>
    <w:rsid w:val="00B76DA3"/>
    <w:rsid w:val="00B77D82"/>
    <w:rsid w:val="00B817D5"/>
    <w:rsid w:val="00B81F26"/>
    <w:rsid w:val="00B82821"/>
    <w:rsid w:val="00B8389B"/>
    <w:rsid w:val="00B8454D"/>
    <w:rsid w:val="00B847EA"/>
    <w:rsid w:val="00B84999"/>
    <w:rsid w:val="00B84AFD"/>
    <w:rsid w:val="00B850E3"/>
    <w:rsid w:val="00B859CB"/>
    <w:rsid w:val="00B85B98"/>
    <w:rsid w:val="00B86231"/>
    <w:rsid w:val="00B86265"/>
    <w:rsid w:val="00B86451"/>
    <w:rsid w:val="00B868B2"/>
    <w:rsid w:val="00B872A5"/>
    <w:rsid w:val="00B87817"/>
    <w:rsid w:val="00B87E16"/>
    <w:rsid w:val="00B87F41"/>
    <w:rsid w:val="00B908E7"/>
    <w:rsid w:val="00B909D3"/>
    <w:rsid w:val="00B90D59"/>
    <w:rsid w:val="00B90DF9"/>
    <w:rsid w:val="00B90E8A"/>
    <w:rsid w:val="00B916B6"/>
    <w:rsid w:val="00B928EB"/>
    <w:rsid w:val="00B92AB3"/>
    <w:rsid w:val="00B932F9"/>
    <w:rsid w:val="00B93F36"/>
    <w:rsid w:val="00B94014"/>
    <w:rsid w:val="00B94167"/>
    <w:rsid w:val="00B94AB9"/>
    <w:rsid w:val="00B94C0A"/>
    <w:rsid w:val="00B9530B"/>
    <w:rsid w:val="00B95F53"/>
    <w:rsid w:val="00B96447"/>
    <w:rsid w:val="00B9646D"/>
    <w:rsid w:val="00B96958"/>
    <w:rsid w:val="00B97DA1"/>
    <w:rsid w:val="00B97FEC"/>
    <w:rsid w:val="00BA13A3"/>
    <w:rsid w:val="00BA1A44"/>
    <w:rsid w:val="00BA2452"/>
    <w:rsid w:val="00BA2CBD"/>
    <w:rsid w:val="00BA306E"/>
    <w:rsid w:val="00BA4049"/>
    <w:rsid w:val="00BA42BA"/>
    <w:rsid w:val="00BA4AF3"/>
    <w:rsid w:val="00BA4D8C"/>
    <w:rsid w:val="00BA5209"/>
    <w:rsid w:val="00BA54B9"/>
    <w:rsid w:val="00BA7EFE"/>
    <w:rsid w:val="00BB0D47"/>
    <w:rsid w:val="00BB0E0C"/>
    <w:rsid w:val="00BB0E12"/>
    <w:rsid w:val="00BB0F01"/>
    <w:rsid w:val="00BB1D2A"/>
    <w:rsid w:val="00BB1FAA"/>
    <w:rsid w:val="00BB2423"/>
    <w:rsid w:val="00BB39F4"/>
    <w:rsid w:val="00BB3FB9"/>
    <w:rsid w:val="00BB4B55"/>
    <w:rsid w:val="00BB5675"/>
    <w:rsid w:val="00BB57FF"/>
    <w:rsid w:val="00BB6A6D"/>
    <w:rsid w:val="00BB74E4"/>
    <w:rsid w:val="00BB7821"/>
    <w:rsid w:val="00BC00F4"/>
    <w:rsid w:val="00BC098B"/>
    <w:rsid w:val="00BC0A81"/>
    <w:rsid w:val="00BC0ACB"/>
    <w:rsid w:val="00BC168B"/>
    <w:rsid w:val="00BC1828"/>
    <w:rsid w:val="00BC1D47"/>
    <w:rsid w:val="00BC26A2"/>
    <w:rsid w:val="00BC2CCA"/>
    <w:rsid w:val="00BC3207"/>
    <w:rsid w:val="00BC36A4"/>
    <w:rsid w:val="00BC3B04"/>
    <w:rsid w:val="00BC3ED5"/>
    <w:rsid w:val="00BC4CBB"/>
    <w:rsid w:val="00BC5215"/>
    <w:rsid w:val="00BC62B7"/>
    <w:rsid w:val="00BC6494"/>
    <w:rsid w:val="00BC6D74"/>
    <w:rsid w:val="00BC728C"/>
    <w:rsid w:val="00BD0273"/>
    <w:rsid w:val="00BD0B50"/>
    <w:rsid w:val="00BD1568"/>
    <w:rsid w:val="00BD2262"/>
    <w:rsid w:val="00BD2618"/>
    <w:rsid w:val="00BD345F"/>
    <w:rsid w:val="00BD395D"/>
    <w:rsid w:val="00BD444E"/>
    <w:rsid w:val="00BD5098"/>
    <w:rsid w:val="00BD5379"/>
    <w:rsid w:val="00BD5EA9"/>
    <w:rsid w:val="00BD7388"/>
    <w:rsid w:val="00BE08A5"/>
    <w:rsid w:val="00BE09AD"/>
    <w:rsid w:val="00BE0D88"/>
    <w:rsid w:val="00BE301B"/>
    <w:rsid w:val="00BE3104"/>
    <w:rsid w:val="00BE3D16"/>
    <w:rsid w:val="00BE3F16"/>
    <w:rsid w:val="00BE476D"/>
    <w:rsid w:val="00BE58F7"/>
    <w:rsid w:val="00BE59C7"/>
    <w:rsid w:val="00BE5AD6"/>
    <w:rsid w:val="00BE5AE2"/>
    <w:rsid w:val="00BE67D8"/>
    <w:rsid w:val="00BE695C"/>
    <w:rsid w:val="00BE6D17"/>
    <w:rsid w:val="00BE77B1"/>
    <w:rsid w:val="00BE77EE"/>
    <w:rsid w:val="00BE787F"/>
    <w:rsid w:val="00BF09D3"/>
    <w:rsid w:val="00BF11E3"/>
    <w:rsid w:val="00BF13B7"/>
    <w:rsid w:val="00BF1D0E"/>
    <w:rsid w:val="00BF1E38"/>
    <w:rsid w:val="00BF20B0"/>
    <w:rsid w:val="00BF234C"/>
    <w:rsid w:val="00BF3E10"/>
    <w:rsid w:val="00BF5C38"/>
    <w:rsid w:val="00BF5C9E"/>
    <w:rsid w:val="00BF713D"/>
    <w:rsid w:val="00BF71E6"/>
    <w:rsid w:val="00BF79DF"/>
    <w:rsid w:val="00BF7F2C"/>
    <w:rsid w:val="00C0119A"/>
    <w:rsid w:val="00C01FB5"/>
    <w:rsid w:val="00C0216A"/>
    <w:rsid w:val="00C02702"/>
    <w:rsid w:val="00C02A24"/>
    <w:rsid w:val="00C033B5"/>
    <w:rsid w:val="00C03542"/>
    <w:rsid w:val="00C03CE6"/>
    <w:rsid w:val="00C03FDC"/>
    <w:rsid w:val="00C044B5"/>
    <w:rsid w:val="00C04603"/>
    <w:rsid w:val="00C04851"/>
    <w:rsid w:val="00C04FE4"/>
    <w:rsid w:val="00C064B6"/>
    <w:rsid w:val="00C067D0"/>
    <w:rsid w:val="00C0737A"/>
    <w:rsid w:val="00C0747A"/>
    <w:rsid w:val="00C074E9"/>
    <w:rsid w:val="00C10ABE"/>
    <w:rsid w:val="00C10BD7"/>
    <w:rsid w:val="00C10D38"/>
    <w:rsid w:val="00C10EE0"/>
    <w:rsid w:val="00C1112C"/>
    <w:rsid w:val="00C112B1"/>
    <w:rsid w:val="00C11414"/>
    <w:rsid w:val="00C11947"/>
    <w:rsid w:val="00C11BFC"/>
    <w:rsid w:val="00C121B5"/>
    <w:rsid w:val="00C12388"/>
    <w:rsid w:val="00C12888"/>
    <w:rsid w:val="00C12E39"/>
    <w:rsid w:val="00C13709"/>
    <w:rsid w:val="00C138BB"/>
    <w:rsid w:val="00C13F12"/>
    <w:rsid w:val="00C14491"/>
    <w:rsid w:val="00C14953"/>
    <w:rsid w:val="00C154BC"/>
    <w:rsid w:val="00C16B5C"/>
    <w:rsid w:val="00C16E83"/>
    <w:rsid w:val="00C17602"/>
    <w:rsid w:val="00C17CCE"/>
    <w:rsid w:val="00C20819"/>
    <w:rsid w:val="00C20CCA"/>
    <w:rsid w:val="00C21738"/>
    <w:rsid w:val="00C2174E"/>
    <w:rsid w:val="00C2181A"/>
    <w:rsid w:val="00C219C1"/>
    <w:rsid w:val="00C21A7B"/>
    <w:rsid w:val="00C21AE9"/>
    <w:rsid w:val="00C2248B"/>
    <w:rsid w:val="00C23439"/>
    <w:rsid w:val="00C237EE"/>
    <w:rsid w:val="00C23D0F"/>
    <w:rsid w:val="00C243D4"/>
    <w:rsid w:val="00C245C7"/>
    <w:rsid w:val="00C24D8D"/>
    <w:rsid w:val="00C250ED"/>
    <w:rsid w:val="00C251D6"/>
    <w:rsid w:val="00C253EB"/>
    <w:rsid w:val="00C2614F"/>
    <w:rsid w:val="00C266DF"/>
    <w:rsid w:val="00C26D32"/>
    <w:rsid w:val="00C272E1"/>
    <w:rsid w:val="00C301ED"/>
    <w:rsid w:val="00C30273"/>
    <w:rsid w:val="00C303B5"/>
    <w:rsid w:val="00C304D8"/>
    <w:rsid w:val="00C30A06"/>
    <w:rsid w:val="00C31306"/>
    <w:rsid w:val="00C313B6"/>
    <w:rsid w:val="00C31E6F"/>
    <w:rsid w:val="00C32911"/>
    <w:rsid w:val="00C32FC5"/>
    <w:rsid w:val="00C33199"/>
    <w:rsid w:val="00C33495"/>
    <w:rsid w:val="00C3372C"/>
    <w:rsid w:val="00C33D66"/>
    <w:rsid w:val="00C34293"/>
    <w:rsid w:val="00C34985"/>
    <w:rsid w:val="00C34EA6"/>
    <w:rsid w:val="00C374E4"/>
    <w:rsid w:val="00C40342"/>
    <w:rsid w:val="00C40CBA"/>
    <w:rsid w:val="00C41140"/>
    <w:rsid w:val="00C42AAF"/>
    <w:rsid w:val="00C42BAF"/>
    <w:rsid w:val="00C433DA"/>
    <w:rsid w:val="00C43763"/>
    <w:rsid w:val="00C43D2E"/>
    <w:rsid w:val="00C43F7C"/>
    <w:rsid w:val="00C4408B"/>
    <w:rsid w:val="00C4476D"/>
    <w:rsid w:val="00C458D8"/>
    <w:rsid w:val="00C45BE7"/>
    <w:rsid w:val="00C4615C"/>
    <w:rsid w:val="00C46596"/>
    <w:rsid w:val="00C4705B"/>
    <w:rsid w:val="00C47EDF"/>
    <w:rsid w:val="00C47FD9"/>
    <w:rsid w:val="00C47FDA"/>
    <w:rsid w:val="00C509B6"/>
    <w:rsid w:val="00C51686"/>
    <w:rsid w:val="00C51935"/>
    <w:rsid w:val="00C51CEA"/>
    <w:rsid w:val="00C52802"/>
    <w:rsid w:val="00C528B6"/>
    <w:rsid w:val="00C52B9C"/>
    <w:rsid w:val="00C52D50"/>
    <w:rsid w:val="00C52F0C"/>
    <w:rsid w:val="00C52FB0"/>
    <w:rsid w:val="00C5361F"/>
    <w:rsid w:val="00C53B27"/>
    <w:rsid w:val="00C54605"/>
    <w:rsid w:val="00C54C83"/>
    <w:rsid w:val="00C553AE"/>
    <w:rsid w:val="00C55CDB"/>
    <w:rsid w:val="00C563A6"/>
    <w:rsid w:val="00C5704F"/>
    <w:rsid w:val="00C57947"/>
    <w:rsid w:val="00C57EE1"/>
    <w:rsid w:val="00C60A76"/>
    <w:rsid w:val="00C60C41"/>
    <w:rsid w:val="00C611E9"/>
    <w:rsid w:val="00C6149F"/>
    <w:rsid w:val="00C61CF6"/>
    <w:rsid w:val="00C620E7"/>
    <w:rsid w:val="00C626E9"/>
    <w:rsid w:val="00C628FA"/>
    <w:rsid w:val="00C63B63"/>
    <w:rsid w:val="00C640C7"/>
    <w:rsid w:val="00C640EB"/>
    <w:rsid w:val="00C646D2"/>
    <w:rsid w:val="00C65F03"/>
    <w:rsid w:val="00C669DA"/>
    <w:rsid w:val="00C705D4"/>
    <w:rsid w:val="00C705E6"/>
    <w:rsid w:val="00C70837"/>
    <w:rsid w:val="00C708F2"/>
    <w:rsid w:val="00C70A0D"/>
    <w:rsid w:val="00C713E3"/>
    <w:rsid w:val="00C714D6"/>
    <w:rsid w:val="00C72396"/>
    <w:rsid w:val="00C7241B"/>
    <w:rsid w:val="00C7288C"/>
    <w:rsid w:val="00C7320D"/>
    <w:rsid w:val="00C743EC"/>
    <w:rsid w:val="00C74454"/>
    <w:rsid w:val="00C74AA4"/>
    <w:rsid w:val="00C75F23"/>
    <w:rsid w:val="00C75F6F"/>
    <w:rsid w:val="00C75FE1"/>
    <w:rsid w:val="00C76849"/>
    <w:rsid w:val="00C76E6C"/>
    <w:rsid w:val="00C77420"/>
    <w:rsid w:val="00C77864"/>
    <w:rsid w:val="00C779B0"/>
    <w:rsid w:val="00C77CBC"/>
    <w:rsid w:val="00C77ECD"/>
    <w:rsid w:val="00C80D81"/>
    <w:rsid w:val="00C81165"/>
    <w:rsid w:val="00C81492"/>
    <w:rsid w:val="00C815DC"/>
    <w:rsid w:val="00C82010"/>
    <w:rsid w:val="00C82E3B"/>
    <w:rsid w:val="00C8336E"/>
    <w:rsid w:val="00C833C1"/>
    <w:rsid w:val="00C85F2E"/>
    <w:rsid w:val="00C87338"/>
    <w:rsid w:val="00C87474"/>
    <w:rsid w:val="00C87571"/>
    <w:rsid w:val="00C9156A"/>
    <w:rsid w:val="00C91EDF"/>
    <w:rsid w:val="00C922B8"/>
    <w:rsid w:val="00C9274F"/>
    <w:rsid w:val="00C93E94"/>
    <w:rsid w:val="00C95385"/>
    <w:rsid w:val="00C97254"/>
    <w:rsid w:val="00CA005A"/>
    <w:rsid w:val="00CA0154"/>
    <w:rsid w:val="00CA08F9"/>
    <w:rsid w:val="00CA1857"/>
    <w:rsid w:val="00CA28B8"/>
    <w:rsid w:val="00CA2DA4"/>
    <w:rsid w:val="00CA33BE"/>
    <w:rsid w:val="00CA3921"/>
    <w:rsid w:val="00CA3CA3"/>
    <w:rsid w:val="00CA40F5"/>
    <w:rsid w:val="00CA4212"/>
    <w:rsid w:val="00CA530E"/>
    <w:rsid w:val="00CA5664"/>
    <w:rsid w:val="00CA5E25"/>
    <w:rsid w:val="00CA5F80"/>
    <w:rsid w:val="00CA607D"/>
    <w:rsid w:val="00CA6DF3"/>
    <w:rsid w:val="00CA7477"/>
    <w:rsid w:val="00CA7701"/>
    <w:rsid w:val="00CA7E56"/>
    <w:rsid w:val="00CB15D9"/>
    <w:rsid w:val="00CB1C02"/>
    <w:rsid w:val="00CB3441"/>
    <w:rsid w:val="00CB50CE"/>
    <w:rsid w:val="00CB5A74"/>
    <w:rsid w:val="00CB6032"/>
    <w:rsid w:val="00CC162B"/>
    <w:rsid w:val="00CC17D9"/>
    <w:rsid w:val="00CC18D9"/>
    <w:rsid w:val="00CC19D8"/>
    <w:rsid w:val="00CC27E7"/>
    <w:rsid w:val="00CC2870"/>
    <w:rsid w:val="00CC2FDB"/>
    <w:rsid w:val="00CC36FA"/>
    <w:rsid w:val="00CC46E8"/>
    <w:rsid w:val="00CC5888"/>
    <w:rsid w:val="00CC58BC"/>
    <w:rsid w:val="00CC6138"/>
    <w:rsid w:val="00CC693C"/>
    <w:rsid w:val="00CC6B80"/>
    <w:rsid w:val="00CC6BAD"/>
    <w:rsid w:val="00CC70BB"/>
    <w:rsid w:val="00CD1CFC"/>
    <w:rsid w:val="00CD2472"/>
    <w:rsid w:val="00CD27A5"/>
    <w:rsid w:val="00CD2D59"/>
    <w:rsid w:val="00CD3010"/>
    <w:rsid w:val="00CD3706"/>
    <w:rsid w:val="00CD3C32"/>
    <w:rsid w:val="00CD4980"/>
    <w:rsid w:val="00CD4B6D"/>
    <w:rsid w:val="00CD4D85"/>
    <w:rsid w:val="00CD4FDD"/>
    <w:rsid w:val="00CD55D8"/>
    <w:rsid w:val="00CD5610"/>
    <w:rsid w:val="00CD5939"/>
    <w:rsid w:val="00CD6486"/>
    <w:rsid w:val="00CD67C4"/>
    <w:rsid w:val="00CD6AC7"/>
    <w:rsid w:val="00CD7082"/>
    <w:rsid w:val="00CE0BEE"/>
    <w:rsid w:val="00CE29F7"/>
    <w:rsid w:val="00CE2DF7"/>
    <w:rsid w:val="00CE3FFB"/>
    <w:rsid w:val="00CE466E"/>
    <w:rsid w:val="00CE515D"/>
    <w:rsid w:val="00CE52E1"/>
    <w:rsid w:val="00CE5957"/>
    <w:rsid w:val="00CE5FCB"/>
    <w:rsid w:val="00CE6D7A"/>
    <w:rsid w:val="00CE6DE1"/>
    <w:rsid w:val="00CE6DEE"/>
    <w:rsid w:val="00CE7216"/>
    <w:rsid w:val="00CE7CB8"/>
    <w:rsid w:val="00CF03F5"/>
    <w:rsid w:val="00CF0996"/>
    <w:rsid w:val="00CF0F9F"/>
    <w:rsid w:val="00CF12F9"/>
    <w:rsid w:val="00CF187A"/>
    <w:rsid w:val="00CF2FBC"/>
    <w:rsid w:val="00CF38C0"/>
    <w:rsid w:val="00CF3FBF"/>
    <w:rsid w:val="00CF503D"/>
    <w:rsid w:val="00CF51F8"/>
    <w:rsid w:val="00CF524E"/>
    <w:rsid w:val="00CF5D34"/>
    <w:rsid w:val="00CF5DF9"/>
    <w:rsid w:val="00CF60D6"/>
    <w:rsid w:val="00CF6196"/>
    <w:rsid w:val="00CF7BCC"/>
    <w:rsid w:val="00D00608"/>
    <w:rsid w:val="00D01680"/>
    <w:rsid w:val="00D01711"/>
    <w:rsid w:val="00D0188F"/>
    <w:rsid w:val="00D01AFC"/>
    <w:rsid w:val="00D0269F"/>
    <w:rsid w:val="00D03028"/>
    <w:rsid w:val="00D03481"/>
    <w:rsid w:val="00D04891"/>
    <w:rsid w:val="00D04ACC"/>
    <w:rsid w:val="00D04F35"/>
    <w:rsid w:val="00D04FB3"/>
    <w:rsid w:val="00D0597C"/>
    <w:rsid w:val="00D06381"/>
    <w:rsid w:val="00D07015"/>
    <w:rsid w:val="00D10B62"/>
    <w:rsid w:val="00D10E8B"/>
    <w:rsid w:val="00D11809"/>
    <w:rsid w:val="00D11D04"/>
    <w:rsid w:val="00D11D6E"/>
    <w:rsid w:val="00D135DB"/>
    <w:rsid w:val="00D13D12"/>
    <w:rsid w:val="00D14153"/>
    <w:rsid w:val="00D15165"/>
    <w:rsid w:val="00D16446"/>
    <w:rsid w:val="00D171D5"/>
    <w:rsid w:val="00D17ECC"/>
    <w:rsid w:val="00D17F81"/>
    <w:rsid w:val="00D20202"/>
    <w:rsid w:val="00D20B0C"/>
    <w:rsid w:val="00D20F88"/>
    <w:rsid w:val="00D21ACE"/>
    <w:rsid w:val="00D21F1C"/>
    <w:rsid w:val="00D22515"/>
    <w:rsid w:val="00D22BFB"/>
    <w:rsid w:val="00D22D47"/>
    <w:rsid w:val="00D24B40"/>
    <w:rsid w:val="00D26AF3"/>
    <w:rsid w:val="00D26C0F"/>
    <w:rsid w:val="00D27744"/>
    <w:rsid w:val="00D27FE5"/>
    <w:rsid w:val="00D30202"/>
    <w:rsid w:val="00D31569"/>
    <w:rsid w:val="00D3187B"/>
    <w:rsid w:val="00D3209F"/>
    <w:rsid w:val="00D32597"/>
    <w:rsid w:val="00D326A9"/>
    <w:rsid w:val="00D32DDB"/>
    <w:rsid w:val="00D33081"/>
    <w:rsid w:val="00D350A7"/>
    <w:rsid w:val="00D35616"/>
    <w:rsid w:val="00D35B54"/>
    <w:rsid w:val="00D36BC2"/>
    <w:rsid w:val="00D373A7"/>
    <w:rsid w:val="00D37B63"/>
    <w:rsid w:val="00D37E17"/>
    <w:rsid w:val="00D40694"/>
    <w:rsid w:val="00D419D5"/>
    <w:rsid w:val="00D41C12"/>
    <w:rsid w:val="00D41D23"/>
    <w:rsid w:val="00D42181"/>
    <w:rsid w:val="00D42CEF"/>
    <w:rsid w:val="00D43457"/>
    <w:rsid w:val="00D43853"/>
    <w:rsid w:val="00D43DA1"/>
    <w:rsid w:val="00D4440F"/>
    <w:rsid w:val="00D45060"/>
    <w:rsid w:val="00D46BDB"/>
    <w:rsid w:val="00D46C66"/>
    <w:rsid w:val="00D470AC"/>
    <w:rsid w:val="00D4755D"/>
    <w:rsid w:val="00D47CEF"/>
    <w:rsid w:val="00D47F7C"/>
    <w:rsid w:val="00D50028"/>
    <w:rsid w:val="00D501D8"/>
    <w:rsid w:val="00D50773"/>
    <w:rsid w:val="00D51649"/>
    <w:rsid w:val="00D52635"/>
    <w:rsid w:val="00D54CB8"/>
    <w:rsid w:val="00D55C23"/>
    <w:rsid w:val="00D55DA3"/>
    <w:rsid w:val="00D563DB"/>
    <w:rsid w:val="00D5742E"/>
    <w:rsid w:val="00D57D39"/>
    <w:rsid w:val="00D601A7"/>
    <w:rsid w:val="00D60254"/>
    <w:rsid w:val="00D607B2"/>
    <w:rsid w:val="00D611C3"/>
    <w:rsid w:val="00D61C59"/>
    <w:rsid w:val="00D62A0F"/>
    <w:rsid w:val="00D62D35"/>
    <w:rsid w:val="00D631E5"/>
    <w:rsid w:val="00D632A5"/>
    <w:rsid w:val="00D63335"/>
    <w:rsid w:val="00D63924"/>
    <w:rsid w:val="00D63AD3"/>
    <w:rsid w:val="00D6439F"/>
    <w:rsid w:val="00D65625"/>
    <w:rsid w:val="00D66483"/>
    <w:rsid w:val="00D6707C"/>
    <w:rsid w:val="00D676AA"/>
    <w:rsid w:val="00D71778"/>
    <w:rsid w:val="00D71AA7"/>
    <w:rsid w:val="00D721CB"/>
    <w:rsid w:val="00D728B2"/>
    <w:rsid w:val="00D72968"/>
    <w:rsid w:val="00D7369A"/>
    <w:rsid w:val="00D73D5E"/>
    <w:rsid w:val="00D741E1"/>
    <w:rsid w:val="00D75124"/>
    <w:rsid w:val="00D75333"/>
    <w:rsid w:val="00D753AF"/>
    <w:rsid w:val="00D756A9"/>
    <w:rsid w:val="00D75D33"/>
    <w:rsid w:val="00D7641D"/>
    <w:rsid w:val="00D76AA7"/>
    <w:rsid w:val="00D76F09"/>
    <w:rsid w:val="00D770DE"/>
    <w:rsid w:val="00D77261"/>
    <w:rsid w:val="00D80264"/>
    <w:rsid w:val="00D8149B"/>
    <w:rsid w:val="00D815E8"/>
    <w:rsid w:val="00D83142"/>
    <w:rsid w:val="00D83E2B"/>
    <w:rsid w:val="00D84299"/>
    <w:rsid w:val="00D850D2"/>
    <w:rsid w:val="00D860DF"/>
    <w:rsid w:val="00D86259"/>
    <w:rsid w:val="00D8711F"/>
    <w:rsid w:val="00D87B86"/>
    <w:rsid w:val="00D90555"/>
    <w:rsid w:val="00D90AB6"/>
    <w:rsid w:val="00D9101A"/>
    <w:rsid w:val="00D91483"/>
    <w:rsid w:val="00D91E63"/>
    <w:rsid w:val="00D91FBB"/>
    <w:rsid w:val="00D9328C"/>
    <w:rsid w:val="00D93565"/>
    <w:rsid w:val="00D936C8"/>
    <w:rsid w:val="00D93781"/>
    <w:rsid w:val="00D9408C"/>
    <w:rsid w:val="00D94305"/>
    <w:rsid w:val="00D94ED0"/>
    <w:rsid w:val="00D95452"/>
    <w:rsid w:val="00D97493"/>
    <w:rsid w:val="00D97E4A"/>
    <w:rsid w:val="00DA003F"/>
    <w:rsid w:val="00DA0D4E"/>
    <w:rsid w:val="00DA16D0"/>
    <w:rsid w:val="00DA27D8"/>
    <w:rsid w:val="00DA33E4"/>
    <w:rsid w:val="00DA39D4"/>
    <w:rsid w:val="00DA3BC1"/>
    <w:rsid w:val="00DA3C35"/>
    <w:rsid w:val="00DA46F1"/>
    <w:rsid w:val="00DA4EBB"/>
    <w:rsid w:val="00DA54BA"/>
    <w:rsid w:val="00DA5809"/>
    <w:rsid w:val="00DA7210"/>
    <w:rsid w:val="00DB00CC"/>
    <w:rsid w:val="00DB02A5"/>
    <w:rsid w:val="00DB039B"/>
    <w:rsid w:val="00DB0478"/>
    <w:rsid w:val="00DB10B4"/>
    <w:rsid w:val="00DB19E7"/>
    <w:rsid w:val="00DB1A06"/>
    <w:rsid w:val="00DB1A81"/>
    <w:rsid w:val="00DB1B72"/>
    <w:rsid w:val="00DB25DE"/>
    <w:rsid w:val="00DB4563"/>
    <w:rsid w:val="00DB4974"/>
    <w:rsid w:val="00DB4C46"/>
    <w:rsid w:val="00DB58F2"/>
    <w:rsid w:val="00DB6B1B"/>
    <w:rsid w:val="00DB6DD9"/>
    <w:rsid w:val="00DB6FBE"/>
    <w:rsid w:val="00DB73D3"/>
    <w:rsid w:val="00DB78E1"/>
    <w:rsid w:val="00DC0523"/>
    <w:rsid w:val="00DC1031"/>
    <w:rsid w:val="00DC15AF"/>
    <w:rsid w:val="00DC1AF0"/>
    <w:rsid w:val="00DC21AA"/>
    <w:rsid w:val="00DC2724"/>
    <w:rsid w:val="00DC2AB1"/>
    <w:rsid w:val="00DC2B1C"/>
    <w:rsid w:val="00DC2DFA"/>
    <w:rsid w:val="00DC2E1C"/>
    <w:rsid w:val="00DC2EED"/>
    <w:rsid w:val="00DC3722"/>
    <w:rsid w:val="00DC3BD8"/>
    <w:rsid w:val="00DC3DBE"/>
    <w:rsid w:val="00DC49E4"/>
    <w:rsid w:val="00DC4ECC"/>
    <w:rsid w:val="00DC55C3"/>
    <w:rsid w:val="00DC64F5"/>
    <w:rsid w:val="00DC69D1"/>
    <w:rsid w:val="00DC7939"/>
    <w:rsid w:val="00DC794C"/>
    <w:rsid w:val="00DC7A1E"/>
    <w:rsid w:val="00DC7F9B"/>
    <w:rsid w:val="00DD0420"/>
    <w:rsid w:val="00DD05F9"/>
    <w:rsid w:val="00DD0837"/>
    <w:rsid w:val="00DD0E99"/>
    <w:rsid w:val="00DD0F4F"/>
    <w:rsid w:val="00DD1D55"/>
    <w:rsid w:val="00DD2408"/>
    <w:rsid w:val="00DD318C"/>
    <w:rsid w:val="00DD35FD"/>
    <w:rsid w:val="00DD3CC6"/>
    <w:rsid w:val="00DD3E08"/>
    <w:rsid w:val="00DD4488"/>
    <w:rsid w:val="00DD4656"/>
    <w:rsid w:val="00DD54E3"/>
    <w:rsid w:val="00DD63EC"/>
    <w:rsid w:val="00DD6632"/>
    <w:rsid w:val="00DD69A9"/>
    <w:rsid w:val="00DD6B9E"/>
    <w:rsid w:val="00DD71D3"/>
    <w:rsid w:val="00DD7E97"/>
    <w:rsid w:val="00DE0B84"/>
    <w:rsid w:val="00DE0C1F"/>
    <w:rsid w:val="00DE12DE"/>
    <w:rsid w:val="00DE196C"/>
    <w:rsid w:val="00DE1C84"/>
    <w:rsid w:val="00DE1CAC"/>
    <w:rsid w:val="00DE1DBC"/>
    <w:rsid w:val="00DE24A9"/>
    <w:rsid w:val="00DE30B8"/>
    <w:rsid w:val="00DE30F1"/>
    <w:rsid w:val="00DE3CAF"/>
    <w:rsid w:val="00DE4A4C"/>
    <w:rsid w:val="00DE5852"/>
    <w:rsid w:val="00DE5AC4"/>
    <w:rsid w:val="00DE77B5"/>
    <w:rsid w:val="00DF03F5"/>
    <w:rsid w:val="00DF1347"/>
    <w:rsid w:val="00DF18BB"/>
    <w:rsid w:val="00DF29C7"/>
    <w:rsid w:val="00DF2B38"/>
    <w:rsid w:val="00DF3193"/>
    <w:rsid w:val="00DF33BD"/>
    <w:rsid w:val="00DF379D"/>
    <w:rsid w:val="00DF40FE"/>
    <w:rsid w:val="00DF4D58"/>
    <w:rsid w:val="00DF507D"/>
    <w:rsid w:val="00DF53A5"/>
    <w:rsid w:val="00DF55F1"/>
    <w:rsid w:val="00DF569A"/>
    <w:rsid w:val="00DF60A8"/>
    <w:rsid w:val="00DF639D"/>
    <w:rsid w:val="00DF744B"/>
    <w:rsid w:val="00DF7796"/>
    <w:rsid w:val="00DF78F1"/>
    <w:rsid w:val="00DF7C07"/>
    <w:rsid w:val="00E007E8"/>
    <w:rsid w:val="00E008E6"/>
    <w:rsid w:val="00E013AC"/>
    <w:rsid w:val="00E0168A"/>
    <w:rsid w:val="00E01A36"/>
    <w:rsid w:val="00E02272"/>
    <w:rsid w:val="00E03491"/>
    <w:rsid w:val="00E03BAE"/>
    <w:rsid w:val="00E03EFF"/>
    <w:rsid w:val="00E05773"/>
    <w:rsid w:val="00E06A78"/>
    <w:rsid w:val="00E07E65"/>
    <w:rsid w:val="00E102AB"/>
    <w:rsid w:val="00E124F3"/>
    <w:rsid w:val="00E12954"/>
    <w:rsid w:val="00E13AD5"/>
    <w:rsid w:val="00E141E3"/>
    <w:rsid w:val="00E14314"/>
    <w:rsid w:val="00E14431"/>
    <w:rsid w:val="00E148F4"/>
    <w:rsid w:val="00E14C9F"/>
    <w:rsid w:val="00E151C3"/>
    <w:rsid w:val="00E15211"/>
    <w:rsid w:val="00E16099"/>
    <w:rsid w:val="00E169E2"/>
    <w:rsid w:val="00E16F00"/>
    <w:rsid w:val="00E173DA"/>
    <w:rsid w:val="00E17566"/>
    <w:rsid w:val="00E210B5"/>
    <w:rsid w:val="00E22F12"/>
    <w:rsid w:val="00E23D70"/>
    <w:rsid w:val="00E24762"/>
    <w:rsid w:val="00E24AA7"/>
    <w:rsid w:val="00E24D5A"/>
    <w:rsid w:val="00E25662"/>
    <w:rsid w:val="00E25A42"/>
    <w:rsid w:val="00E26676"/>
    <w:rsid w:val="00E2678C"/>
    <w:rsid w:val="00E2692E"/>
    <w:rsid w:val="00E2751E"/>
    <w:rsid w:val="00E30883"/>
    <w:rsid w:val="00E30983"/>
    <w:rsid w:val="00E30D2E"/>
    <w:rsid w:val="00E30E50"/>
    <w:rsid w:val="00E30E67"/>
    <w:rsid w:val="00E3161D"/>
    <w:rsid w:val="00E321BE"/>
    <w:rsid w:val="00E32A50"/>
    <w:rsid w:val="00E330AF"/>
    <w:rsid w:val="00E33E49"/>
    <w:rsid w:val="00E34623"/>
    <w:rsid w:val="00E36437"/>
    <w:rsid w:val="00E36ACA"/>
    <w:rsid w:val="00E377C8"/>
    <w:rsid w:val="00E37808"/>
    <w:rsid w:val="00E37B23"/>
    <w:rsid w:val="00E4027E"/>
    <w:rsid w:val="00E40ABD"/>
    <w:rsid w:val="00E40CCE"/>
    <w:rsid w:val="00E42451"/>
    <w:rsid w:val="00E42E8C"/>
    <w:rsid w:val="00E44CF9"/>
    <w:rsid w:val="00E44D29"/>
    <w:rsid w:val="00E45D67"/>
    <w:rsid w:val="00E46229"/>
    <w:rsid w:val="00E46DB8"/>
    <w:rsid w:val="00E508DD"/>
    <w:rsid w:val="00E50E65"/>
    <w:rsid w:val="00E51788"/>
    <w:rsid w:val="00E5229A"/>
    <w:rsid w:val="00E5243A"/>
    <w:rsid w:val="00E524E4"/>
    <w:rsid w:val="00E52FE2"/>
    <w:rsid w:val="00E53182"/>
    <w:rsid w:val="00E537F3"/>
    <w:rsid w:val="00E5411C"/>
    <w:rsid w:val="00E544FA"/>
    <w:rsid w:val="00E54878"/>
    <w:rsid w:val="00E5688A"/>
    <w:rsid w:val="00E60DA2"/>
    <w:rsid w:val="00E612F2"/>
    <w:rsid w:val="00E61753"/>
    <w:rsid w:val="00E62196"/>
    <w:rsid w:val="00E62488"/>
    <w:rsid w:val="00E63415"/>
    <w:rsid w:val="00E63994"/>
    <w:rsid w:val="00E64903"/>
    <w:rsid w:val="00E6613D"/>
    <w:rsid w:val="00E6654F"/>
    <w:rsid w:val="00E67811"/>
    <w:rsid w:val="00E67B3F"/>
    <w:rsid w:val="00E7178B"/>
    <w:rsid w:val="00E71B5C"/>
    <w:rsid w:val="00E71C0D"/>
    <w:rsid w:val="00E72A85"/>
    <w:rsid w:val="00E72DCD"/>
    <w:rsid w:val="00E73058"/>
    <w:rsid w:val="00E733C6"/>
    <w:rsid w:val="00E74AD2"/>
    <w:rsid w:val="00E74BBF"/>
    <w:rsid w:val="00E75668"/>
    <w:rsid w:val="00E75B39"/>
    <w:rsid w:val="00E76E2B"/>
    <w:rsid w:val="00E771D5"/>
    <w:rsid w:val="00E77BD7"/>
    <w:rsid w:val="00E801D3"/>
    <w:rsid w:val="00E80B04"/>
    <w:rsid w:val="00E80EE0"/>
    <w:rsid w:val="00E81660"/>
    <w:rsid w:val="00E818BD"/>
    <w:rsid w:val="00E81F8B"/>
    <w:rsid w:val="00E81F9B"/>
    <w:rsid w:val="00E82C5A"/>
    <w:rsid w:val="00E8382F"/>
    <w:rsid w:val="00E842D5"/>
    <w:rsid w:val="00E8500B"/>
    <w:rsid w:val="00E85C47"/>
    <w:rsid w:val="00E85D23"/>
    <w:rsid w:val="00E8696B"/>
    <w:rsid w:val="00E86A7C"/>
    <w:rsid w:val="00E878FB"/>
    <w:rsid w:val="00E87BFD"/>
    <w:rsid w:val="00E87DD2"/>
    <w:rsid w:val="00E9016E"/>
    <w:rsid w:val="00E90251"/>
    <w:rsid w:val="00E90393"/>
    <w:rsid w:val="00E90DCB"/>
    <w:rsid w:val="00E91B86"/>
    <w:rsid w:val="00E91DE2"/>
    <w:rsid w:val="00E9233B"/>
    <w:rsid w:val="00E929FB"/>
    <w:rsid w:val="00E92B75"/>
    <w:rsid w:val="00E92C33"/>
    <w:rsid w:val="00E92F94"/>
    <w:rsid w:val="00E9346D"/>
    <w:rsid w:val="00E93B41"/>
    <w:rsid w:val="00E93BE4"/>
    <w:rsid w:val="00E93C62"/>
    <w:rsid w:val="00E9420D"/>
    <w:rsid w:val="00E95400"/>
    <w:rsid w:val="00E97110"/>
    <w:rsid w:val="00E97136"/>
    <w:rsid w:val="00E9713E"/>
    <w:rsid w:val="00E975BB"/>
    <w:rsid w:val="00E9764F"/>
    <w:rsid w:val="00E97668"/>
    <w:rsid w:val="00E97D52"/>
    <w:rsid w:val="00EA0240"/>
    <w:rsid w:val="00EA0524"/>
    <w:rsid w:val="00EA0A70"/>
    <w:rsid w:val="00EA0CA2"/>
    <w:rsid w:val="00EA18E2"/>
    <w:rsid w:val="00EA2AC0"/>
    <w:rsid w:val="00EA2CBA"/>
    <w:rsid w:val="00EA2DAD"/>
    <w:rsid w:val="00EA3254"/>
    <w:rsid w:val="00EA35F6"/>
    <w:rsid w:val="00EA4089"/>
    <w:rsid w:val="00EA4E98"/>
    <w:rsid w:val="00EA53CF"/>
    <w:rsid w:val="00EA55C1"/>
    <w:rsid w:val="00EA57B5"/>
    <w:rsid w:val="00EA58F9"/>
    <w:rsid w:val="00EA5D6D"/>
    <w:rsid w:val="00EA60BD"/>
    <w:rsid w:val="00EA6730"/>
    <w:rsid w:val="00EA712F"/>
    <w:rsid w:val="00EA7BC2"/>
    <w:rsid w:val="00EA7EDD"/>
    <w:rsid w:val="00EB0385"/>
    <w:rsid w:val="00EB08F9"/>
    <w:rsid w:val="00EB0E8A"/>
    <w:rsid w:val="00EB1261"/>
    <w:rsid w:val="00EB1369"/>
    <w:rsid w:val="00EB2A4F"/>
    <w:rsid w:val="00EB56EE"/>
    <w:rsid w:val="00EB5E38"/>
    <w:rsid w:val="00EC070F"/>
    <w:rsid w:val="00EC08FE"/>
    <w:rsid w:val="00EC0D5B"/>
    <w:rsid w:val="00EC13E8"/>
    <w:rsid w:val="00EC16EB"/>
    <w:rsid w:val="00EC1C90"/>
    <w:rsid w:val="00EC1CD3"/>
    <w:rsid w:val="00EC2283"/>
    <w:rsid w:val="00EC3C3F"/>
    <w:rsid w:val="00EC3D8B"/>
    <w:rsid w:val="00EC4FDE"/>
    <w:rsid w:val="00EC606E"/>
    <w:rsid w:val="00EC63B8"/>
    <w:rsid w:val="00EC6BB1"/>
    <w:rsid w:val="00EC70B9"/>
    <w:rsid w:val="00ED0899"/>
    <w:rsid w:val="00ED1AED"/>
    <w:rsid w:val="00ED1D7C"/>
    <w:rsid w:val="00ED230B"/>
    <w:rsid w:val="00ED29A0"/>
    <w:rsid w:val="00ED3603"/>
    <w:rsid w:val="00ED3927"/>
    <w:rsid w:val="00ED3A1F"/>
    <w:rsid w:val="00ED3D46"/>
    <w:rsid w:val="00ED41C0"/>
    <w:rsid w:val="00ED45FB"/>
    <w:rsid w:val="00ED55A3"/>
    <w:rsid w:val="00ED6563"/>
    <w:rsid w:val="00ED68C9"/>
    <w:rsid w:val="00ED6F11"/>
    <w:rsid w:val="00ED6F46"/>
    <w:rsid w:val="00ED7F83"/>
    <w:rsid w:val="00EE00FA"/>
    <w:rsid w:val="00EE0A5F"/>
    <w:rsid w:val="00EE0C59"/>
    <w:rsid w:val="00EE0E76"/>
    <w:rsid w:val="00EE1B89"/>
    <w:rsid w:val="00EE2975"/>
    <w:rsid w:val="00EE31DE"/>
    <w:rsid w:val="00EE37FD"/>
    <w:rsid w:val="00EE3C3A"/>
    <w:rsid w:val="00EE535D"/>
    <w:rsid w:val="00EE53FF"/>
    <w:rsid w:val="00EE5A9C"/>
    <w:rsid w:val="00EE5C7C"/>
    <w:rsid w:val="00EE6039"/>
    <w:rsid w:val="00EE65ED"/>
    <w:rsid w:val="00EE6DDE"/>
    <w:rsid w:val="00EE6F11"/>
    <w:rsid w:val="00EE7229"/>
    <w:rsid w:val="00EE78AC"/>
    <w:rsid w:val="00EE7D4D"/>
    <w:rsid w:val="00EE7FFB"/>
    <w:rsid w:val="00EF14E2"/>
    <w:rsid w:val="00EF1F4D"/>
    <w:rsid w:val="00EF2629"/>
    <w:rsid w:val="00EF2B61"/>
    <w:rsid w:val="00EF2E37"/>
    <w:rsid w:val="00EF3E04"/>
    <w:rsid w:val="00EF406C"/>
    <w:rsid w:val="00EF4279"/>
    <w:rsid w:val="00EF4B30"/>
    <w:rsid w:val="00EF4E58"/>
    <w:rsid w:val="00EF53B9"/>
    <w:rsid w:val="00EF5B3D"/>
    <w:rsid w:val="00EF5B8C"/>
    <w:rsid w:val="00EF7AC7"/>
    <w:rsid w:val="00EF7D78"/>
    <w:rsid w:val="00EF7FE0"/>
    <w:rsid w:val="00F0058A"/>
    <w:rsid w:val="00F01C69"/>
    <w:rsid w:val="00F02458"/>
    <w:rsid w:val="00F031D6"/>
    <w:rsid w:val="00F03D73"/>
    <w:rsid w:val="00F04EAC"/>
    <w:rsid w:val="00F052D7"/>
    <w:rsid w:val="00F06214"/>
    <w:rsid w:val="00F0659E"/>
    <w:rsid w:val="00F069AC"/>
    <w:rsid w:val="00F06B80"/>
    <w:rsid w:val="00F07D43"/>
    <w:rsid w:val="00F07E88"/>
    <w:rsid w:val="00F10D83"/>
    <w:rsid w:val="00F115E1"/>
    <w:rsid w:val="00F11CA5"/>
    <w:rsid w:val="00F11ED0"/>
    <w:rsid w:val="00F125AD"/>
    <w:rsid w:val="00F14718"/>
    <w:rsid w:val="00F14CB3"/>
    <w:rsid w:val="00F14DCC"/>
    <w:rsid w:val="00F153EC"/>
    <w:rsid w:val="00F155D7"/>
    <w:rsid w:val="00F15993"/>
    <w:rsid w:val="00F15A3F"/>
    <w:rsid w:val="00F15F87"/>
    <w:rsid w:val="00F16AA4"/>
    <w:rsid w:val="00F174D3"/>
    <w:rsid w:val="00F17522"/>
    <w:rsid w:val="00F17C1A"/>
    <w:rsid w:val="00F17C6A"/>
    <w:rsid w:val="00F2076C"/>
    <w:rsid w:val="00F20F40"/>
    <w:rsid w:val="00F20F83"/>
    <w:rsid w:val="00F21C27"/>
    <w:rsid w:val="00F21FE4"/>
    <w:rsid w:val="00F22094"/>
    <w:rsid w:val="00F22BFF"/>
    <w:rsid w:val="00F23480"/>
    <w:rsid w:val="00F25942"/>
    <w:rsid w:val="00F25BA6"/>
    <w:rsid w:val="00F2641D"/>
    <w:rsid w:val="00F26484"/>
    <w:rsid w:val="00F269EE"/>
    <w:rsid w:val="00F26B0F"/>
    <w:rsid w:val="00F274B3"/>
    <w:rsid w:val="00F30A27"/>
    <w:rsid w:val="00F32048"/>
    <w:rsid w:val="00F3232C"/>
    <w:rsid w:val="00F32C0E"/>
    <w:rsid w:val="00F32D46"/>
    <w:rsid w:val="00F3366E"/>
    <w:rsid w:val="00F33833"/>
    <w:rsid w:val="00F33878"/>
    <w:rsid w:val="00F34310"/>
    <w:rsid w:val="00F34E7B"/>
    <w:rsid w:val="00F35961"/>
    <w:rsid w:val="00F35F47"/>
    <w:rsid w:val="00F366A1"/>
    <w:rsid w:val="00F36752"/>
    <w:rsid w:val="00F37379"/>
    <w:rsid w:val="00F373A5"/>
    <w:rsid w:val="00F37783"/>
    <w:rsid w:val="00F40843"/>
    <w:rsid w:val="00F40D48"/>
    <w:rsid w:val="00F40F25"/>
    <w:rsid w:val="00F41686"/>
    <w:rsid w:val="00F417B7"/>
    <w:rsid w:val="00F41995"/>
    <w:rsid w:val="00F428C8"/>
    <w:rsid w:val="00F43C43"/>
    <w:rsid w:val="00F44312"/>
    <w:rsid w:val="00F443A3"/>
    <w:rsid w:val="00F44796"/>
    <w:rsid w:val="00F458FA"/>
    <w:rsid w:val="00F45E3F"/>
    <w:rsid w:val="00F472DB"/>
    <w:rsid w:val="00F47521"/>
    <w:rsid w:val="00F47BC9"/>
    <w:rsid w:val="00F50355"/>
    <w:rsid w:val="00F5059B"/>
    <w:rsid w:val="00F507C8"/>
    <w:rsid w:val="00F51036"/>
    <w:rsid w:val="00F519AC"/>
    <w:rsid w:val="00F51DCC"/>
    <w:rsid w:val="00F5278E"/>
    <w:rsid w:val="00F53244"/>
    <w:rsid w:val="00F53261"/>
    <w:rsid w:val="00F53701"/>
    <w:rsid w:val="00F54A3D"/>
    <w:rsid w:val="00F54C7D"/>
    <w:rsid w:val="00F557DA"/>
    <w:rsid w:val="00F5584F"/>
    <w:rsid w:val="00F55B87"/>
    <w:rsid w:val="00F56886"/>
    <w:rsid w:val="00F5794D"/>
    <w:rsid w:val="00F5799C"/>
    <w:rsid w:val="00F57E53"/>
    <w:rsid w:val="00F61769"/>
    <w:rsid w:val="00F61FC8"/>
    <w:rsid w:val="00F620ED"/>
    <w:rsid w:val="00F629A1"/>
    <w:rsid w:val="00F62CF1"/>
    <w:rsid w:val="00F62D36"/>
    <w:rsid w:val="00F637AD"/>
    <w:rsid w:val="00F63962"/>
    <w:rsid w:val="00F65011"/>
    <w:rsid w:val="00F65208"/>
    <w:rsid w:val="00F652CA"/>
    <w:rsid w:val="00F663CA"/>
    <w:rsid w:val="00F677CC"/>
    <w:rsid w:val="00F67995"/>
    <w:rsid w:val="00F70119"/>
    <w:rsid w:val="00F706FB"/>
    <w:rsid w:val="00F70939"/>
    <w:rsid w:val="00F70D6E"/>
    <w:rsid w:val="00F715D9"/>
    <w:rsid w:val="00F715EB"/>
    <w:rsid w:val="00F720A2"/>
    <w:rsid w:val="00F721F8"/>
    <w:rsid w:val="00F726A6"/>
    <w:rsid w:val="00F72BFA"/>
    <w:rsid w:val="00F72C1D"/>
    <w:rsid w:val="00F72FA3"/>
    <w:rsid w:val="00F73B18"/>
    <w:rsid w:val="00F73E92"/>
    <w:rsid w:val="00F742C3"/>
    <w:rsid w:val="00F748D9"/>
    <w:rsid w:val="00F75A56"/>
    <w:rsid w:val="00F7721A"/>
    <w:rsid w:val="00F775A2"/>
    <w:rsid w:val="00F778C3"/>
    <w:rsid w:val="00F77E6A"/>
    <w:rsid w:val="00F80E00"/>
    <w:rsid w:val="00F810B0"/>
    <w:rsid w:val="00F8152C"/>
    <w:rsid w:val="00F81F3F"/>
    <w:rsid w:val="00F820B2"/>
    <w:rsid w:val="00F82157"/>
    <w:rsid w:val="00F8245B"/>
    <w:rsid w:val="00F82652"/>
    <w:rsid w:val="00F82B4F"/>
    <w:rsid w:val="00F82BB4"/>
    <w:rsid w:val="00F82FA0"/>
    <w:rsid w:val="00F830F8"/>
    <w:rsid w:val="00F83330"/>
    <w:rsid w:val="00F84CEF"/>
    <w:rsid w:val="00F8543A"/>
    <w:rsid w:val="00F85652"/>
    <w:rsid w:val="00F8682B"/>
    <w:rsid w:val="00F87639"/>
    <w:rsid w:val="00F87900"/>
    <w:rsid w:val="00F87A5B"/>
    <w:rsid w:val="00F87C86"/>
    <w:rsid w:val="00F90C56"/>
    <w:rsid w:val="00F911C7"/>
    <w:rsid w:val="00F935FD"/>
    <w:rsid w:val="00F93659"/>
    <w:rsid w:val="00F9370F"/>
    <w:rsid w:val="00F9404B"/>
    <w:rsid w:val="00F949FD"/>
    <w:rsid w:val="00F94D9A"/>
    <w:rsid w:val="00F96DC0"/>
    <w:rsid w:val="00F96DF4"/>
    <w:rsid w:val="00F97959"/>
    <w:rsid w:val="00FA0BE5"/>
    <w:rsid w:val="00FA143E"/>
    <w:rsid w:val="00FA201E"/>
    <w:rsid w:val="00FA235C"/>
    <w:rsid w:val="00FA4639"/>
    <w:rsid w:val="00FA4D6D"/>
    <w:rsid w:val="00FA5541"/>
    <w:rsid w:val="00FA6393"/>
    <w:rsid w:val="00FA7200"/>
    <w:rsid w:val="00FA76AB"/>
    <w:rsid w:val="00FA79F9"/>
    <w:rsid w:val="00FA7C70"/>
    <w:rsid w:val="00FB0FC8"/>
    <w:rsid w:val="00FB2314"/>
    <w:rsid w:val="00FB2370"/>
    <w:rsid w:val="00FB25B4"/>
    <w:rsid w:val="00FB28D6"/>
    <w:rsid w:val="00FB3272"/>
    <w:rsid w:val="00FB4955"/>
    <w:rsid w:val="00FB4B5F"/>
    <w:rsid w:val="00FB4BB1"/>
    <w:rsid w:val="00FB53AF"/>
    <w:rsid w:val="00FB6118"/>
    <w:rsid w:val="00FB6427"/>
    <w:rsid w:val="00FB7612"/>
    <w:rsid w:val="00FC0CDC"/>
    <w:rsid w:val="00FC0DEA"/>
    <w:rsid w:val="00FC2C9B"/>
    <w:rsid w:val="00FC31AE"/>
    <w:rsid w:val="00FC31C4"/>
    <w:rsid w:val="00FC327A"/>
    <w:rsid w:val="00FC3683"/>
    <w:rsid w:val="00FC41DF"/>
    <w:rsid w:val="00FC4328"/>
    <w:rsid w:val="00FC4B16"/>
    <w:rsid w:val="00FC4EFE"/>
    <w:rsid w:val="00FC5231"/>
    <w:rsid w:val="00FC6687"/>
    <w:rsid w:val="00FC6D9A"/>
    <w:rsid w:val="00FC70CF"/>
    <w:rsid w:val="00FC710F"/>
    <w:rsid w:val="00FC7138"/>
    <w:rsid w:val="00FD04BE"/>
    <w:rsid w:val="00FD10D2"/>
    <w:rsid w:val="00FD1A24"/>
    <w:rsid w:val="00FD272F"/>
    <w:rsid w:val="00FD3143"/>
    <w:rsid w:val="00FD33D9"/>
    <w:rsid w:val="00FD347E"/>
    <w:rsid w:val="00FD4A41"/>
    <w:rsid w:val="00FD5D2D"/>
    <w:rsid w:val="00FD6308"/>
    <w:rsid w:val="00FD6A99"/>
    <w:rsid w:val="00FD765E"/>
    <w:rsid w:val="00FD7BDD"/>
    <w:rsid w:val="00FE0770"/>
    <w:rsid w:val="00FE0C9E"/>
    <w:rsid w:val="00FE0F60"/>
    <w:rsid w:val="00FE23E7"/>
    <w:rsid w:val="00FE320F"/>
    <w:rsid w:val="00FE35E1"/>
    <w:rsid w:val="00FE36BD"/>
    <w:rsid w:val="00FE3A3B"/>
    <w:rsid w:val="00FE3C52"/>
    <w:rsid w:val="00FE4626"/>
    <w:rsid w:val="00FE4910"/>
    <w:rsid w:val="00FE4AB6"/>
    <w:rsid w:val="00FE4BCC"/>
    <w:rsid w:val="00FE4D30"/>
    <w:rsid w:val="00FE506A"/>
    <w:rsid w:val="00FE567A"/>
    <w:rsid w:val="00FE6174"/>
    <w:rsid w:val="00FE62B1"/>
    <w:rsid w:val="00FE72EE"/>
    <w:rsid w:val="00FE771F"/>
    <w:rsid w:val="00FE78A6"/>
    <w:rsid w:val="00FE7B4E"/>
    <w:rsid w:val="00FF007A"/>
    <w:rsid w:val="00FF028B"/>
    <w:rsid w:val="00FF037B"/>
    <w:rsid w:val="00FF03EB"/>
    <w:rsid w:val="00FF0D2D"/>
    <w:rsid w:val="00FF0FE5"/>
    <w:rsid w:val="00FF1604"/>
    <w:rsid w:val="00FF1999"/>
    <w:rsid w:val="00FF2BF7"/>
    <w:rsid w:val="00FF2C74"/>
    <w:rsid w:val="00FF2D31"/>
    <w:rsid w:val="00FF375F"/>
    <w:rsid w:val="00FF391A"/>
    <w:rsid w:val="00FF3AB6"/>
    <w:rsid w:val="00FF4C43"/>
    <w:rsid w:val="00FF4DDC"/>
    <w:rsid w:val="00FF5901"/>
    <w:rsid w:val="00FF5D1C"/>
    <w:rsid w:val="00FF6FD9"/>
    <w:rsid w:val="00FF7002"/>
    <w:rsid w:val="00FF750E"/>
    <w:rsid w:val="00FF77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4F08520"/>
  <w15:docId w15:val="{CFC294BC-1ACC-481E-89C4-3699EC144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99"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33D9"/>
    <w:rPr>
      <w:sz w:val="24"/>
      <w:szCs w:val="24"/>
      <w:lang w:val="en-US" w:eastAsia="en-US"/>
    </w:rPr>
  </w:style>
  <w:style w:type="paragraph" w:styleId="Ttulo1">
    <w:name w:val="heading 1"/>
    <w:basedOn w:val="Normal"/>
    <w:next w:val="Normal"/>
    <w:link w:val="Ttulo1Car"/>
    <w:qFormat/>
    <w:rsid w:val="00372D24"/>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C713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ED6F11"/>
    <w:pPr>
      <w:keepNext/>
      <w:spacing w:before="240" w:after="60"/>
      <w:outlineLvl w:val="2"/>
    </w:pPr>
    <w:rPr>
      <w:rFonts w:ascii="Arial" w:eastAsia="SimSu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F24C2"/>
    <w:rPr>
      <w:rFonts w:ascii="Arial" w:hAnsi="Arial" w:cs="Arial"/>
      <w:b/>
      <w:bCs/>
      <w:kern w:val="32"/>
      <w:sz w:val="32"/>
      <w:szCs w:val="32"/>
      <w:lang w:val="en-US" w:eastAsia="en-US"/>
    </w:rPr>
  </w:style>
  <w:style w:type="paragraph" w:customStyle="1" w:styleId="Tituloinicial">
    <w:name w:val="Titulo inicial"/>
    <w:basedOn w:val="Normal"/>
    <w:rsid w:val="00372D24"/>
    <w:pPr>
      <w:spacing w:after="360"/>
      <w:ind w:left="-1701"/>
    </w:pPr>
    <w:rPr>
      <w:rFonts w:ascii="Book Antiqua" w:hAnsi="Book Antiqua"/>
      <w:b/>
      <w:sz w:val="28"/>
      <w:szCs w:val="28"/>
      <w:lang w:val="es-CR"/>
    </w:rPr>
  </w:style>
  <w:style w:type="paragraph" w:styleId="TDC1">
    <w:name w:val="toc 1"/>
    <w:basedOn w:val="Normal"/>
    <w:next w:val="Normal"/>
    <w:autoRedefine/>
    <w:uiPriority w:val="39"/>
    <w:rsid w:val="002377D6"/>
    <w:pPr>
      <w:tabs>
        <w:tab w:val="left" w:pos="0"/>
        <w:tab w:val="right" w:leader="dot" w:pos="8640"/>
      </w:tabs>
      <w:spacing w:line="360" w:lineRule="auto"/>
      <w:ind w:left="-180"/>
      <w:jc w:val="both"/>
    </w:pPr>
    <w:rPr>
      <w:b/>
      <w:noProof/>
      <w:color w:val="000000" w:themeColor="text1"/>
      <w:lang w:val="es-CR"/>
    </w:rPr>
  </w:style>
  <w:style w:type="character" w:styleId="Hipervnculo">
    <w:name w:val="Hyperlink"/>
    <w:basedOn w:val="Fuentedeprrafopredeter"/>
    <w:uiPriority w:val="99"/>
    <w:rsid w:val="00372D24"/>
    <w:rPr>
      <w:rFonts w:cs="Times New Roman"/>
      <w:color w:val="0000FF"/>
      <w:u w:val="single"/>
    </w:rPr>
  </w:style>
  <w:style w:type="paragraph" w:customStyle="1" w:styleId="TextoparrafosCar">
    <w:name w:val="Texto parrafos Car"/>
    <w:basedOn w:val="Normal"/>
    <w:rsid w:val="00372D24"/>
    <w:pPr>
      <w:spacing w:before="160" w:after="160"/>
      <w:jc w:val="both"/>
    </w:pPr>
    <w:rPr>
      <w:rFonts w:ascii="Arial" w:hAnsi="Arial"/>
      <w:lang w:val="es-CR"/>
    </w:rPr>
  </w:style>
  <w:style w:type="paragraph" w:customStyle="1" w:styleId="listaa">
    <w:name w:val="lista a"/>
    <w:basedOn w:val="NormalWeb"/>
    <w:rsid w:val="00372D24"/>
    <w:pPr>
      <w:numPr>
        <w:numId w:val="4"/>
      </w:numPr>
      <w:spacing w:before="240" w:after="240"/>
      <w:jc w:val="both"/>
    </w:pPr>
    <w:rPr>
      <w:lang w:val="es-CR"/>
    </w:rPr>
  </w:style>
  <w:style w:type="paragraph" w:styleId="NormalWeb">
    <w:name w:val="Normal (Web)"/>
    <w:basedOn w:val="Normal"/>
    <w:rsid w:val="00372D24"/>
  </w:style>
  <w:style w:type="paragraph" w:customStyle="1" w:styleId="Tabla-texto-principal">
    <w:name w:val="Tabla-texto-principal"/>
    <w:basedOn w:val="Normal"/>
    <w:rsid w:val="00372D24"/>
    <w:pPr>
      <w:framePr w:hSpace="180" w:wrap="around" w:vAnchor="text" w:hAnchor="margin" w:xAlign="center" w:y="830"/>
      <w:spacing w:before="80" w:after="80"/>
      <w:jc w:val="center"/>
    </w:pPr>
    <w:rPr>
      <w:rFonts w:ascii="Book Antiqua" w:hAnsi="Book Antiqua" w:cs="Arial"/>
      <w:b/>
      <w:color w:val="FFFFFF"/>
      <w:sz w:val="20"/>
      <w:lang w:val="es-CR"/>
    </w:rPr>
  </w:style>
  <w:style w:type="paragraph" w:customStyle="1" w:styleId="texto-cuadros">
    <w:name w:val="texto-cuadros"/>
    <w:basedOn w:val="Normal"/>
    <w:rsid w:val="00372D24"/>
    <w:pPr>
      <w:framePr w:hSpace="141" w:wrap="around" w:vAnchor="text" w:hAnchor="margin" w:y="-69"/>
      <w:spacing w:before="60" w:after="60"/>
      <w:jc w:val="both"/>
    </w:pPr>
    <w:rPr>
      <w:sz w:val="20"/>
      <w:szCs w:val="20"/>
      <w:lang w:val="es-CR"/>
    </w:rPr>
  </w:style>
  <w:style w:type="table" w:styleId="Tablaweb3">
    <w:name w:val="Table Web 3"/>
    <w:basedOn w:val="Tablanormal"/>
    <w:uiPriority w:val="99"/>
    <w:rsid w:val="00372D2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resaltado-ital">
    <w:name w:val="resaltado-ital"/>
    <w:basedOn w:val="Normal"/>
    <w:link w:val="resaltado-italCar"/>
    <w:rsid w:val="00372D24"/>
    <w:pPr>
      <w:spacing w:before="360" w:after="360"/>
      <w:ind w:left="851"/>
      <w:jc w:val="both"/>
    </w:pPr>
    <w:rPr>
      <w:rFonts w:ascii="Book Antiqua" w:hAnsi="Book Antiqua"/>
      <w:i/>
      <w:lang w:val="es-CR"/>
    </w:rPr>
  </w:style>
  <w:style w:type="character" w:customStyle="1" w:styleId="resaltado-italCar">
    <w:name w:val="resaltado-ital Car"/>
    <w:basedOn w:val="Fuentedeprrafopredeter"/>
    <w:link w:val="resaltado-ital"/>
    <w:locked/>
    <w:rsid w:val="00372D24"/>
    <w:rPr>
      <w:rFonts w:ascii="Book Antiqua" w:hAnsi="Book Antiqua" w:cs="Times New Roman"/>
      <w:i/>
      <w:sz w:val="24"/>
      <w:szCs w:val="24"/>
      <w:lang w:val="es-CR" w:eastAsia="en-US" w:bidi="ar-SA"/>
    </w:rPr>
  </w:style>
  <w:style w:type="paragraph" w:customStyle="1" w:styleId="Portada">
    <w:name w:val="Portada"/>
    <w:basedOn w:val="Normal"/>
    <w:link w:val="PortadaCar"/>
    <w:qFormat/>
    <w:rsid w:val="00372D24"/>
    <w:pPr>
      <w:jc w:val="right"/>
    </w:pPr>
    <w:rPr>
      <w:b/>
      <w:sz w:val="40"/>
      <w:szCs w:val="40"/>
      <w:lang w:val="es-CR"/>
    </w:rPr>
  </w:style>
  <w:style w:type="paragraph" w:customStyle="1" w:styleId="listai">
    <w:name w:val="lista i"/>
    <w:basedOn w:val="Normal"/>
    <w:rsid w:val="00C82E3B"/>
    <w:pPr>
      <w:numPr>
        <w:numId w:val="1"/>
      </w:numPr>
      <w:jc w:val="both"/>
    </w:pPr>
    <w:rPr>
      <w:rFonts w:ascii="Book Antiqua" w:hAnsi="Book Antiqua"/>
      <w:sz w:val="20"/>
      <w:lang w:val="es-CR"/>
    </w:rPr>
  </w:style>
  <w:style w:type="paragraph" w:customStyle="1" w:styleId="texto-tabla">
    <w:name w:val="texto-tabla"/>
    <w:basedOn w:val="Normal"/>
    <w:rsid w:val="00C82E3B"/>
    <w:pPr>
      <w:framePr w:hSpace="180" w:wrap="around" w:vAnchor="text" w:hAnchor="margin" w:xAlign="center" w:y="830"/>
      <w:spacing w:before="80" w:after="80"/>
      <w:jc w:val="center"/>
    </w:pPr>
    <w:rPr>
      <w:rFonts w:cs="Arial"/>
      <w:b/>
      <w:color w:val="FFFFFF"/>
      <w:sz w:val="20"/>
      <w:szCs w:val="20"/>
      <w:lang w:val="es-CR"/>
    </w:rPr>
  </w:style>
  <w:style w:type="table" w:styleId="Tablaconcuadrcula">
    <w:name w:val="Table Grid"/>
    <w:basedOn w:val="Tablanormal"/>
    <w:uiPriority w:val="59"/>
    <w:rsid w:val="00C82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n"/>
    <w:basedOn w:val="Normal"/>
    <w:link w:val="TextonotapieCar"/>
    <w:uiPriority w:val="99"/>
    <w:rsid w:val="00C82E3B"/>
    <w:rPr>
      <w:sz w:val="20"/>
      <w:szCs w:val="20"/>
    </w:rPr>
  </w:style>
  <w:style w:type="character" w:customStyle="1" w:styleId="TextonotapieCar">
    <w:name w:val="Texto nota pie Car"/>
    <w:aliases w:val="fn Car"/>
    <w:basedOn w:val="Fuentedeprrafopredeter"/>
    <w:link w:val="Textonotapie"/>
    <w:uiPriority w:val="99"/>
    <w:rsid w:val="001F24C2"/>
    <w:rPr>
      <w:lang w:val="en-US" w:eastAsia="en-US"/>
    </w:rPr>
  </w:style>
  <w:style w:type="character" w:styleId="Refdenotaalpie">
    <w:name w:val="footnote reference"/>
    <w:basedOn w:val="Fuentedeprrafopredeter"/>
    <w:uiPriority w:val="99"/>
    <w:rsid w:val="00C82E3B"/>
    <w:rPr>
      <w:rFonts w:cs="Times New Roman"/>
      <w:vertAlign w:val="superscript"/>
    </w:rPr>
  </w:style>
  <w:style w:type="paragraph" w:styleId="Encabezado">
    <w:name w:val="header"/>
    <w:basedOn w:val="Normal"/>
    <w:link w:val="EncabezadoCar"/>
    <w:rsid w:val="009755E2"/>
    <w:pPr>
      <w:tabs>
        <w:tab w:val="center" w:pos="4320"/>
        <w:tab w:val="right" w:pos="8640"/>
      </w:tabs>
    </w:pPr>
  </w:style>
  <w:style w:type="character" w:customStyle="1" w:styleId="EncabezadoCar">
    <w:name w:val="Encabezado Car"/>
    <w:basedOn w:val="Fuentedeprrafopredeter"/>
    <w:link w:val="Encabezado"/>
    <w:rsid w:val="001F24C2"/>
    <w:rPr>
      <w:sz w:val="24"/>
      <w:szCs w:val="24"/>
      <w:lang w:val="en-US" w:eastAsia="en-US"/>
    </w:rPr>
  </w:style>
  <w:style w:type="paragraph" w:styleId="Piedepgina">
    <w:name w:val="footer"/>
    <w:basedOn w:val="Normal"/>
    <w:link w:val="PiedepginaCar"/>
    <w:uiPriority w:val="99"/>
    <w:rsid w:val="009755E2"/>
    <w:pPr>
      <w:tabs>
        <w:tab w:val="center" w:pos="4320"/>
        <w:tab w:val="right" w:pos="8640"/>
      </w:tabs>
    </w:pPr>
  </w:style>
  <w:style w:type="character" w:customStyle="1" w:styleId="PiedepginaCar">
    <w:name w:val="Pie de página Car"/>
    <w:basedOn w:val="Fuentedeprrafopredeter"/>
    <w:link w:val="Piedepgina"/>
    <w:uiPriority w:val="99"/>
    <w:rsid w:val="001F24C2"/>
    <w:rPr>
      <w:sz w:val="24"/>
      <w:szCs w:val="24"/>
      <w:lang w:val="en-US" w:eastAsia="en-US"/>
    </w:rPr>
  </w:style>
  <w:style w:type="character" w:styleId="Nmerodepgina">
    <w:name w:val="page number"/>
    <w:basedOn w:val="Fuentedeprrafopredeter"/>
    <w:uiPriority w:val="99"/>
    <w:rsid w:val="000926CB"/>
    <w:rPr>
      <w:rFonts w:cs="Times New Roman"/>
    </w:rPr>
  </w:style>
  <w:style w:type="paragraph" w:customStyle="1" w:styleId="Departamento-portada">
    <w:name w:val="Departamento-portada"/>
    <w:basedOn w:val="Normal"/>
    <w:rsid w:val="00DF3193"/>
    <w:pPr>
      <w:jc w:val="center"/>
    </w:pPr>
    <w:rPr>
      <w:b/>
      <w:color w:val="FFFFFF"/>
      <w:szCs w:val="28"/>
    </w:rPr>
  </w:style>
  <w:style w:type="paragraph" w:styleId="Textosinformato">
    <w:name w:val="Plain Text"/>
    <w:basedOn w:val="Normal"/>
    <w:link w:val="TextosinformatoCar"/>
    <w:uiPriority w:val="99"/>
    <w:rsid w:val="00507DCB"/>
    <w:rPr>
      <w:rFonts w:ascii="Courier New" w:hAnsi="Courier New" w:cs="Courier New"/>
      <w:sz w:val="20"/>
      <w:szCs w:val="20"/>
    </w:rPr>
  </w:style>
  <w:style w:type="character" w:customStyle="1" w:styleId="TextosinformatoCar">
    <w:name w:val="Texto sin formato Car"/>
    <w:basedOn w:val="Fuentedeprrafopredeter"/>
    <w:link w:val="Textosinformato"/>
    <w:uiPriority w:val="99"/>
    <w:semiHidden/>
    <w:rsid w:val="001F24C2"/>
    <w:rPr>
      <w:rFonts w:ascii="Courier New" w:hAnsi="Courier New" w:cs="Courier New"/>
      <w:lang w:val="en-US" w:eastAsia="en-US"/>
    </w:rPr>
  </w:style>
  <w:style w:type="paragraph" w:styleId="Textodeglobo">
    <w:name w:val="Balloon Text"/>
    <w:basedOn w:val="Normal"/>
    <w:link w:val="TextodegloboCar"/>
    <w:uiPriority w:val="99"/>
    <w:semiHidden/>
    <w:rsid w:val="004F435A"/>
    <w:rPr>
      <w:rFonts w:ascii="Tahoma" w:hAnsi="Tahoma" w:cs="Tahoma"/>
      <w:sz w:val="16"/>
      <w:szCs w:val="16"/>
    </w:rPr>
  </w:style>
  <w:style w:type="character" w:customStyle="1" w:styleId="TextodegloboCar">
    <w:name w:val="Texto de globo Car"/>
    <w:basedOn w:val="Fuentedeprrafopredeter"/>
    <w:link w:val="Textodeglobo"/>
    <w:uiPriority w:val="99"/>
    <w:semiHidden/>
    <w:rsid w:val="001F24C2"/>
    <w:rPr>
      <w:sz w:val="0"/>
      <w:szCs w:val="0"/>
      <w:lang w:val="en-US" w:eastAsia="en-US"/>
    </w:rPr>
  </w:style>
  <w:style w:type="paragraph" w:styleId="Textonotaalfinal">
    <w:name w:val="endnote text"/>
    <w:basedOn w:val="Normal"/>
    <w:link w:val="TextonotaalfinalCar"/>
    <w:rsid w:val="005A4DAD"/>
    <w:rPr>
      <w:sz w:val="20"/>
      <w:szCs w:val="20"/>
    </w:rPr>
  </w:style>
  <w:style w:type="character" w:customStyle="1" w:styleId="TextonotaalfinalCar">
    <w:name w:val="Texto nota al final Car"/>
    <w:basedOn w:val="Fuentedeprrafopredeter"/>
    <w:link w:val="Textonotaalfinal"/>
    <w:rsid w:val="005A4DAD"/>
    <w:rPr>
      <w:lang w:val="en-US" w:eastAsia="en-US"/>
    </w:rPr>
  </w:style>
  <w:style w:type="character" w:styleId="Refdenotaalfinal">
    <w:name w:val="endnote reference"/>
    <w:basedOn w:val="Fuentedeprrafopredeter"/>
    <w:rsid w:val="005A4DAD"/>
    <w:rPr>
      <w:vertAlign w:val="superscript"/>
    </w:rPr>
  </w:style>
  <w:style w:type="paragraph" w:styleId="Subttulo">
    <w:name w:val="Subtitle"/>
    <w:basedOn w:val="Normal"/>
    <w:next w:val="Normal"/>
    <w:link w:val="SubttuloCar"/>
    <w:qFormat/>
    <w:rsid w:val="006319CF"/>
    <w:pPr>
      <w:numPr>
        <w:ilvl w:val="1"/>
      </w:numPr>
    </w:pPr>
    <w:rPr>
      <w:rFonts w:asciiTheme="majorHAnsi" w:eastAsiaTheme="majorEastAsia" w:hAnsiTheme="majorHAnsi" w:cstheme="majorBidi"/>
      <w:i/>
      <w:iCs/>
      <w:color w:val="4F81BD" w:themeColor="accent1"/>
      <w:spacing w:val="15"/>
    </w:rPr>
  </w:style>
  <w:style w:type="character" w:customStyle="1" w:styleId="SubttuloCar">
    <w:name w:val="Subtítulo Car"/>
    <w:basedOn w:val="Fuentedeprrafopredeter"/>
    <w:link w:val="Subttulo"/>
    <w:rsid w:val="006319CF"/>
    <w:rPr>
      <w:rFonts w:asciiTheme="majorHAnsi" w:eastAsiaTheme="majorEastAsia" w:hAnsiTheme="majorHAnsi" w:cstheme="majorBidi"/>
      <w:i/>
      <w:iCs/>
      <w:color w:val="4F81BD" w:themeColor="accent1"/>
      <w:spacing w:val="15"/>
      <w:sz w:val="24"/>
      <w:szCs w:val="24"/>
      <w:lang w:val="en-US" w:eastAsia="en-US"/>
    </w:rPr>
  </w:style>
  <w:style w:type="numbering" w:customStyle="1" w:styleId="Estilo1">
    <w:name w:val="Estilo1"/>
    <w:uiPriority w:val="99"/>
    <w:rsid w:val="005D279A"/>
    <w:pPr>
      <w:numPr>
        <w:numId w:val="2"/>
      </w:numPr>
    </w:pPr>
  </w:style>
  <w:style w:type="paragraph" w:styleId="Prrafodelista">
    <w:name w:val="List Paragraph"/>
    <w:basedOn w:val="Normal"/>
    <w:uiPriority w:val="34"/>
    <w:qFormat/>
    <w:rsid w:val="008D5031"/>
    <w:pPr>
      <w:ind w:left="720"/>
      <w:contextualSpacing/>
    </w:pPr>
  </w:style>
  <w:style w:type="paragraph" w:customStyle="1" w:styleId="PortadaTipoLibro">
    <w:name w:val="Portada Tipo Libro"/>
    <w:rsid w:val="00F94D9A"/>
    <w:pPr>
      <w:spacing w:after="240"/>
    </w:pPr>
    <w:rPr>
      <w:rFonts w:ascii="Arial" w:hAnsi="Arial"/>
      <w:b/>
      <w:caps/>
      <w:color w:val="1C4598"/>
      <w:spacing w:val="40"/>
      <w:sz w:val="32"/>
      <w:szCs w:val="32"/>
      <w:lang w:val="es-CR" w:eastAsia="en-US"/>
    </w:rPr>
  </w:style>
  <w:style w:type="paragraph" w:customStyle="1" w:styleId="PortadaNombreServicio">
    <w:name w:val="Portada Nombre Servicio"/>
    <w:rsid w:val="00F94D9A"/>
    <w:pPr>
      <w:spacing w:after="120"/>
      <w:jc w:val="both"/>
    </w:pPr>
    <w:rPr>
      <w:rFonts w:ascii="Arial" w:hAnsi="Arial"/>
      <w:b/>
      <w:caps/>
      <w:sz w:val="40"/>
      <w:szCs w:val="40"/>
      <w:lang w:val="es-CR" w:eastAsia="en-US"/>
    </w:rPr>
  </w:style>
  <w:style w:type="paragraph" w:styleId="Textoindependiente">
    <w:name w:val="Body Text"/>
    <w:basedOn w:val="Normal"/>
    <w:link w:val="TextoindependienteCar"/>
    <w:rsid w:val="00C43D2E"/>
    <w:pPr>
      <w:spacing w:after="120"/>
    </w:pPr>
    <w:rPr>
      <w:sz w:val="20"/>
      <w:szCs w:val="20"/>
      <w:lang w:val="es-ES_tradnl" w:eastAsia="es-ES"/>
    </w:rPr>
  </w:style>
  <w:style w:type="character" w:customStyle="1" w:styleId="TextoindependienteCar">
    <w:name w:val="Texto independiente Car"/>
    <w:basedOn w:val="Fuentedeprrafopredeter"/>
    <w:link w:val="Textoindependiente"/>
    <w:rsid w:val="00C43D2E"/>
    <w:rPr>
      <w:lang w:val="es-ES_tradnl"/>
    </w:rPr>
  </w:style>
  <w:style w:type="paragraph" w:styleId="Sangradetextonormal">
    <w:name w:val="Body Text Indent"/>
    <w:basedOn w:val="Normal"/>
    <w:link w:val="SangradetextonormalCar"/>
    <w:rsid w:val="009654A2"/>
    <w:pPr>
      <w:spacing w:after="120"/>
      <w:ind w:left="283"/>
    </w:pPr>
  </w:style>
  <w:style w:type="character" w:customStyle="1" w:styleId="SangradetextonormalCar">
    <w:name w:val="Sangría de texto normal Car"/>
    <w:basedOn w:val="Fuentedeprrafopredeter"/>
    <w:link w:val="Sangradetextonormal"/>
    <w:rsid w:val="009654A2"/>
    <w:rPr>
      <w:sz w:val="24"/>
      <w:szCs w:val="24"/>
      <w:lang w:val="en-US" w:eastAsia="en-US"/>
    </w:rPr>
  </w:style>
  <w:style w:type="paragraph" w:customStyle="1" w:styleId="Texto">
    <w:name w:val="Texto"/>
    <w:basedOn w:val="Normal"/>
    <w:link w:val="TextoChar"/>
    <w:qFormat/>
    <w:rsid w:val="0051768B"/>
    <w:pPr>
      <w:spacing w:before="120" w:after="120"/>
      <w:jc w:val="both"/>
    </w:pPr>
    <w:rPr>
      <w:rFonts w:ascii="Franklin Gothic Book" w:hAnsi="Franklin Gothic Book"/>
      <w:sz w:val="22"/>
      <w:lang w:val="es-ES"/>
    </w:rPr>
  </w:style>
  <w:style w:type="character" w:customStyle="1" w:styleId="TextoChar">
    <w:name w:val="Texto Char"/>
    <w:basedOn w:val="Fuentedeprrafopredeter"/>
    <w:link w:val="Texto"/>
    <w:rsid w:val="0051768B"/>
    <w:rPr>
      <w:rFonts w:ascii="Franklin Gothic Book" w:hAnsi="Franklin Gothic Book"/>
      <w:sz w:val="22"/>
      <w:szCs w:val="24"/>
      <w:lang w:eastAsia="en-US"/>
    </w:rPr>
  </w:style>
  <w:style w:type="paragraph" w:customStyle="1" w:styleId="encabezado0">
    <w:name w:val="encabezado"/>
    <w:basedOn w:val="Texto"/>
    <w:uiPriority w:val="1"/>
    <w:qFormat/>
    <w:rsid w:val="0051768B"/>
    <w:pPr>
      <w:spacing w:before="0" w:after="0"/>
    </w:pPr>
  </w:style>
  <w:style w:type="paragraph" w:customStyle="1" w:styleId="Default">
    <w:name w:val="Default"/>
    <w:rsid w:val="00C611E9"/>
    <w:pPr>
      <w:autoSpaceDE w:val="0"/>
      <w:autoSpaceDN w:val="0"/>
      <w:adjustRightInd w:val="0"/>
    </w:pPr>
    <w:rPr>
      <w:rFonts w:ascii="Arial" w:hAnsi="Arial" w:cs="Arial"/>
      <w:color w:val="000000"/>
      <w:sz w:val="24"/>
      <w:szCs w:val="24"/>
    </w:rPr>
  </w:style>
  <w:style w:type="character" w:styleId="nfasis">
    <w:name w:val="Emphasis"/>
    <w:basedOn w:val="Fuentedeprrafopredeter"/>
    <w:uiPriority w:val="20"/>
    <w:qFormat/>
    <w:rsid w:val="007B78A1"/>
    <w:rPr>
      <w:i/>
      <w:iCs/>
    </w:rPr>
  </w:style>
  <w:style w:type="paragraph" w:styleId="Textocomentario">
    <w:name w:val="annotation text"/>
    <w:basedOn w:val="Normal"/>
    <w:link w:val="TextocomentarioCar"/>
    <w:uiPriority w:val="99"/>
    <w:unhideWhenUsed/>
    <w:rsid w:val="00C80D81"/>
    <w:pPr>
      <w:spacing w:after="200"/>
    </w:pPr>
    <w:rPr>
      <w:rFonts w:asciiTheme="minorHAnsi" w:eastAsiaTheme="minorHAnsi" w:hAnsiTheme="minorHAnsi" w:cstheme="minorBidi"/>
      <w:sz w:val="20"/>
      <w:szCs w:val="20"/>
      <w:lang w:val="es-CR"/>
    </w:rPr>
  </w:style>
  <w:style w:type="character" w:customStyle="1" w:styleId="TextocomentarioCar">
    <w:name w:val="Texto comentario Car"/>
    <w:basedOn w:val="Fuentedeprrafopredeter"/>
    <w:link w:val="Textocomentario"/>
    <w:uiPriority w:val="99"/>
    <w:rsid w:val="00C80D81"/>
    <w:rPr>
      <w:rFonts w:asciiTheme="minorHAnsi" w:eastAsiaTheme="minorHAnsi" w:hAnsiTheme="minorHAnsi" w:cstheme="minorBidi"/>
      <w:lang w:val="es-CR" w:eastAsia="en-US"/>
    </w:rPr>
  </w:style>
  <w:style w:type="character" w:styleId="Refdecomentario">
    <w:name w:val="annotation reference"/>
    <w:basedOn w:val="Fuentedeprrafopredeter"/>
    <w:rsid w:val="00B14022"/>
    <w:rPr>
      <w:sz w:val="16"/>
      <w:szCs w:val="16"/>
    </w:rPr>
  </w:style>
  <w:style w:type="paragraph" w:styleId="Asuntodelcomentario">
    <w:name w:val="annotation subject"/>
    <w:basedOn w:val="Textocomentario"/>
    <w:next w:val="Textocomentario"/>
    <w:link w:val="AsuntodelcomentarioCar"/>
    <w:rsid w:val="00B14022"/>
    <w:pPr>
      <w:spacing w:after="0"/>
    </w:pPr>
    <w:rPr>
      <w:rFonts w:ascii="Times New Roman" w:eastAsia="Times New Roman" w:hAnsi="Times New Roman" w:cs="Times New Roman"/>
      <w:b/>
      <w:bCs/>
      <w:lang w:val="en-US"/>
    </w:rPr>
  </w:style>
  <w:style w:type="character" w:customStyle="1" w:styleId="AsuntodelcomentarioCar">
    <w:name w:val="Asunto del comentario Car"/>
    <w:basedOn w:val="TextocomentarioCar"/>
    <w:link w:val="Asuntodelcomentario"/>
    <w:rsid w:val="00B14022"/>
    <w:rPr>
      <w:rFonts w:asciiTheme="minorHAnsi" w:eastAsiaTheme="minorHAnsi" w:hAnsiTheme="minorHAnsi" w:cstheme="minorBidi"/>
      <w:b/>
      <w:bCs/>
      <w:lang w:val="en-US" w:eastAsia="en-US"/>
    </w:rPr>
  </w:style>
  <w:style w:type="paragraph" w:styleId="Revisin">
    <w:name w:val="Revision"/>
    <w:hidden/>
    <w:uiPriority w:val="99"/>
    <w:semiHidden/>
    <w:rsid w:val="003B59EB"/>
    <w:rPr>
      <w:sz w:val="24"/>
      <w:szCs w:val="24"/>
      <w:lang w:val="en-US" w:eastAsia="en-US"/>
    </w:rPr>
  </w:style>
  <w:style w:type="paragraph" w:styleId="Mapadeldocumento">
    <w:name w:val="Document Map"/>
    <w:basedOn w:val="Normal"/>
    <w:link w:val="MapadeldocumentoCar"/>
    <w:rsid w:val="00616DE7"/>
    <w:rPr>
      <w:rFonts w:ascii="Tahoma" w:hAnsi="Tahoma" w:cs="Tahoma"/>
      <w:sz w:val="16"/>
      <w:szCs w:val="16"/>
    </w:rPr>
  </w:style>
  <w:style w:type="character" w:customStyle="1" w:styleId="MapadeldocumentoCar">
    <w:name w:val="Mapa del documento Car"/>
    <w:basedOn w:val="Fuentedeprrafopredeter"/>
    <w:link w:val="Mapadeldocumento"/>
    <w:rsid w:val="00616DE7"/>
    <w:rPr>
      <w:rFonts w:ascii="Tahoma" w:hAnsi="Tahoma" w:cs="Tahoma"/>
      <w:sz w:val="16"/>
      <w:szCs w:val="16"/>
      <w:lang w:val="en-US" w:eastAsia="en-US"/>
    </w:rPr>
  </w:style>
  <w:style w:type="paragraph" w:customStyle="1" w:styleId="outline">
    <w:name w:val="outline"/>
    <w:basedOn w:val="Normal"/>
    <w:rsid w:val="00761107"/>
    <w:pPr>
      <w:spacing w:before="100" w:beforeAutospacing="1" w:after="100" w:afterAutospacing="1"/>
    </w:pPr>
  </w:style>
  <w:style w:type="paragraph" w:styleId="Sinespaciado">
    <w:name w:val="No Spacing"/>
    <w:link w:val="SinespaciadoCar"/>
    <w:uiPriority w:val="1"/>
    <w:qFormat/>
    <w:rsid w:val="00494D84"/>
    <w:rPr>
      <w:rFonts w:ascii="Calibri" w:eastAsia="Calibri" w:hAnsi="Calibri"/>
      <w:sz w:val="22"/>
      <w:szCs w:val="22"/>
      <w:lang w:val="es-CR" w:eastAsia="en-US"/>
    </w:rPr>
  </w:style>
  <w:style w:type="character" w:styleId="Textoennegrita">
    <w:name w:val="Strong"/>
    <w:basedOn w:val="Fuentedeprrafopredeter"/>
    <w:uiPriority w:val="22"/>
    <w:qFormat/>
    <w:rsid w:val="00750E1D"/>
    <w:rPr>
      <w:b/>
      <w:bCs/>
    </w:rPr>
  </w:style>
  <w:style w:type="paragraph" w:customStyle="1" w:styleId="TextoParrafo">
    <w:name w:val="Texto Parrafo"/>
    <w:rsid w:val="00236E13"/>
    <w:pPr>
      <w:spacing w:before="160" w:after="160"/>
      <w:ind w:left="1701"/>
      <w:jc w:val="both"/>
    </w:pPr>
    <w:rPr>
      <w:rFonts w:asciiTheme="minorHAnsi" w:hAnsiTheme="minorHAnsi"/>
      <w:sz w:val="22"/>
      <w:lang w:val="es-CR" w:eastAsia="en-US"/>
    </w:rPr>
  </w:style>
  <w:style w:type="character" w:customStyle="1" w:styleId="Ttulo3Car">
    <w:name w:val="Título 3 Car"/>
    <w:basedOn w:val="Fuentedeprrafopredeter"/>
    <w:link w:val="Ttulo3"/>
    <w:rsid w:val="00ED6F11"/>
    <w:rPr>
      <w:rFonts w:ascii="Arial" w:eastAsia="SimSun" w:hAnsi="Arial" w:cs="Arial"/>
      <w:b/>
      <w:bCs/>
      <w:sz w:val="26"/>
      <w:szCs w:val="26"/>
    </w:rPr>
  </w:style>
  <w:style w:type="paragraph" w:customStyle="1" w:styleId="texto0">
    <w:name w:val="texto"/>
    <w:basedOn w:val="Normal"/>
    <w:locked/>
    <w:rsid w:val="00ED6F11"/>
    <w:pPr>
      <w:spacing w:before="100" w:beforeAutospacing="1" w:after="100" w:afterAutospacing="1"/>
      <w:jc w:val="both"/>
    </w:pPr>
    <w:rPr>
      <w:rFonts w:ascii="Arial" w:hAnsi="Arial"/>
      <w:color w:val="000000"/>
      <w:sz w:val="22"/>
      <w:szCs w:val="18"/>
      <w:lang w:val="es-ES"/>
    </w:rPr>
  </w:style>
  <w:style w:type="paragraph" w:customStyle="1" w:styleId="Negrita">
    <w:name w:val="Negrita"/>
    <w:basedOn w:val="Texto"/>
    <w:qFormat/>
    <w:rsid w:val="00ED6F11"/>
    <w:rPr>
      <w:b/>
    </w:rPr>
  </w:style>
  <w:style w:type="paragraph" w:customStyle="1" w:styleId="italica">
    <w:name w:val="italica"/>
    <w:basedOn w:val="Normal"/>
    <w:autoRedefine/>
    <w:qFormat/>
    <w:rsid w:val="00ED6F11"/>
    <w:pPr>
      <w:jc w:val="both"/>
      <w:outlineLvl w:val="0"/>
    </w:pPr>
    <w:rPr>
      <w:rFonts w:ascii="Franklin Gothic Book" w:hAnsi="Franklin Gothic Book"/>
      <w:i/>
      <w:color w:val="000000"/>
      <w:sz w:val="22"/>
      <w:lang w:val="es-ES"/>
    </w:rPr>
  </w:style>
  <w:style w:type="paragraph" w:customStyle="1" w:styleId="numeracion">
    <w:name w:val="numeracion"/>
    <w:basedOn w:val="Texto"/>
    <w:uiPriority w:val="1"/>
    <w:qFormat/>
    <w:rsid w:val="00ED6F11"/>
    <w:pPr>
      <w:numPr>
        <w:numId w:val="5"/>
      </w:numPr>
      <w:ind w:left="432" w:firstLine="0"/>
    </w:pPr>
  </w:style>
  <w:style w:type="paragraph" w:customStyle="1" w:styleId="vinetas">
    <w:name w:val="vinetas"/>
    <w:basedOn w:val="numeracion"/>
    <w:uiPriority w:val="1"/>
    <w:qFormat/>
    <w:rsid w:val="00ED6F11"/>
    <w:pPr>
      <w:numPr>
        <w:numId w:val="6"/>
      </w:numPr>
      <w:ind w:left="792"/>
    </w:pPr>
  </w:style>
  <w:style w:type="paragraph" w:customStyle="1" w:styleId="CC">
    <w:name w:val="CC"/>
    <w:basedOn w:val="Texto"/>
    <w:link w:val="CCChar"/>
    <w:qFormat/>
    <w:rsid w:val="00ED6F11"/>
    <w:pPr>
      <w:spacing w:before="0" w:after="0"/>
    </w:pPr>
    <w:rPr>
      <w:sz w:val="18"/>
      <w:szCs w:val="18"/>
    </w:rPr>
  </w:style>
  <w:style w:type="character" w:customStyle="1" w:styleId="CCChar">
    <w:name w:val="CC Char"/>
    <w:link w:val="CC"/>
    <w:rsid w:val="00ED6F11"/>
    <w:rPr>
      <w:rFonts w:ascii="Franklin Gothic Book" w:hAnsi="Franklin Gothic Book"/>
      <w:sz w:val="18"/>
      <w:szCs w:val="18"/>
      <w:lang w:eastAsia="en-US"/>
    </w:rPr>
  </w:style>
  <w:style w:type="paragraph" w:customStyle="1" w:styleId="Piepagina">
    <w:name w:val="Pie pagina"/>
    <w:basedOn w:val="CC"/>
    <w:link w:val="PiepaginaChar"/>
    <w:uiPriority w:val="1"/>
    <w:qFormat/>
    <w:rsid w:val="00ED6F11"/>
    <w:rPr>
      <w:color w:val="004990"/>
      <w:sz w:val="16"/>
      <w:szCs w:val="16"/>
    </w:rPr>
  </w:style>
  <w:style w:type="character" w:customStyle="1" w:styleId="PiepaginaChar">
    <w:name w:val="Pie pagina Char"/>
    <w:link w:val="Piepagina"/>
    <w:uiPriority w:val="1"/>
    <w:rsid w:val="00ED6F11"/>
    <w:rPr>
      <w:rFonts w:ascii="Franklin Gothic Book" w:hAnsi="Franklin Gothic Book"/>
      <w:color w:val="004990"/>
      <w:sz w:val="16"/>
      <w:szCs w:val="16"/>
      <w:lang w:eastAsia="en-US"/>
    </w:rPr>
  </w:style>
  <w:style w:type="paragraph" w:customStyle="1" w:styleId="TextoTabla">
    <w:name w:val="Texto Tabla"/>
    <w:basedOn w:val="Texto"/>
    <w:uiPriority w:val="1"/>
    <w:qFormat/>
    <w:rsid w:val="00ED6F11"/>
    <w:pPr>
      <w:spacing w:before="20" w:after="20"/>
    </w:pPr>
    <w:rPr>
      <w:sz w:val="20"/>
    </w:rPr>
  </w:style>
  <w:style w:type="table" w:customStyle="1" w:styleId="LightShading-Accent11">
    <w:name w:val="Light Shading - Accent 11"/>
    <w:basedOn w:val="Tablanormal"/>
    <w:uiPriority w:val="60"/>
    <w:locked/>
    <w:rsid w:val="00ED6F11"/>
    <w:rPr>
      <w:rFonts w:ascii="Franklin Gothic Book" w:eastAsia="Calibri" w:hAnsi="Franklin Gothic Book"/>
      <w:color w:val="2A6094"/>
      <w:lang w:val="es-CR" w:eastAsia="es-CR"/>
    </w:rPr>
    <w:tblPr>
      <w:tblStyleRowBandSize w:val="1"/>
      <w:tblStyleColBandSize w:val="1"/>
      <w:tblBorders>
        <w:top w:val="single" w:sz="8" w:space="0" w:color="3882C6"/>
        <w:bottom w:val="single" w:sz="8" w:space="0" w:color="3882C6"/>
      </w:tblBorders>
    </w:tblPr>
    <w:tblStylePr w:type="firstRow">
      <w:pPr>
        <w:spacing w:before="0" w:after="0" w:line="240" w:lineRule="auto"/>
      </w:pPr>
      <w:rPr>
        <w:b/>
        <w:bCs/>
      </w:rPr>
      <w:tblPr/>
      <w:tcPr>
        <w:tcBorders>
          <w:top w:val="single" w:sz="8" w:space="0" w:color="3882C6"/>
          <w:left w:val="nil"/>
          <w:bottom w:val="single" w:sz="8" w:space="0" w:color="3882C6"/>
          <w:right w:val="nil"/>
          <w:insideH w:val="nil"/>
          <w:insideV w:val="nil"/>
        </w:tcBorders>
      </w:tcPr>
    </w:tblStylePr>
    <w:tblStylePr w:type="lastRow">
      <w:pPr>
        <w:spacing w:before="0" w:after="0" w:line="240" w:lineRule="auto"/>
      </w:pPr>
      <w:rPr>
        <w:b/>
        <w:bCs/>
      </w:rPr>
      <w:tblPr/>
      <w:tcPr>
        <w:tcBorders>
          <w:top w:val="single" w:sz="8" w:space="0" w:color="3882C6"/>
          <w:left w:val="nil"/>
          <w:bottom w:val="single" w:sz="8" w:space="0" w:color="388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cPr>
    </w:tblStylePr>
    <w:tblStylePr w:type="band1Horz">
      <w:tblPr/>
      <w:tcPr>
        <w:tcBorders>
          <w:left w:val="nil"/>
          <w:right w:val="nil"/>
          <w:insideH w:val="nil"/>
          <w:insideV w:val="nil"/>
        </w:tcBorders>
        <w:shd w:val="clear" w:color="auto" w:fill="CDDFF1"/>
      </w:tcPr>
    </w:tblStylePr>
  </w:style>
  <w:style w:type="table" w:styleId="Sombreadoclaro-nfasis6">
    <w:name w:val="Light Shading Accent 6"/>
    <w:basedOn w:val="Tablanormal"/>
    <w:uiPriority w:val="60"/>
    <w:rsid w:val="00ED6F11"/>
    <w:rPr>
      <w:rFonts w:ascii="Franklin Gothic Book" w:eastAsia="Calibri" w:hAnsi="Franklin Gothic Book"/>
      <w:color w:val="5282BE"/>
      <w:lang w:val="es-CR" w:eastAsia="es-CR"/>
    </w:rPr>
    <w:tblPr>
      <w:tblStyleRowBandSize w:val="1"/>
      <w:tblStyleColBandSize w:val="1"/>
      <w:tblBorders>
        <w:top w:val="single" w:sz="8" w:space="0" w:color="95B3D7"/>
        <w:bottom w:val="single" w:sz="8" w:space="0" w:color="95B3D7"/>
      </w:tblBorders>
    </w:tblPr>
    <w:tblStylePr w:type="firstRow">
      <w:pPr>
        <w:spacing w:before="0" w:after="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0" w:after="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styleId="Sombreadomedio1-nfasis6">
    <w:name w:val="Medium Shading 1 Accent 6"/>
    <w:basedOn w:val="Tablanormal"/>
    <w:uiPriority w:val="63"/>
    <w:rsid w:val="00ED6F11"/>
    <w:rPr>
      <w:rFonts w:ascii="Franklin Gothic Book" w:eastAsia="Calibri" w:hAnsi="Franklin Gothic Book"/>
      <w:lang w:val="es-CR" w:eastAsia="es-CR"/>
    </w:rPr>
    <w:tblPr>
      <w:tblStyleRowBandSize w:val="1"/>
      <w:tblStyleColBandSize w:val="1"/>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0" w:after="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0" w:after="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styleId="Listaclara-nfasis6">
    <w:name w:val="Light List Accent 6"/>
    <w:basedOn w:val="Tablanormal"/>
    <w:uiPriority w:val="61"/>
    <w:rsid w:val="00ED6F11"/>
    <w:rPr>
      <w:rFonts w:ascii="Franklin Gothic Book" w:eastAsia="Calibri" w:hAnsi="Franklin Gothic Book"/>
      <w:lang w:val="es-CR" w:eastAsia="es-CR"/>
    </w:rPr>
    <w:tblPr>
      <w:tblStyleRowBandSize w:val="1"/>
      <w:tblStyleColBandSize w:val="1"/>
      <w:tblBorders>
        <w:top w:val="single" w:sz="8" w:space="0" w:color="95B3D7"/>
        <w:left w:val="single" w:sz="8" w:space="0" w:color="95B3D7"/>
        <w:bottom w:val="single" w:sz="8" w:space="0" w:color="95B3D7"/>
        <w:right w:val="single" w:sz="8" w:space="0" w:color="95B3D7"/>
      </w:tblBorders>
    </w:tblPr>
    <w:tblStylePr w:type="firstRow">
      <w:pPr>
        <w:spacing w:before="0" w:after="0" w:line="240" w:lineRule="auto"/>
      </w:pPr>
      <w:rPr>
        <w:b/>
        <w:bCs/>
        <w:color w:val="000000"/>
      </w:rPr>
      <w:tblPr/>
      <w:tcPr>
        <w:shd w:val="clear" w:color="auto" w:fill="95B3D7"/>
      </w:tcPr>
    </w:tblStylePr>
    <w:tblStylePr w:type="lastRow">
      <w:pPr>
        <w:spacing w:before="0" w:after="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styleId="Cuadrculaclara-nfasis6">
    <w:name w:val="Light Grid Accent 6"/>
    <w:basedOn w:val="Tablanormal"/>
    <w:uiPriority w:val="62"/>
    <w:rsid w:val="00ED6F11"/>
    <w:rPr>
      <w:rFonts w:ascii="Franklin Gothic Book" w:eastAsia="Calibri" w:hAnsi="Franklin Gothic Book"/>
      <w:lang w:val="es-CR" w:eastAsia="es-CR"/>
    </w:rPr>
    <w:tblPr>
      <w:tblStyleRowBandSize w:val="1"/>
      <w:tblStyleColBandSize w:val="1"/>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0" w:after="0" w:line="240" w:lineRule="auto"/>
      </w:pPr>
      <w:rPr>
        <w:rFonts w:ascii="Cambria" w:eastAsia="Times New Roman" w:hAnsi="Cambria" w:cs="Times New Roman"/>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0" w:after="0" w:line="240" w:lineRule="auto"/>
      </w:pPr>
      <w:rPr>
        <w:rFonts w:ascii="Cambria" w:eastAsia="Times New Roman" w:hAnsi="Cambria" w:cs="Times New Roman"/>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customStyle="1" w:styleId="Correspondencia1">
    <w:name w:val="Correspondencia1"/>
    <w:basedOn w:val="Tablanormal"/>
    <w:uiPriority w:val="99"/>
    <w:qFormat/>
    <w:locked/>
    <w:rsid w:val="00ED6F11"/>
    <w:pPr>
      <w:spacing w:before="20" w:after="20"/>
    </w:pPr>
    <w:rPr>
      <w:rFonts w:ascii="Franklin Gothic Book" w:eastAsia="Calibri" w:hAnsi="Franklin Gothic Book"/>
      <w:lang w:val="es-CR" w:eastAsia="es-CR"/>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Franklin Gothic Book" w:hAnsi="Franklin Gothic Book"/>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Franklin Gothic Book" w:hAnsi="Franklin Gothic Book"/>
        <w:color w:val="auto"/>
        <w:sz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paragraph" w:customStyle="1" w:styleId="asunto">
    <w:name w:val="asunto"/>
    <w:basedOn w:val="Texto"/>
    <w:rsid w:val="00ED6F11"/>
    <w:pPr>
      <w:ind w:left="720" w:firstLine="720"/>
    </w:pPr>
    <w:rPr>
      <w:szCs w:val="20"/>
    </w:rPr>
  </w:style>
  <w:style w:type="paragraph" w:customStyle="1" w:styleId="Encabezadoasunto">
    <w:name w:val="Encabezado asunto"/>
    <w:basedOn w:val="Encabezados"/>
    <w:rsid w:val="00ED6F11"/>
    <w:pPr>
      <w:ind w:hanging="1440"/>
    </w:pPr>
  </w:style>
  <w:style w:type="paragraph" w:customStyle="1" w:styleId="Encabezamiento">
    <w:name w:val="Encabezamiento"/>
    <w:basedOn w:val="Normal"/>
    <w:rsid w:val="00ED6F11"/>
    <w:pPr>
      <w:ind w:firstLine="720"/>
      <w:jc w:val="both"/>
    </w:pPr>
    <w:rPr>
      <w:rFonts w:ascii="Franklin Gothic Book" w:hAnsi="Franklin Gothic Book"/>
      <w:sz w:val="22"/>
      <w:szCs w:val="20"/>
      <w:lang w:val="es-ES"/>
    </w:rPr>
  </w:style>
  <w:style w:type="paragraph" w:customStyle="1" w:styleId="Encabezados">
    <w:name w:val="Encabezados"/>
    <w:basedOn w:val="Normal"/>
    <w:rsid w:val="00ED6F11"/>
    <w:pPr>
      <w:ind w:left="1440"/>
      <w:jc w:val="both"/>
    </w:pPr>
    <w:rPr>
      <w:rFonts w:ascii="Franklin Gothic Book" w:hAnsi="Franklin Gothic Book"/>
      <w:sz w:val="22"/>
      <w:szCs w:val="20"/>
      <w:lang w:val="es-ES"/>
    </w:rPr>
  </w:style>
  <w:style w:type="numbering" w:customStyle="1" w:styleId="Sinlista1">
    <w:name w:val="Sin lista1"/>
    <w:next w:val="Sinlista"/>
    <w:uiPriority w:val="99"/>
    <w:semiHidden/>
    <w:unhideWhenUsed/>
    <w:rsid w:val="00ED6F11"/>
  </w:style>
  <w:style w:type="numbering" w:customStyle="1" w:styleId="Sinlista11">
    <w:name w:val="Sin lista11"/>
    <w:next w:val="Sinlista"/>
    <w:uiPriority w:val="99"/>
    <w:semiHidden/>
    <w:unhideWhenUsed/>
    <w:rsid w:val="00ED6F11"/>
  </w:style>
  <w:style w:type="paragraph" w:customStyle="1" w:styleId="PortadaFecha">
    <w:name w:val="PortadaFecha"/>
    <w:basedOn w:val="Portada"/>
    <w:link w:val="PortadaFechaCar"/>
    <w:qFormat/>
    <w:rsid w:val="00E06A78"/>
    <w:pPr>
      <w:jc w:val="both"/>
    </w:pPr>
    <w:rPr>
      <w:rFonts w:ascii="Franklin Gothic Medium" w:hAnsi="Franklin Gothic Medium" w:cs="Arial"/>
      <w:b w:val="0"/>
      <w:color w:val="265884"/>
      <w:sz w:val="36"/>
      <w:szCs w:val="36"/>
      <w:lang w:eastAsia="es-CR"/>
    </w:rPr>
  </w:style>
  <w:style w:type="character" w:customStyle="1" w:styleId="TextoCar">
    <w:name w:val="Texto Car"/>
    <w:rsid w:val="00E06A78"/>
    <w:rPr>
      <w:rFonts w:ascii="Franklin Gothic Book" w:eastAsia="Times New Roman" w:hAnsi="Franklin Gothic Book" w:cs="Arial"/>
      <w:sz w:val="20"/>
      <w:lang w:eastAsia="es-CR"/>
    </w:rPr>
  </w:style>
  <w:style w:type="character" w:customStyle="1" w:styleId="PortadaCar">
    <w:name w:val="Portada Car"/>
    <w:link w:val="Portada"/>
    <w:rsid w:val="00E06A78"/>
    <w:rPr>
      <w:b/>
      <w:sz w:val="40"/>
      <w:szCs w:val="40"/>
      <w:lang w:val="es-CR" w:eastAsia="en-US"/>
    </w:rPr>
  </w:style>
  <w:style w:type="character" w:customStyle="1" w:styleId="PortadaFechaCar">
    <w:name w:val="PortadaFecha Car"/>
    <w:link w:val="PortadaFecha"/>
    <w:rsid w:val="00E06A78"/>
    <w:rPr>
      <w:rFonts w:ascii="Franklin Gothic Medium" w:hAnsi="Franklin Gothic Medium" w:cs="Arial"/>
      <w:color w:val="265884"/>
      <w:sz w:val="36"/>
      <w:szCs w:val="36"/>
      <w:lang w:val="es-CR" w:eastAsia="es-CR"/>
    </w:rPr>
  </w:style>
  <w:style w:type="character" w:customStyle="1" w:styleId="Ttulo2Car">
    <w:name w:val="Título 2 Car"/>
    <w:basedOn w:val="Fuentedeprrafopredeter"/>
    <w:link w:val="Ttulo2"/>
    <w:rsid w:val="00C713E3"/>
    <w:rPr>
      <w:rFonts w:asciiTheme="majorHAnsi" w:eastAsiaTheme="majorEastAsia" w:hAnsiTheme="majorHAnsi" w:cstheme="majorBidi"/>
      <w:b/>
      <w:bCs/>
      <w:color w:val="4F81BD" w:themeColor="accent1"/>
      <w:sz w:val="26"/>
      <w:szCs w:val="26"/>
      <w:lang w:val="en-US" w:eastAsia="en-US"/>
    </w:rPr>
  </w:style>
  <w:style w:type="table" w:customStyle="1" w:styleId="Tablaconcuadrcula1">
    <w:name w:val="Tabla con cuadrícula1"/>
    <w:basedOn w:val="Tablanormal"/>
    <w:next w:val="Tablaconcuadrcula"/>
    <w:uiPriority w:val="59"/>
    <w:rsid w:val="008832C7"/>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596783"/>
    <w:rPr>
      <w:rFonts w:ascii="Calibri" w:eastAsia="Calibri" w:hAnsi="Calibri"/>
      <w:sz w:val="22"/>
      <w:szCs w:val="22"/>
      <w:lang w:val="es-CR" w:eastAsia="en-US"/>
    </w:rPr>
  </w:style>
  <w:style w:type="paragraph" w:styleId="TDC2">
    <w:name w:val="toc 2"/>
    <w:basedOn w:val="Normal"/>
    <w:next w:val="Normal"/>
    <w:autoRedefine/>
    <w:uiPriority w:val="39"/>
    <w:unhideWhenUsed/>
    <w:rsid w:val="00905D2B"/>
    <w:pPr>
      <w:spacing w:after="100" w:line="276" w:lineRule="auto"/>
      <w:ind w:left="220"/>
    </w:pPr>
    <w:rPr>
      <w:rFonts w:asciiTheme="minorHAnsi" w:eastAsiaTheme="minorEastAsia" w:hAnsiTheme="minorHAnsi" w:cstheme="minorBidi"/>
      <w:sz w:val="22"/>
      <w:szCs w:val="22"/>
      <w:lang w:val="es-CR" w:eastAsia="es-CR"/>
    </w:rPr>
  </w:style>
  <w:style w:type="paragraph" w:styleId="TDC3">
    <w:name w:val="toc 3"/>
    <w:basedOn w:val="Normal"/>
    <w:next w:val="Normal"/>
    <w:autoRedefine/>
    <w:uiPriority w:val="39"/>
    <w:unhideWhenUsed/>
    <w:rsid w:val="00905D2B"/>
    <w:pPr>
      <w:spacing w:after="100" w:line="276" w:lineRule="auto"/>
      <w:ind w:left="440"/>
    </w:pPr>
    <w:rPr>
      <w:rFonts w:asciiTheme="minorHAnsi" w:eastAsiaTheme="minorEastAsia" w:hAnsiTheme="minorHAnsi" w:cstheme="minorBidi"/>
      <w:sz w:val="22"/>
      <w:szCs w:val="22"/>
      <w:lang w:val="es-CR" w:eastAsia="es-CR"/>
    </w:rPr>
  </w:style>
  <w:style w:type="paragraph" w:styleId="TDC4">
    <w:name w:val="toc 4"/>
    <w:basedOn w:val="Normal"/>
    <w:next w:val="Normal"/>
    <w:autoRedefine/>
    <w:uiPriority w:val="39"/>
    <w:unhideWhenUsed/>
    <w:rsid w:val="00905D2B"/>
    <w:pPr>
      <w:spacing w:after="100" w:line="276" w:lineRule="auto"/>
      <w:ind w:left="660"/>
    </w:pPr>
    <w:rPr>
      <w:rFonts w:asciiTheme="minorHAnsi" w:eastAsiaTheme="minorEastAsia" w:hAnsiTheme="minorHAnsi" w:cstheme="minorBidi"/>
      <w:sz w:val="22"/>
      <w:szCs w:val="22"/>
      <w:lang w:val="es-CR" w:eastAsia="es-CR"/>
    </w:rPr>
  </w:style>
  <w:style w:type="paragraph" w:styleId="TDC5">
    <w:name w:val="toc 5"/>
    <w:basedOn w:val="Normal"/>
    <w:next w:val="Normal"/>
    <w:autoRedefine/>
    <w:uiPriority w:val="39"/>
    <w:unhideWhenUsed/>
    <w:rsid w:val="00905D2B"/>
    <w:pPr>
      <w:spacing w:after="100" w:line="276" w:lineRule="auto"/>
      <w:ind w:left="880"/>
    </w:pPr>
    <w:rPr>
      <w:rFonts w:asciiTheme="minorHAnsi" w:eastAsiaTheme="minorEastAsia" w:hAnsiTheme="minorHAnsi" w:cstheme="minorBidi"/>
      <w:sz w:val="22"/>
      <w:szCs w:val="22"/>
      <w:lang w:val="es-CR" w:eastAsia="es-CR"/>
    </w:rPr>
  </w:style>
  <w:style w:type="paragraph" w:styleId="TDC6">
    <w:name w:val="toc 6"/>
    <w:basedOn w:val="Normal"/>
    <w:next w:val="Normal"/>
    <w:autoRedefine/>
    <w:uiPriority w:val="39"/>
    <w:unhideWhenUsed/>
    <w:rsid w:val="00905D2B"/>
    <w:pPr>
      <w:spacing w:after="100" w:line="276" w:lineRule="auto"/>
      <w:ind w:left="1100"/>
    </w:pPr>
    <w:rPr>
      <w:rFonts w:asciiTheme="minorHAnsi" w:eastAsiaTheme="minorEastAsia" w:hAnsiTheme="minorHAnsi" w:cstheme="minorBidi"/>
      <w:sz w:val="22"/>
      <w:szCs w:val="22"/>
      <w:lang w:val="es-CR" w:eastAsia="es-CR"/>
    </w:rPr>
  </w:style>
  <w:style w:type="paragraph" w:styleId="TDC7">
    <w:name w:val="toc 7"/>
    <w:basedOn w:val="Normal"/>
    <w:next w:val="Normal"/>
    <w:autoRedefine/>
    <w:uiPriority w:val="39"/>
    <w:unhideWhenUsed/>
    <w:rsid w:val="00905D2B"/>
    <w:pPr>
      <w:spacing w:after="100" w:line="276" w:lineRule="auto"/>
      <w:ind w:left="1320"/>
    </w:pPr>
    <w:rPr>
      <w:rFonts w:asciiTheme="minorHAnsi" w:eastAsiaTheme="minorEastAsia" w:hAnsiTheme="minorHAnsi" w:cstheme="minorBidi"/>
      <w:sz w:val="22"/>
      <w:szCs w:val="22"/>
      <w:lang w:val="es-CR" w:eastAsia="es-CR"/>
    </w:rPr>
  </w:style>
  <w:style w:type="paragraph" w:styleId="TDC8">
    <w:name w:val="toc 8"/>
    <w:basedOn w:val="Normal"/>
    <w:next w:val="Normal"/>
    <w:autoRedefine/>
    <w:uiPriority w:val="39"/>
    <w:unhideWhenUsed/>
    <w:rsid w:val="00905D2B"/>
    <w:pPr>
      <w:spacing w:after="100" w:line="276" w:lineRule="auto"/>
      <w:ind w:left="1540"/>
    </w:pPr>
    <w:rPr>
      <w:rFonts w:asciiTheme="minorHAnsi" w:eastAsiaTheme="minorEastAsia" w:hAnsiTheme="minorHAnsi" w:cstheme="minorBidi"/>
      <w:sz w:val="22"/>
      <w:szCs w:val="22"/>
      <w:lang w:val="es-CR" w:eastAsia="es-CR"/>
    </w:rPr>
  </w:style>
  <w:style w:type="paragraph" w:styleId="TDC9">
    <w:name w:val="toc 9"/>
    <w:basedOn w:val="Normal"/>
    <w:next w:val="Normal"/>
    <w:autoRedefine/>
    <w:uiPriority w:val="39"/>
    <w:unhideWhenUsed/>
    <w:rsid w:val="00905D2B"/>
    <w:pPr>
      <w:spacing w:after="100" w:line="276" w:lineRule="auto"/>
      <w:ind w:left="1760"/>
    </w:pPr>
    <w:rPr>
      <w:rFonts w:asciiTheme="minorHAnsi" w:eastAsiaTheme="minorEastAsia" w:hAnsiTheme="minorHAnsi" w:cstheme="minorBidi"/>
      <w:sz w:val="22"/>
      <w:szCs w:val="22"/>
      <w:lang w:val="es-CR" w:eastAsia="es-CR"/>
    </w:rPr>
  </w:style>
  <w:style w:type="paragraph" w:customStyle="1" w:styleId="Marco">
    <w:name w:val="Marco"/>
    <w:basedOn w:val="Normal"/>
    <w:link w:val="MarcoCar"/>
    <w:qFormat/>
    <w:rsid w:val="00652181"/>
    <w:pPr>
      <w:spacing w:after="240" w:line="276" w:lineRule="auto"/>
      <w:jc w:val="both"/>
    </w:pPr>
    <w:rPr>
      <w:rFonts w:ascii="Franklin Gothic Book" w:hAnsi="Franklin Gothic Book"/>
      <w:sz w:val="22"/>
      <w:szCs w:val="22"/>
      <w:lang w:val="es-CR" w:eastAsia="es-CR"/>
    </w:rPr>
  </w:style>
  <w:style w:type="character" w:customStyle="1" w:styleId="MarcoCar">
    <w:name w:val="Marco Car"/>
    <w:link w:val="Marco"/>
    <w:rsid w:val="00652181"/>
    <w:rPr>
      <w:rFonts w:ascii="Franklin Gothic Book" w:hAnsi="Franklin Gothic Book"/>
      <w:sz w:val="22"/>
      <w:szCs w:val="22"/>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970">
      <w:bodyDiv w:val="1"/>
      <w:marLeft w:val="0"/>
      <w:marRight w:val="0"/>
      <w:marTop w:val="0"/>
      <w:marBottom w:val="0"/>
      <w:divBdr>
        <w:top w:val="none" w:sz="0" w:space="0" w:color="auto"/>
        <w:left w:val="none" w:sz="0" w:space="0" w:color="auto"/>
        <w:bottom w:val="none" w:sz="0" w:space="0" w:color="auto"/>
        <w:right w:val="none" w:sz="0" w:space="0" w:color="auto"/>
      </w:divBdr>
    </w:div>
    <w:div w:id="18314674">
      <w:bodyDiv w:val="1"/>
      <w:marLeft w:val="0"/>
      <w:marRight w:val="0"/>
      <w:marTop w:val="0"/>
      <w:marBottom w:val="0"/>
      <w:divBdr>
        <w:top w:val="none" w:sz="0" w:space="0" w:color="auto"/>
        <w:left w:val="none" w:sz="0" w:space="0" w:color="auto"/>
        <w:bottom w:val="none" w:sz="0" w:space="0" w:color="auto"/>
        <w:right w:val="none" w:sz="0" w:space="0" w:color="auto"/>
      </w:divBdr>
    </w:div>
    <w:div w:id="20669966">
      <w:bodyDiv w:val="1"/>
      <w:marLeft w:val="0"/>
      <w:marRight w:val="0"/>
      <w:marTop w:val="0"/>
      <w:marBottom w:val="0"/>
      <w:divBdr>
        <w:top w:val="none" w:sz="0" w:space="0" w:color="auto"/>
        <w:left w:val="none" w:sz="0" w:space="0" w:color="auto"/>
        <w:bottom w:val="none" w:sz="0" w:space="0" w:color="auto"/>
        <w:right w:val="none" w:sz="0" w:space="0" w:color="auto"/>
      </w:divBdr>
    </w:div>
    <w:div w:id="22899705">
      <w:bodyDiv w:val="1"/>
      <w:marLeft w:val="0"/>
      <w:marRight w:val="0"/>
      <w:marTop w:val="0"/>
      <w:marBottom w:val="0"/>
      <w:divBdr>
        <w:top w:val="none" w:sz="0" w:space="0" w:color="auto"/>
        <w:left w:val="none" w:sz="0" w:space="0" w:color="auto"/>
        <w:bottom w:val="none" w:sz="0" w:space="0" w:color="auto"/>
        <w:right w:val="none" w:sz="0" w:space="0" w:color="auto"/>
      </w:divBdr>
    </w:div>
    <w:div w:id="28840147">
      <w:bodyDiv w:val="1"/>
      <w:marLeft w:val="0"/>
      <w:marRight w:val="0"/>
      <w:marTop w:val="0"/>
      <w:marBottom w:val="0"/>
      <w:divBdr>
        <w:top w:val="none" w:sz="0" w:space="0" w:color="auto"/>
        <w:left w:val="none" w:sz="0" w:space="0" w:color="auto"/>
        <w:bottom w:val="none" w:sz="0" w:space="0" w:color="auto"/>
        <w:right w:val="none" w:sz="0" w:space="0" w:color="auto"/>
      </w:divBdr>
      <w:divsChild>
        <w:div w:id="1948850601">
          <w:marLeft w:val="0"/>
          <w:marRight w:val="0"/>
          <w:marTop w:val="0"/>
          <w:marBottom w:val="0"/>
          <w:divBdr>
            <w:top w:val="none" w:sz="0" w:space="0" w:color="auto"/>
            <w:left w:val="none" w:sz="0" w:space="0" w:color="auto"/>
            <w:bottom w:val="none" w:sz="0" w:space="0" w:color="auto"/>
            <w:right w:val="none" w:sz="0" w:space="0" w:color="auto"/>
          </w:divBdr>
          <w:divsChild>
            <w:div w:id="817956757">
              <w:marLeft w:val="0"/>
              <w:marRight w:val="0"/>
              <w:marTop w:val="0"/>
              <w:marBottom w:val="0"/>
              <w:divBdr>
                <w:top w:val="none" w:sz="0" w:space="0" w:color="auto"/>
                <w:left w:val="none" w:sz="0" w:space="0" w:color="auto"/>
                <w:bottom w:val="none" w:sz="0" w:space="0" w:color="auto"/>
                <w:right w:val="none" w:sz="0" w:space="0" w:color="auto"/>
              </w:divBdr>
              <w:divsChild>
                <w:div w:id="568149612">
                  <w:marLeft w:val="0"/>
                  <w:marRight w:val="0"/>
                  <w:marTop w:val="0"/>
                  <w:marBottom w:val="0"/>
                  <w:divBdr>
                    <w:top w:val="none" w:sz="0" w:space="0" w:color="auto"/>
                    <w:left w:val="none" w:sz="0" w:space="0" w:color="auto"/>
                    <w:bottom w:val="none" w:sz="0" w:space="0" w:color="auto"/>
                    <w:right w:val="none" w:sz="0" w:space="0" w:color="auto"/>
                  </w:divBdr>
                  <w:divsChild>
                    <w:div w:id="1566255952">
                      <w:marLeft w:val="150"/>
                      <w:marRight w:val="0"/>
                      <w:marTop w:val="0"/>
                      <w:marBottom w:val="0"/>
                      <w:divBdr>
                        <w:top w:val="none" w:sz="0" w:space="0" w:color="auto"/>
                        <w:left w:val="none" w:sz="0" w:space="0" w:color="auto"/>
                        <w:bottom w:val="none" w:sz="0" w:space="0" w:color="auto"/>
                        <w:right w:val="none" w:sz="0" w:space="0" w:color="auto"/>
                      </w:divBdr>
                      <w:divsChild>
                        <w:div w:id="1824083445">
                          <w:marLeft w:val="0"/>
                          <w:marRight w:val="0"/>
                          <w:marTop w:val="0"/>
                          <w:marBottom w:val="0"/>
                          <w:divBdr>
                            <w:top w:val="none" w:sz="0" w:space="0" w:color="auto"/>
                            <w:left w:val="none" w:sz="0" w:space="0" w:color="auto"/>
                            <w:bottom w:val="none" w:sz="0" w:space="0" w:color="auto"/>
                            <w:right w:val="none" w:sz="0" w:space="0" w:color="auto"/>
                          </w:divBdr>
                          <w:divsChild>
                            <w:div w:id="1126705341">
                              <w:marLeft w:val="0"/>
                              <w:marRight w:val="0"/>
                              <w:marTop w:val="0"/>
                              <w:marBottom w:val="0"/>
                              <w:divBdr>
                                <w:top w:val="none" w:sz="0" w:space="0" w:color="auto"/>
                                <w:left w:val="none" w:sz="0" w:space="0" w:color="auto"/>
                                <w:bottom w:val="none" w:sz="0" w:space="0" w:color="auto"/>
                                <w:right w:val="none" w:sz="0" w:space="0" w:color="auto"/>
                              </w:divBdr>
                              <w:divsChild>
                                <w:div w:id="921135573">
                                  <w:marLeft w:val="0"/>
                                  <w:marRight w:val="0"/>
                                  <w:marTop w:val="0"/>
                                  <w:marBottom w:val="0"/>
                                  <w:divBdr>
                                    <w:top w:val="none" w:sz="0" w:space="0" w:color="auto"/>
                                    <w:left w:val="none" w:sz="0" w:space="0" w:color="auto"/>
                                    <w:bottom w:val="none" w:sz="0" w:space="0" w:color="auto"/>
                                    <w:right w:val="none" w:sz="0" w:space="0" w:color="auto"/>
                                  </w:divBdr>
                                  <w:divsChild>
                                    <w:div w:id="1683388970">
                                      <w:marLeft w:val="0"/>
                                      <w:marRight w:val="0"/>
                                      <w:marTop w:val="0"/>
                                      <w:marBottom w:val="0"/>
                                      <w:divBdr>
                                        <w:top w:val="none" w:sz="0" w:space="0" w:color="auto"/>
                                        <w:left w:val="none" w:sz="0" w:space="0" w:color="auto"/>
                                        <w:bottom w:val="none" w:sz="0" w:space="0" w:color="auto"/>
                                        <w:right w:val="none" w:sz="0" w:space="0" w:color="auto"/>
                                      </w:divBdr>
                                      <w:divsChild>
                                        <w:div w:id="1784882733">
                                          <w:marLeft w:val="0"/>
                                          <w:marRight w:val="0"/>
                                          <w:marTop w:val="0"/>
                                          <w:marBottom w:val="0"/>
                                          <w:divBdr>
                                            <w:top w:val="none" w:sz="0" w:space="0" w:color="auto"/>
                                            <w:left w:val="none" w:sz="0" w:space="0" w:color="auto"/>
                                            <w:bottom w:val="none" w:sz="0" w:space="0" w:color="auto"/>
                                            <w:right w:val="none" w:sz="0" w:space="0" w:color="auto"/>
                                          </w:divBdr>
                                          <w:divsChild>
                                            <w:div w:id="1447382798">
                                              <w:marLeft w:val="0"/>
                                              <w:marRight w:val="0"/>
                                              <w:marTop w:val="0"/>
                                              <w:marBottom w:val="0"/>
                                              <w:divBdr>
                                                <w:top w:val="none" w:sz="0" w:space="0" w:color="auto"/>
                                                <w:left w:val="none" w:sz="0" w:space="0" w:color="auto"/>
                                                <w:bottom w:val="none" w:sz="0" w:space="0" w:color="auto"/>
                                                <w:right w:val="none" w:sz="0" w:space="0" w:color="auto"/>
                                              </w:divBdr>
                                              <w:divsChild>
                                                <w:div w:id="1113092493">
                                                  <w:marLeft w:val="0"/>
                                                  <w:marRight w:val="0"/>
                                                  <w:marTop w:val="0"/>
                                                  <w:marBottom w:val="0"/>
                                                  <w:divBdr>
                                                    <w:top w:val="none" w:sz="0" w:space="0" w:color="auto"/>
                                                    <w:left w:val="none" w:sz="0" w:space="0" w:color="auto"/>
                                                    <w:bottom w:val="none" w:sz="0" w:space="0" w:color="auto"/>
                                                    <w:right w:val="none" w:sz="0" w:space="0" w:color="auto"/>
                                                  </w:divBdr>
                                                  <w:divsChild>
                                                    <w:div w:id="710810347">
                                                      <w:marLeft w:val="0"/>
                                                      <w:marRight w:val="0"/>
                                                      <w:marTop w:val="0"/>
                                                      <w:marBottom w:val="0"/>
                                                      <w:divBdr>
                                                        <w:top w:val="none" w:sz="0" w:space="0" w:color="auto"/>
                                                        <w:left w:val="none" w:sz="0" w:space="0" w:color="auto"/>
                                                        <w:bottom w:val="none" w:sz="0" w:space="0" w:color="auto"/>
                                                        <w:right w:val="none" w:sz="0" w:space="0" w:color="auto"/>
                                                      </w:divBdr>
                                                      <w:divsChild>
                                                        <w:div w:id="28246222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8994456">
      <w:bodyDiv w:val="1"/>
      <w:marLeft w:val="0"/>
      <w:marRight w:val="0"/>
      <w:marTop w:val="0"/>
      <w:marBottom w:val="0"/>
      <w:divBdr>
        <w:top w:val="none" w:sz="0" w:space="0" w:color="auto"/>
        <w:left w:val="none" w:sz="0" w:space="0" w:color="auto"/>
        <w:bottom w:val="none" w:sz="0" w:space="0" w:color="auto"/>
        <w:right w:val="none" w:sz="0" w:space="0" w:color="auto"/>
      </w:divBdr>
      <w:divsChild>
        <w:div w:id="138151456">
          <w:marLeft w:val="0"/>
          <w:marRight w:val="0"/>
          <w:marTop w:val="0"/>
          <w:marBottom w:val="0"/>
          <w:divBdr>
            <w:top w:val="none" w:sz="0" w:space="0" w:color="auto"/>
            <w:left w:val="none" w:sz="0" w:space="0" w:color="auto"/>
            <w:bottom w:val="none" w:sz="0" w:space="0" w:color="auto"/>
            <w:right w:val="none" w:sz="0" w:space="0" w:color="auto"/>
          </w:divBdr>
          <w:divsChild>
            <w:div w:id="111957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279">
      <w:bodyDiv w:val="1"/>
      <w:marLeft w:val="0"/>
      <w:marRight w:val="0"/>
      <w:marTop w:val="0"/>
      <w:marBottom w:val="0"/>
      <w:divBdr>
        <w:top w:val="none" w:sz="0" w:space="0" w:color="auto"/>
        <w:left w:val="none" w:sz="0" w:space="0" w:color="auto"/>
        <w:bottom w:val="none" w:sz="0" w:space="0" w:color="auto"/>
        <w:right w:val="none" w:sz="0" w:space="0" w:color="auto"/>
      </w:divBdr>
    </w:div>
    <w:div w:id="50155368">
      <w:bodyDiv w:val="1"/>
      <w:marLeft w:val="0"/>
      <w:marRight w:val="0"/>
      <w:marTop w:val="0"/>
      <w:marBottom w:val="0"/>
      <w:divBdr>
        <w:top w:val="none" w:sz="0" w:space="0" w:color="auto"/>
        <w:left w:val="none" w:sz="0" w:space="0" w:color="auto"/>
        <w:bottom w:val="none" w:sz="0" w:space="0" w:color="auto"/>
        <w:right w:val="none" w:sz="0" w:space="0" w:color="auto"/>
      </w:divBdr>
    </w:div>
    <w:div w:id="58133409">
      <w:bodyDiv w:val="1"/>
      <w:marLeft w:val="0"/>
      <w:marRight w:val="0"/>
      <w:marTop w:val="0"/>
      <w:marBottom w:val="0"/>
      <w:divBdr>
        <w:top w:val="none" w:sz="0" w:space="0" w:color="auto"/>
        <w:left w:val="none" w:sz="0" w:space="0" w:color="auto"/>
        <w:bottom w:val="none" w:sz="0" w:space="0" w:color="auto"/>
        <w:right w:val="none" w:sz="0" w:space="0" w:color="auto"/>
      </w:divBdr>
    </w:div>
    <w:div w:id="90393227">
      <w:bodyDiv w:val="1"/>
      <w:marLeft w:val="0"/>
      <w:marRight w:val="0"/>
      <w:marTop w:val="0"/>
      <w:marBottom w:val="0"/>
      <w:divBdr>
        <w:top w:val="none" w:sz="0" w:space="0" w:color="auto"/>
        <w:left w:val="none" w:sz="0" w:space="0" w:color="auto"/>
        <w:bottom w:val="none" w:sz="0" w:space="0" w:color="auto"/>
        <w:right w:val="none" w:sz="0" w:space="0" w:color="auto"/>
      </w:divBdr>
    </w:div>
    <w:div w:id="105851647">
      <w:bodyDiv w:val="1"/>
      <w:marLeft w:val="0"/>
      <w:marRight w:val="0"/>
      <w:marTop w:val="0"/>
      <w:marBottom w:val="0"/>
      <w:divBdr>
        <w:top w:val="none" w:sz="0" w:space="0" w:color="auto"/>
        <w:left w:val="none" w:sz="0" w:space="0" w:color="auto"/>
        <w:bottom w:val="none" w:sz="0" w:space="0" w:color="auto"/>
        <w:right w:val="none" w:sz="0" w:space="0" w:color="auto"/>
      </w:divBdr>
    </w:div>
    <w:div w:id="106044674">
      <w:bodyDiv w:val="1"/>
      <w:marLeft w:val="0"/>
      <w:marRight w:val="0"/>
      <w:marTop w:val="0"/>
      <w:marBottom w:val="0"/>
      <w:divBdr>
        <w:top w:val="none" w:sz="0" w:space="0" w:color="auto"/>
        <w:left w:val="none" w:sz="0" w:space="0" w:color="auto"/>
        <w:bottom w:val="none" w:sz="0" w:space="0" w:color="auto"/>
        <w:right w:val="none" w:sz="0" w:space="0" w:color="auto"/>
      </w:divBdr>
    </w:div>
    <w:div w:id="107894837">
      <w:bodyDiv w:val="1"/>
      <w:marLeft w:val="0"/>
      <w:marRight w:val="0"/>
      <w:marTop w:val="0"/>
      <w:marBottom w:val="0"/>
      <w:divBdr>
        <w:top w:val="none" w:sz="0" w:space="0" w:color="auto"/>
        <w:left w:val="none" w:sz="0" w:space="0" w:color="auto"/>
        <w:bottom w:val="none" w:sz="0" w:space="0" w:color="auto"/>
        <w:right w:val="none" w:sz="0" w:space="0" w:color="auto"/>
      </w:divBdr>
    </w:div>
    <w:div w:id="116026759">
      <w:bodyDiv w:val="1"/>
      <w:marLeft w:val="0"/>
      <w:marRight w:val="0"/>
      <w:marTop w:val="0"/>
      <w:marBottom w:val="0"/>
      <w:divBdr>
        <w:top w:val="none" w:sz="0" w:space="0" w:color="auto"/>
        <w:left w:val="none" w:sz="0" w:space="0" w:color="auto"/>
        <w:bottom w:val="none" w:sz="0" w:space="0" w:color="auto"/>
        <w:right w:val="none" w:sz="0" w:space="0" w:color="auto"/>
      </w:divBdr>
    </w:div>
    <w:div w:id="120922281">
      <w:bodyDiv w:val="1"/>
      <w:marLeft w:val="0"/>
      <w:marRight w:val="0"/>
      <w:marTop w:val="0"/>
      <w:marBottom w:val="0"/>
      <w:divBdr>
        <w:top w:val="none" w:sz="0" w:space="0" w:color="auto"/>
        <w:left w:val="none" w:sz="0" w:space="0" w:color="auto"/>
        <w:bottom w:val="none" w:sz="0" w:space="0" w:color="auto"/>
        <w:right w:val="none" w:sz="0" w:space="0" w:color="auto"/>
      </w:divBdr>
    </w:div>
    <w:div w:id="153450242">
      <w:bodyDiv w:val="1"/>
      <w:marLeft w:val="0"/>
      <w:marRight w:val="0"/>
      <w:marTop w:val="0"/>
      <w:marBottom w:val="0"/>
      <w:divBdr>
        <w:top w:val="none" w:sz="0" w:space="0" w:color="auto"/>
        <w:left w:val="none" w:sz="0" w:space="0" w:color="auto"/>
        <w:bottom w:val="none" w:sz="0" w:space="0" w:color="auto"/>
        <w:right w:val="none" w:sz="0" w:space="0" w:color="auto"/>
      </w:divBdr>
    </w:div>
    <w:div w:id="153693087">
      <w:bodyDiv w:val="1"/>
      <w:marLeft w:val="0"/>
      <w:marRight w:val="0"/>
      <w:marTop w:val="0"/>
      <w:marBottom w:val="0"/>
      <w:divBdr>
        <w:top w:val="none" w:sz="0" w:space="0" w:color="auto"/>
        <w:left w:val="none" w:sz="0" w:space="0" w:color="auto"/>
        <w:bottom w:val="none" w:sz="0" w:space="0" w:color="auto"/>
        <w:right w:val="none" w:sz="0" w:space="0" w:color="auto"/>
      </w:divBdr>
    </w:div>
    <w:div w:id="159470877">
      <w:bodyDiv w:val="1"/>
      <w:marLeft w:val="0"/>
      <w:marRight w:val="0"/>
      <w:marTop w:val="0"/>
      <w:marBottom w:val="0"/>
      <w:divBdr>
        <w:top w:val="none" w:sz="0" w:space="0" w:color="auto"/>
        <w:left w:val="none" w:sz="0" w:space="0" w:color="auto"/>
        <w:bottom w:val="none" w:sz="0" w:space="0" w:color="auto"/>
        <w:right w:val="none" w:sz="0" w:space="0" w:color="auto"/>
      </w:divBdr>
    </w:div>
    <w:div w:id="172770919">
      <w:bodyDiv w:val="1"/>
      <w:marLeft w:val="0"/>
      <w:marRight w:val="0"/>
      <w:marTop w:val="0"/>
      <w:marBottom w:val="0"/>
      <w:divBdr>
        <w:top w:val="none" w:sz="0" w:space="0" w:color="auto"/>
        <w:left w:val="none" w:sz="0" w:space="0" w:color="auto"/>
        <w:bottom w:val="none" w:sz="0" w:space="0" w:color="auto"/>
        <w:right w:val="none" w:sz="0" w:space="0" w:color="auto"/>
      </w:divBdr>
    </w:div>
    <w:div w:id="188297332">
      <w:bodyDiv w:val="1"/>
      <w:marLeft w:val="0"/>
      <w:marRight w:val="0"/>
      <w:marTop w:val="0"/>
      <w:marBottom w:val="0"/>
      <w:divBdr>
        <w:top w:val="none" w:sz="0" w:space="0" w:color="auto"/>
        <w:left w:val="none" w:sz="0" w:space="0" w:color="auto"/>
        <w:bottom w:val="none" w:sz="0" w:space="0" w:color="auto"/>
        <w:right w:val="none" w:sz="0" w:space="0" w:color="auto"/>
      </w:divBdr>
    </w:div>
    <w:div w:id="194853176">
      <w:bodyDiv w:val="1"/>
      <w:marLeft w:val="0"/>
      <w:marRight w:val="0"/>
      <w:marTop w:val="0"/>
      <w:marBottom w:val="0"/>
      <w:divBdr>
        <w:top w:val="none" w:sz="0" w:space="0" w:color="auto"/>
        <w:left w:val="none" w:sz="0" w:space="0" w:color="auto"/>
        <w:bottom w:val="none" w:sz="0" w:space="0" w:color="auto"/>
        <w:right w:val="none" w:sz="0" w:space="0" w:color="auto"/>
      </w:divBdr>
    </w:div>
    <w:div w:id="207228206">
      <w:bodyDiv w:val="1"/>
      <w:marLeft w:val="0"/>
      <w:marRight w:val="0"/>
      <w:marTop w:val="0"/>
      <w:marBottom w:val="0"/>
      <w:divBdr>
        <w:top w:val="none" w:sz="0" w:space="0" w:color="auto"/>
        <w:left w:val="none" w:sz="0" w:space="0" w:color="auto"/>
        <w:bottom w:val="none" w:sz="0" w:space="0" w:color="auto"/>
        <w:right w:val="none" w:sz="0" w:space="0" w:color="auto"/>
      </w:divBdr>
    </w:div>
    <w:div w:id="220673084">
      <w:bodyDiv w:val="1"/>
      <w:marLeft w:val="0"/>
      <w:marRight w:val="0"/>
      <w:marTop w:val="0"/>
      <w:marBottom w:val="0"/>
      <w:divBdr>
        <w:top w:val="none" w:sz="0" w:space="0" w:color="auto"/>
        <w:left w:val="none" w:sz="0" w:space="0" w:color="auto"/>
        <w:bottom w:val="none" w:sz="0" w:space="0" w:color="auto"/>
        <w:right w:val="none" w:sz="0" w:space="0" w:color="auto"/>
      </w:divBdr>
    </w:div>
    <w:div w:id="242107727">
      <w:bodyDiv w:val="1"/>
      <w:marLeft w:val="0"/>
      <w:marRight w:val="0"/>
      <w:marTop w:val="0"/>
      <w:marBottom w:val="0"/>
      <w:divBdr>
        <w:top w:val="none" w:sz="0" w:space="0" w:color="auto"/>
        <w:left w:val="none" w:sz="0" w:space="0" w:color="auto"/>
        <w:bottom w:val="none" w:sz="0" w:space="0" w:color="auto"/>
        <w:right w:val="none" w:sz="0" w:space="0" w:color="auto"/>
      </w:divBdr>
    </w:div>
    <w:div w:id="251089493">
      <w:bodyDiv w:val="1"/>
      <w:marLeft w:val="0"/>
      <w:marRight w:val="0"/>
      <w:marTop w:val="0"/>
      <w:marBottom w:val="0"/>
      <w:divBdr>
        <w:top w:val="none" w:sz="0" w:space="0" w:color="auto"/>
        <w:left w:val="none" w:sz="0" w:space="0" w:color="auto"/>
        <w:bottom w:val="none" w:sz="0" w:space="0" w:color="auto"/>
        <w:right w:val="none" w:sz="0" w:space="0" w:color="auto"/>
      </w:divBdr>
    </w:div>
    <w:div w:id="255136854">
      <w:bodyDiv w:val="1"/>
      <w:marLeft w:val="0"/>
      <w:marRight w:val="0"/>
      <w:marTop w:val="0"/>
      <w:marBottom w:val="0"/>
      <w:divBdr>
        <w:top w:val="none" w:sz="0" w:space="0" w:color="auto"/>
        <w:left w:val="none" w:sz="0" w:space="0" w:color="auto"/>
        <w:bottom w:val="none" w:sz="0" w:space="0" w:color="auto"/>
        <w:right w:val="none" w:sz="0" w:space="0" w:color="auto"/>
      </w:divBdr>
    </w:div>
    <w:div w:id="287858301">
      <w:bodyDiv w:val="1"/>
      <w:marLeft w:val="0"/>
      <w:marRight w:val="0"/>
      <w:marTop w:val="0"/>
      <w:marBottom w:val="0"/>
      <w:divBdr>
        <w:top w:val="none" w:sz="0" w:space="0" w:color="auto"/>
        <w:left w:val="none" w:sz="0" w:space="0" w:color="auto"/>
        <w:bottom w:val="none" w:sz="0" w:space="0" w:color="auto"/>
        <w:right w:val="none" w:sz="0" w:space="0" w:color="auto"/>
      </w:divBdr>
    </w:div>
    <w:div w:id="293104864">
      <w:bodyDiv w:val="1"/>
      <w:marLeft w:val="0"/>
      <w:marRight w:val="0"/>
      <w:marTop w:val="0"/>
      <w:marBottom w:val="0"/>
      <w:divBdr>
        <w:top w:val="none" w:sz="0" w:space="0" w:color="auto"/>
        <w:left w:val="none" w:sz="0" w:space="0" w:color="auto"/>
        <w:bottom w:val="none" w:sz="0" w:space="0" w:color="auto"/>
        <w:right w:val="none" w:sz="0" w:space="0" w:color="auto"/>
      </w:divBdr>
    </w:div>
    <w:div w:id="296758802">
      <w:bodyDiv w:val="1"/>
      <w:marLeft w:val="0"/>
      <w:marRight w:val="0"/>
      <w:marTop w:val="0"/>
      <w:marBottom w:val="0"/>
      <w:divBdr>
        <w:top w:val="none" w:sz="0" w:space="0" w:color="auto"/>
        <w:left w:val="none" w:sz="0" w:space="0" w:color="auto"/>
        <w:bottom w:val="none" w:sz="0" w:space="0" w:color="auto"/>
        <w:right w:val="none" w:sz="0" w:space="0" w:color="auto"/>
      </w:divBdr>
    </w:div>
    <w:div w:id="318389537">
      <w:bodyDiv w:val="1"/>
      <w:marLeft w:val="0"/>
      <w:marRight w:val="0"/>
      <w:marTop w:val="0"/>
      <w:marBottom w:val="0"/>
      <w:divBdr>
        <w:top w:val="none" w:sz="0" w:space="0" w:color="auto"/>
        <w:left w:val="none" w:sz="0" w:space="0" w:color="auto"/>
        <w:bottom w:val="none" w:sz="0" w:space="0" w:color="auto"/>
        <w:right w:val="none" w:sz="0" w:space="0" w:color="auto"/>
      </w:divBdr>
    </w:div>
    <w:div w:id="321809581">
      <w:bodyDiv w:val="1"/>
      <w:marLeft w:val="0"/>
      <w:marRight w:val="0"/>
      <w:marTop w:val="0"/>
      <w:marBottom w:val="0"/>
      <w:divBdr>
        <w:top w:val="none" w:sz="0" w:space="0" w:color="auto"/>
        <w:left w:val="none" w:sz="0" w:space="0" w:color="auto"/>
        <w:bottom w:val="none" w:sz="0" w:space="0" w:color="auto"/>
        <w:right w:val="none" w:sz="0" w:space="0" w:color="auto"/>
      </w:divBdr>
    </w:div>
    <w:div w:id="331766012">
      <w:bodyDiv w:val="1"/>
      <w:marLeft w:val="0"/>
      <w:marRight w:val="0"/>
      <w:marTop w:val="0"/>
      <w:marBottom w:val="0"/>
      <w:divBdr>
        <w:top w:val="none" w:sz="0" w:space="0" w:color="auto"/>
        <w:left w:val="none" w:sz="0" w:space="0" w:color="auto"/>
        <w:bottom w:val="none" w:sz="0" w:space="0" w:color="auto"/>
        <w:right w:val="none" w:sz="0" w:space="0" w:color="auto"/>
      </w:divBdr>
    </w:div>
    <w:div w:id="338124243">
      <w:bodyDiv w:val="1"/>
      <w:marLeft w:val="0"/>
      <w:marRight w:val="0"/>
      <w:marTop w:val="0"/>
      <w:marBottom w:val="0"/>
      <w:divBdr>
        <w:top w:val="none" w:sz="0" w:space="0" w:color="auto"/>
        <w:left w:val="none" w:sz="0" w:space="0" w:color="auto"/>
        <w:bottom w:val="none" w:sz="0" w:space="0" w:color="auto"/>
        <w:right w:val="none" w:sz="0" w:space="0" w:color="auto"/>
      </w:divBdr>
    </w:div>
    <w:div w:id="340161552">
      <w:bodyDiv w:val="1"/>
      <w:marLeft w:val="0"/>
      <w:marRight w:val="0"/>
      <w:marTop w:val="0"/>
      <w:marBottom w:val="0"/>
      <w:divBdr>
        <w:top w:val="none" w:sz="0" w:space="0" w:color="auto"/>
        <w:left w:val="none" w:sz="0" w:space="0" w:color="auto"/>
        <w:bottom w:val="none" w:sz="0" w:space="0" w:color="auto"/>
        <w:right w:val="none" w:sz="0" w:space="0" w:color="auto"/>
      </w:divBdr>
    </w:div>
    <w:div w:id="343017245">
      <w:bodyDiv w:val="1"/>
      <w:marLeft w:val="0"/>
      <w:marRight w:val="0"/>
      <w:marTop w:val="0"/>
      <w:marBottom w:val="0"/>
      <w:divBdr>
        <w:top w:val="none" w:sz="0" w:space="0" w:color="auto"/>
        <w:left w:val="none" w:sz="0" w:space="0" w:color="auto"/>
        <w:bottom w:val="none" w:sz="0" w:space="0" w:color="auto"/>
        <w:right w:val="none" w:sz="0" w:space="0" w:color="auto"/>
      </w:divBdr>
    </w:div>
    <w:div w:id="365105714">
      <w:bodyDiv w:val="1"/>
      <w:marLeft w:val="0"/>
      <w:marRight w:val="0"/>
      <w:marTop w:val="0"/>
      <w:marBottom w:val="0"/>
      <w:divBdr>
        <w:top w:val="none" w:sz="0" w:space="0" w:color="auto"/>
        <w:left w:val="none" w:sz="0" w:space="0" w:color="auto"/>
        <w:bottom w:val="none" w:sz="0" w:space="0" w:color="auto"/>
        <w:right w:val="none" w:sz="0" w:space="0" w:color="auto"/>
      </w:divBdr>
    </w:div>
    <w:div w:id="376203138">
      <w:bodyDiv w:val="1"/>
      <w:marLeft w:val="0"/>
      <w:marRight w:val="0"/>
      <w:marTop w:val="0"/>
      <w:marBottom w:val="0"/>
      <w:divBdr>
        <w:top w:val="none" w:sz="0" w:space="0" w:color="auto"/>
        <w:left w:val="none" w:sz="0" w:space="0" w:color="auto"/>
        <w:bottom w:val="none" w:sz="0" w:space="0" w:color="auto"/>
        <w:right w:val="none" w:sz="0" w:space="0" w:color="auto"/>
      </w:divBdr>
    </w:div>
    <w:div w:id="377628685">
      <w:bodyDiv w:val="1"/>
      <w:marLeft w:val="0"/>
      <w:marRight w:val="0"/>
      <w:marTop w:val="0"/>
      <w:marBottom w:val="0"/>
      <w:divBdr>
        <w:top w:val="none" w:sz="0" w:space="0" w:color="auto"/>
        <w:left w:val="none" w:sz="0" w:space="0" w:color="auto"/>
        <w:bottom w:val="none" w:sz="0" w:space="0" w:color="auto"/>
        <w:right w:val="none" w:sz="0" w:space="0" w:color="auto"/>
      </w:divBdr>
    </w:div>
    <w:div w:id="384522228">
      <w:bodyDiv w:val="1"/>
      <w:marLeft w:val="0"/>
      <w:marRight w:val="0"/>
      <w:marTop w:val="0"/>
      <w:marBottom w:val="0"/>
      <w:divBdr>
        <w:top w:val="none" w:sz="0" w:space="0" w:color="auto"/>
        <w:left w:val="none" w:sz="0" w:space="0" w:color="auto"/>
        <w:bottom w:val="none" w:sz="0" w:space="0" w:color="auto"/>
        <w:right w:val="none" w:sz="0" w:space="0" w:color="auto"/>
      </w:divBdr>
    </w:div>
    <w:div w:id="395594534">
      <w:bodyDiv w:val="1"/>
      <w:marLeft w:val="0"/>
      <w:marRight w:val="0"/>
      <w:marTop w:val="0"/>
      <w:marBottom w:val="0"/>
      <w:divBdr>
        <w:top w:val="none" w:sz="0" w:space="0" w:color="auto"/>
        <w:left w:val="none" w:sz="0" w:space="0" w:color="auto"/>
        <w:bottom w:val="none" w:sz="0" w:space="0" w:color="auto"/>
        <w:right w:val="none" w:sz="0" w:space="0" w:color="auto"/>
      </w:divBdr>
    </w:div>
    <w:div w:id="401949418">
      <w:bodyDiv w:val="1"/>
      <w:marLeft w:val="0"/>
      <w:marRight w:val="0"/>
      <w:marTop w:val="0"/>
      <w:marBottom w:val="0"/>
      <w:divBdr>
        <w:top w:val="none" w:sz="0" w:space="0" w:color="auto"/>
        <w:left w:val="none" w:sz="0" w:space="0" w:color="auto"/>
        <w:bottom w:val="none" w:sz="0" w:space="0" w:color="auto"/>
        <w:right w:val="none" w:sz="0" w:space="0" w:color="auto"/>
      </w:divBdr>
    </w:div>
    <w:div w:id="404304565">
      <w:bodyDiv w:val="1"/>
      <w:marLeft w:val="0"/>
      <w:marRight w:val="0"/>
      <w:marTop w:val="0"/>
      <w:marBottom w:val="0"/>
      <w:divBdr>
        <w:top w:val="none" w:sz="0" w:space="0" w:color="auto"/>
        <w:left w:val="none" w:sz="0" w:space="0" w:color="auto"/>
        <w:bottom w:val="none" w:sz="0" w:space="0" w:color="auto"/>
        <w:right w:val="none" w:sz="0" w:space="0" w:color="auto"/>
      </w:divBdr>
    </w:div>
    <w:div w:id="404375403">
      <w:bodyDiv w:val="1"/>
      <w:marLeft w:val="0"/>
      <w:marRight w:val="0"/>
      <w:marTop w:val="0"/>
      <w:marBottom w:val="0"/>
      <w:divBdr>
        <w:top w:val="none" w:sz="0" w:space="0" w:color="auto"/>
        <w:left w:val="none" w:sz="0" w:space="0" w:color="auto"/>
        <w:bottom w:val="none" w:sz="0" w:space="0" w:color="auto"/>
        <w:right w:val="none" w:sz="0" w:space="0" w:color="auto"/>
      </w:divBdr>
      <w:divsChild>
        <w:div w:id="370571757">
          <w:marLeft w:val="0"/>
          <w:marRight w:val="0"/>
          <w:marTop w:val="0"/>
          <w:marBottom w:val="0"/>
          <w:divBdr>
            <w:top w:val="none" w:sz="0" w:space="0" w:color="auto"/>
            <w:left w:val="none" w:sz="0" w:space="0" w:color="auto"/>
            <w:bottom w:val="none" w:sz="0" w:space="0" w:color="auto"/>
            <w:right w:val="none" w:sz="0" w:space="0" w:color="auto"/>
          </w:divBdr>
        </w:div>
      </w:divsChild>
    </w:div>
    <w:div w:id="409236285">
      <w:bodyDiv w:val="1"/>
      <w:marLeft w:val="0"/>
      <w:marRight w:val="0"/>
      <w:marTop w:val="0"/>
      <w:marBottom w:val="0"/>
      <w:divBdr>
        <w:top w:val="none" w:sz="0" w:space="0" w:color="auto"/>
        <w:left w:val="none" w:sz="0" w:space="0" w:color="auto"/>
        <w:bottom w:val="none" w:sz="0" w:space="0" w:color="auto"/>
        <w:right w:val="none" w:sz="0" w:space="0" w:color="auto"/>
      </w:divBdr>
    </w:div>
    <w:div w:id="419375096">
      <w:bodyDiv w:val="1"/>
      <w:marLeft w:val="0"/>
      <w:marRight w:val="0"/>
      <w:marTop w:val="0"/>
      <w:marBottom w:val="0"/>
      <w:divBdr>
        <w:top w:val="none" w:sz="0" w:space="0" w:color="auto"/>
        <w:left w:val="none" w:sz="0" w:space="0" w:color="auto"/>
        <w:bottom w:val="none" w:sz="0" w:space="0" w:color="auto"/>
        <w:right w:val="none" w:sz="0" w:space="0" w:color="auto"/>
      </w:divBdr>
      <w:divsChild>
        <w:div w:id="486046876">
          <w:marLeft w:val="0"/>
          <w:marRight w:val="0"/>
          <w:marTop w:val="0"/>
          <w:marBottom w:val="0"/>
          <w:divBdr>
            <w:top w:val="none" w:sz="0" w:space="0" w:color="auto"/>
            <w:left w:val="none" w:sz="0" w:space="0" w:color="auto"/>
            <w:bottom w:val="none" w:sz="0" w:space="0" w:color="auto"/>
            <w:right w:val="none" w:sz="0" w:space="0" w:color="auto"/>
          </w:divBdr>
          <w:divsChild>
            <w:div w:id="275530242">
              <w:marLeft w:val="0"/>
              <w:marRight w:val="0"/>
              <w:marTop w:val="0"/>
              <w:marBottom w:val="0"/>
              <w:divBdr>
                <w:top w:val="none" w:sz="0" w:space="0" w:color="auto"/>
                <w:left w:val="none" w:sz="0" w:space="0" w:color="auto"/>
                <w:bottom w:val="none" w:sz="0" w:space="0" w:color="auto"/>
                <w:right w:val="none" w:sz="0" w:space="0" w:color="auto"/>
              </w:divBdr>
            </w:div>
            <w:div w:id="13615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770302">
      <w:bodyDiv w:val="1"/>
      <w:marLeft w:val="0"/>
      <w:marRight w:val="0"/>
      <w:marTop w:val="0"/>
      <w:marBottom w:val="0"/>
      <w:divBdr>
        <w:top w:val="none" w:sz="0" w:space="0" w:color="auto"/>
        <w:left w:val="none" w:sz="0" w:space="0" w:color="auto"/>
        <w:bottom w:val="none" w:sz="0" w:space="0" w:color="auto"/>
        <w:right w:val="none" w:sz="0" w:space="0" w:color="auto"/>
      </w:divBdr>
    </w:div>
    <w:div w:id="463541831">
      <w:bodyDiv w:val="1"/>
      <w:marLeft w:val="0"/>
      <w:marRight w:val="0"/>
      <w:marTop w:val="0"/>
      <w:marBottom w:val="0"/>
      <w:divBdr>
        <w:top w:val="none" w:sz="0" w:space="0" w:color="auto"/>
        <w:left w:val="none" w:sz="0" w:space="0" w:color="auto"/>
        <w:bottom w:val="none" w:sz="0" w:space="0" w:color="auto"/>
        <w:right w:val="none" w:sz="0" w:space="0" w:color="auto"/>
      </w:divBdr>
    </w:div>
    <w:div w:id="464012104">
      <w:bodyDiv w:val="1"/>
      <w:marLeft w:val="0"/>
      <w:marRight w:val="0"/>
      <w:marTop w:val="0"/>
      <w:marBottom w:val="0"/>
      <w:divBdr>
        <w:top w:val="none" w:sz="0" w:space="0" w:color="auto"/>
        <w:left w:val="none" w:sz="0" w:space="0" w:color="auto"/>
        <w:bottom w:val="none" w:sz="0" w:space="0" w:color="auto"/>
        <w:right w:val="none" w:sz="0" w:space="0" w:color="auto"/>
      </w:divBdr>
    </w:div>
    <w:div w:id="464809208">
      <w:bodyDiv w:val="1"/>
      <w:marLeft w:val="0"/>
      <w:marRight w:val="0"/>
      <w:marTop w:val="0"/>
      <w:marBottom w:val="0"/>
      <w:divBdr>
        <w:top w:val="none" w:sz="0" w:space="0" w:color="auto"/>
        <w:left w:val="none" w:sz="0" w:space="0" w:color="auto"/>
        <w:bottom w:val="none" w:sz="0" w:space="0" w:color="auto"/>
        <w:right w:val="none" w:sz="0" w:space="0" w:color="auto"/>
      </w:divBdr>
    </w:div>
    <w:div w:id="470561853">
      <w:bodyDiv w:val="1"/>
      <w:marLeft w:val="0"/>
      <w:marRight w:val="0"/>
      <w:marTop w:val="0"/>
      <w:marBottom w:val="0"/>
      <w:divBdr>
        <w:top w:val="none" w:sz="0" w:space="0" w:color="auto"/>
        <w:left w:val="none" w:sz="0" w:space="0" w:color="auto"/>
        <w:bottom w:val="none" w:sz="0" w:space="0" w:color="auto"/>
        <w:right w:val="none" w:sz="0" w:space="0" w:color="auto"/>
      </w:divBdr>
      <w:divsChild>
        <w:div w:id="219875870">
          <w:marLeft w:val="0"/>
          <w:marRight w:val="0"/>
          <w:marTop w:val="0"/>
          <w:marBottom w:val="0"/>
          <w:divBdr>
            <w:top w:val="none" w:sz="0" w:space="0" w:color="auto"/>
            <w:left w:val="none" w:sz="0" w:space="0" w:color="auto"/>
            <w:bottom w:val="none" w:sz="0" w:space="0" w:color="auto"/>
            <w:right w:val="none" w:sz="0" w:space="0" w:color="auto"/>
          </w:divBdr>
          <w:divsChild>
            <w:div w:id="2115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60287">
      <w:bodyDiv w:val="1"/>
      <w:marLeft w:val="0"/>
      <w:marRight w:val="0"/>
      <w:marTop w:val="0"/>
      <w:marBottom w:val="0"/>
      <w:divBdr>
        <w:top w:val="none" w:sz="0" w:space="0" w:color="auto"/>
        <w:left w:val="none" w:sz="0" w:space="0" w:color="auto"/>
        <w:bottom w:val="none" w:sz="0" w:space="0" w:color="auto"/>
        <w:right w:val="none" w:sz="0" w:space="0" w:color="auto"/>
      </w:divBdr>
    </w:div>
    <w:div w:id="486366936">
      <w:bodyDiv w:val="1"/>
      <w:marLeft w:val="0"/>
      <w:marRight w:val="0"/>
      <w:marTop w:val="0"/>
      <w:marBottom w:val="0"/>
      <w:divBdr>
        <w:top w:val="none" w:sz="0" w:space="0" w:color="auto"/>
        <w:left w:val="none" w:sz="0" w:space="0" w:color="auto"/>
        <w:bottom w:val="none" w:sz="0" w:space="0" w:color="auto"/>
        <w:right w:val="none" w:sz="0" w:space="0" w:color="auto"/>
      </w:divBdr>
    </w:div>
    <w:div w:id="488061434">
      <w:bodyDiv w:val="1"/>
      <w:marLeft w:val="0"/>
      <w:marRight w:val="0"/>
      <w:marTop w:val="0"/>
      <w:marBottom w:val="0"/>
      <w:divBdr>
        <w:top w:val="none" w:sz="0" w:space="0" w:color="auto"/>
        <w:left w:val="none" w:sz="0" w:space="0" w:color="auto"/>
        <w:bottom w:val="none" w:sz="0" w:space="0" w:color="auto"/>
        <w:right w:val="none" w:sz="0" w:space="0" w:color="auto"/>
      </w:divBdr>
    </w:div>
    <w:div w:id="507864038">
      <w:bodyDiv w:val="1"/>
      <w:marLeft w:val="0"/>
      <w:marRight w:val="0"/>
      <w:marTop w:val="0"/>
      <w:marBottom w:val="0"/>
      <w:divBdr>
        <w:top w:val="none" w:sz="0" w:space="0" w:color="auto"/>
        <w:left w:val="none" w:sz="0" w:space="0" w:color="auto"/>
        <w:bottom w:val="none" w:sz="0" w:space="0" w:color="auto"/>
        <w:right w:val="none" w:sz="0" w:space="0" w:color="auto"/>
      </w:divBdr>
    </w:div>
    <w:div w:id="526482419">
      <w:bodyDiv w:val="1"/>
      <w:marLeft w:val="0"/>
      <w:marRight w:val="0"/>
      <w:marTop w:val="0"/>
      <w:marBottom w:val="0"/>
      <w:divBdr>
        <w:top w:val="none" w:sz="0" w:space="0" w:color="auto"/>
        <w:left w:val="none" w:sz="0" w:space="0" w:color="auto"/>
        <w:bottom w:val="none" w:sz="0" w:space="0" w:color="auto"/>
        <w:right w:val="none" w:sz="0" w:space="0" w:color="auto"/>
      </w:divBdr>
    </w:div>
    <w:div w:id="607468314">
      <w:bodyDiv w:val="1"/>
      <w:marLeft w:val="0"/>
      <w:marRight w:val="0"/>
      <w:marTop w:val="0"/>
      <w:marBottom w:val="0"/>
      <w:divBdr>
        <w:top w:val="none" w:sz="0" w:space="0" w:color="auto"/>
        <w:left w:val="none" w:sz="0" w:space="0" w:color="auto"/>
        <w:bottom w:val="none" w:sz="0" w:space="0" w:color="auto"/>
        <w:right w:val="none" w:sz="0" w:space="0" w:color="auto"/>
      </w:divBdr>
    </w:div>
    <w:div w:id="616984389">
      <w:bodyDiv w:val="1"/>
      <w:marLeft w:val="0"/>
      <w:marRight w:val="0"/>
      <w:marTop w:val="0"/>
      <w:marBottom w:val="0"/>
      <w:divBdr>
        <w:top w:val="none" w:sz="0" w:space="0" w:color="auto"/>
        <w:left w:val="none" w:sz="0" w:space="0" w:color="auto"/>
        <w:bottom w:val="none" w:sz="0" w:space="0" w:color="auto"/>
        <w:right w:val="none" w:sz="0" w:space="0" w:color="auto"/>
      </w:divBdr>
    </w:div>
    <w:div w:id="638418341">
      <w:bodyDiv w:val="1"/>
      <w:marLeft w:val="0"/>
      <w:marRight w:val="0"/>
      <w:marTop w:val="0"/>
      <w:marBottom w:val="0"/>
      <w:divBdr>
        <w:top w:val="none" w:sz="0" w:space="0" w:color="auto"/>
        <w:left w:val="none" w:sz="0" w:space="0" w:color="auto"/>
        <w:bottom w:val="none" w:sz="0" w:space="0" w:color="auto"/>
        <w:right w:val="none" w:sz="0" w:space="0" w:color="auto"/>
      </w:divBdr>
      <w:divsChild>
        <w:div w:id="1488281517">
          <w:marLeft w:val="0"/>
          <w:marRight w:val="0"/>
          <w:marTop w:val="0"/>
          <w:marBottom w:val="0"/>
          <w:divBdr>
            <w:top w:val="none" w:sz="0" w:space="0" w:color="auto"/>
            <w:left w:val="none" w:sz="0" w:space="0" w:color="auto"/>
            <w:bottom w:val="none" w:sz="0" w:space="0" w:color="auto"/>
            <w:right w:val="none" w:sz="0" w:space="0" w:color="auto"/>
          </w:divBdr>
          <w:divsChild>
            <w:div w:id="1109659334">
              <w:marLeft w:val="0"/>
              <w:marRight w:val="0"/>
              <w:marTop w:val="0"/>
              <w:marBottom w:val="0"/>
              <w:divBdr>
                <w:top w:val="none" w:sz="0" w:space="0" w:color="auto"/>
                <w:left w:val="none" w:sz="0" w:space="0" w:color="auto"/>
                <w:bottom w:val="none" w:sz="0" w:space="0" w:color="auto"/>
                <w:right w:val="none" w:sz="0" w:space="0" w:color="auto"/>
              </w:divBdr>
              <w:divsChild>
                <w:div w:id="1621371829">
                  <w:marLeft w:val="0"/>
                  <w:marRight w:val="0"/>
                  <w:marTop w:val="0"/>
                  <w:marBottom w:val="0"/>
                  <w:divBdr>
                    <w:top w:val="none" w:sz="0" w:space="0" w:color="auto"/>
                    <w:left w:val="none" w:sz="0" w:space="0" w:color="auto"/>
                    <w:bottom w:val="none" w:sz="0" w:space="0" w:color="auto"/>
                    <w:right w:val="none" w:sz="0" w:space="0" w:color="auto"/>
                  </w:divBdr>
                  <w:divsChild>
                    <w:div w:id="1933705635">
                      <w:marLeft w:val="150"/>
                      <w:marRight w:val="0"/>
                      <w:marTop w:val="0"/>
                      <w:marBottom w:val="0"/>
                      <w:divBdr>
                        <w:top w:val="none" w:sz="0" w:space="0" w:color="auto"/>
                        <w:left w:val="none" w:sz="0" w:space="0" w:color="auto"/>
                        <w:bottom w:val="none" w:sz="0" w:space="0" w:color="auto"/>
                        <w:right w:val="none" w:sz="0" w:space="0" w:color="auto"/>
                      </w:divBdr>
                      <w:divsChild>
                        <w:div w:id="510414029">
                          <w:marLeft w:val="0"/>
                          <w:marRight w:val="0"/>
                          <w:marTop w:val="0"/>
                          <w:marBottom w:val="0"/>
                          <w:divBdr>
                            <w:top w:val="none" w:sz="0" w:space="0" w:color="auto"/>
                            <w:left w:val="none" w:sz="0" w:space="0" w:color="auto"/>
                            <w:bottom w:val="none" w:sz="0" w:space="0" w:color="auto"/>
                            <w:right w:val="none" w:sz="0" w:space="0" w:color="auto"/>
                          </w:divBdr>
                          <w:divsChild>
                            <w:div w:id="1446925258">
                              <w:marLeft w:val="0"/>
                              <w:marRight w:val="0"/>
                              <w:marTop w:val="0"/>
                              <w:marBottom w:val="0"/>
                              <w:divBdr>
                                <w:top w:val="none" w:sz="0" w:space="0" w:color="auto"/>
                                <w:left w:val="none" w:sz="0" w:space="0" w:color="auto"/>
                                <w:bottom w:val="none" w:sz="0" w:space="0" w:color="auto"/>
                                <w:right w:val="none" w:sz="0" w:space="0" w:color="auto"/>
                              </w:divBdr>
                              <w:divsChild>
                                <w:div w:id="1577398931">
                                  <w:marLeft w:val="0"/>
                                  <w:marRight w:val="0"/>
                                  <w:marTop w:val="0"/>
                                  <w:marBottom w:val="0"/>
                                  <w:divBdr>
                                    <w:top w:val="none" w:sz="0" w:space="0" w:color="auto"/>
                                    <w:left w:val="none" w:sz="0" w:space="0" w:color="auto"/>
                                    <w:bottom w:val="none" w:sz="0" w:space="0" w:color="auto"/>
                                    <w:right w:val="none" w:sz="0" w:space="0" w:color="auto"/>
                                  </w:divBdr>
                                  <w:divsChild>
                                    <w:div w:id="1941445328">
                                      <w:marLeft w:val="0"/>
                                      <w:marRight w:val="0"/>
                                      <w:marTop w:val="0"/>
                                      <w:marBottom w:val="0"/>
                                      <w:divBdr>
                                        <w:top w:val="none" w:sz="0" w:space="0" w:color="auto"/>
                                        <w:left w:val="none" w:sz="0" w:space="0" w:color="auto"/>
                                        <w:bottom w:val="none" w:sz="0" w:space="0" w:color="auto"/>
                                        <w:right w:val="none" w:sz="0" w:space="0" w:color="auto"/>
                                      </w:divBdr>
                                      <w:divsChild>
                                        <w:div w:id="1139417454">
                                          <w:marLeft w:val="0"/>
                                          <w:marRight w:val="0"/>
                                          <w:marTop w:val="0"/>
                                          <w:marBottom w:val="0"/>
                                          <w:divBdr>
                                            <w:top w:val="none" w:sz="0" w:space="0" w:color="auto"/>
                                            <w:left w:val="none" w:sz="0" w:space="0" w:color="auto"/>
                                            <w:bottom w:val="none" w:sz="0" w:space="0" w:color="auto"/>
                                            <w:right w:val="none" w:sz="0" w:space="0" w:color="auto"/>
                                          </w:divBdr>
                                          <w:divsChild>
                                            <w:div w:id="949240655">
                                              <w:marLeft w:val="0"/>
                                              <w:marRight w:val="0"/>
                                              <w:marTop w:val="0"/>
                                              <w:marBottom w:val="0"/>
                                              <w:divBdr>
                                                <w:top w:val="none" w:sz="0" w:space="0" w:color="auto"/>
                                                <w:left w:val="none" w:sz="0" w:space="0" w:color="auto"/>
                                                <w:bottom w:val="none" w:sz="0" w:space="0" w:color="auto"/>
                                                <w:right w:val="none" w:sz="0" w:space="0" w:color="auto"/>
                                              </w:divBdr>
                                              <w:divsChild>
                                                <w:div w:id="583682635">
                                                  <w:marLeft w:val="0"/>
                                                  <w:marRight w:val="0"/>
                                                  <w:marTop w:val="0"/>
                                                  <w:marBottom w:val="0"/>
                                                  <w:divBdr>
                                                    <w:top w:val="none" w:sz="0" w:space="0" w:color="auto"/>
                                                    <w:left w:val="none" w:sz="0" w:space="0" w:color="auto"/>
                                                    <w:bottom w:val="none" w:sz="0" w:space="0" w:color="auto"/>
                                                    <w:right w:val="none" w:sz="0" w:space="0" w:color="auto"/>
                                                  </w:divBdr>
                                                  <w:divsChild>
                                                    <w:div w:id="1438212974">
                                                      <w:marLeft w:val="0"/>
                                                      <w:marRight w:val="0"/>
                                                      <w:marTop w:val="0"/>
                                                      <w:marBottom w:val="0"/>
                                                      <w:divBdr>
                                                        <w:top w:val="none" w:sz="0" w:space="0" w:color="auto"/>
                                                        <w:left w:val="none" w:sz="0" w:space="0" w:color="auto"/>
                                                        <w:bottom w:val="none" w:sz="0" w:space="0" w:color="auto"/>
                                                        <w:right w:val="none" w:sz="0" w:space="0" w:color="auto"/>
                                                      </w:divBdr>
                                                      <w:divsChild>
                                                        <w:div w:id="81752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39727298">
      <w:bodyDiv w:val="1"/>
      <w:marLeft w:val="0"/>
      <w:marRight w:val="0"/>
      <w:marTop w:val="0"/>
      <w:marBottom w:val="0"/>
      <w:divBdr>
        <w:top w:val="none" w:sz="0" w:space="0" w:color="auto"/>
        <w:left w:val="none" w:sz="0" w:space="0" w:color="auto"/>
        <w:bottom w:val="none" w:sz="0" w:space="0" w:color="auto"/>
        <w:right w:val="none" w:sz="0" w:space="0" w:color="auto"/>
      </w:divBdr>
    </w:div>
    <w:div w:id="640890106">
      <w:bodyDiv w:val="1"/>
      <w:marLeft w:val="0"/>
      <w:marRight w:val="0"/>
      <w:marTop w:val="0"/>
      <w:marBottom w:val="0"/>
      <w:divBdr>
        <w:top w:val="none" w:sz="0" w:space="0" w:color="auto"/>
        <w:left w:val="none" w:sz="0" w:space="0" w:color="auto"/>
        <w:bottom w:val="none" w:sz="0" w:space="0" w:color="auto"/>
        <w:right w:val="none" w:sz="0" w:space="0" w:color="auto"/>
      </w:divBdr>
    </w:div>
    <w:div w:id="654920945">
      <w:bodyDiv w:val="1"/>
      <w:marLeft w:val="0"/>
      <w:marRight w:val="0"/>
      <w:marTop w:val="0"/>
      <w:marBottom w:val="0"/>
      <w:divBdr>
        <w:top w:val="none" w:sz="0" w:space="0" w:color="auto"/>
        <w:left w:val="none" w:sz="0" w:space="0" w:color="auto"/>
        <w:bottom w:val="none" w:sz="0" w:space="0" w:color="auto"/>
        <w:right w:val="none" w:sz="0" w:space="0" w:color="auto"/>
      </w:divBdr>
    </w:div>
    <w:div w:id="664238509">
      <w:bodyDiv w:val="1"/>
      <w:marLeft w:val="0"/>
      <w:marRight w:val="0"/>
      <w:marTop w:val="0"/>
      <w:marBottom w:val="0"/>
      <w:divBdr>
        <w:top w:val="none" w:sz="0" w:space="0" w:color="auto"/>
        <w:left w:val="none" w:sz="0" w:space="0" w:color="auto"/>
        <w:bottom w:val="none" w:sz="0" w:space="0" w:color="auto"/>
        <w:right w:val="none" w:sz="0" w:space="0" w:color="auto"/>
      </w:divBdr>
    </w:div>
    <w:div w:id="664624053">
      <w:bodyDiv w:val="1"/>
      <w:marLeft w:val="0"/>
      <w:marRight w:val="0"/>
      <w:marTop w:val="0"/>
      <w:marBottom w:val="0"/>
      <w:divBdr>
        <w:top w:val="none" w:sz="0" w:space="0" w:color="auto"/>
        <w:left w:val="none" w:sz="0" w:space="0" w:color="auto"/>
        <w:bottom w:val="none" w:sz="0" w:space="0" w:color="auto"/>
        <w:right w:val="none" w:sz="0" w:space="0" w:color="auto"/>
      </w:divBdr>
    </w:div>
    <w:div w:id="667289670">
      <w:bodyDiv w:val="1"/>
      <w:marLeft w:val="0"/>
      <w:marRight w:val="0"/>
      <w:marTop w:val="0"/>
      <w:marBottom w:val="0"/>
      <w:divBdr>
        <w:top w:val="none" w:sz="0" w:space="0" w:color="auto"/>
        <w:left w:val="none" w:sz="0" w:space="0" w:color="auto"/>
        <w:bottom w:val="none" w:sz="0" w:space="0" w:color="auto"/>
        <w:right w:val="none" w:sz="0" w:space="0" w:color="auto"/>
      </w:divBdr>
    </w:div>
    <w:div w:id="677805361">
      <w:bodyDiv w:val="1"/>
      <w:marLeft w:val="0"/>
      <w:marRight w:val="0"/>
      <w:marTop w:val="0"/>
      <w:marBottom w:val="0"/>
      <w:divBdr>
        <w:top w:val="none" w:sz="0" w:space="0" w:color="auto"/>
        <w:left w:val="none" w:sz="0" w:space="0" w:color="auto"/>
        <w:bottom w:val="none" w:sz="0" w:space="0" w:color="auto"/>
        <w:right w:val="none" w:sz="0" w:space="0" w:color="auto"/>
      </w:divBdr>
    </w:div>
    <w:div w:id="680473678">
      <w:bodyDiv w:val="1"/>
      <w:marLeft w:val="0"/>
      <w:marRight w:val="0"/>
      <w:marTop w:val="0"/>
      <w:marBottom w:val="0"/>
      <w:divBdr>
        <w:top w:val="none" w:sz="0" w:space="0" w:color="auto"/>
        <w:left w:val="none" w:sz="0" w:space="0" w:color="auto"/>
        <w:bottom w:val="none" w:sz="0" w:space="0" w:color="auto"/>
        <w:right w:val="none" w:sz="0" w:space="0" w:color="auto"/>
      </w:divBdr>
    </w:div>
    <w:div w:id="690912436">
      <w:bodyDiv w:val="1"/>
      <w:marLeft w:val="0"/>
      <w:marRight w:val="0"/>
      <w:marTop w:val="0"/>
      <w:marBottom w:val="0"/>
      <w:divBdr>
        <w:top w:val="none" w:sz="0" w:space="0" w:color="auto"/>
        <w:left w:val="none" w:sz="0" w:space="0" w:color="auto"/>
        <w:bottom w:val="none" w:sz="0" w:space="0" w:color="auto"/>
        <w:right w:val="none" w:sz="0" w:space="0" w:color="auto"/>
      </w:divBdr>
    </w:div>
    <w:div w:id="706031079">
      <w:bodyDiv w:val="1"/>
      <w:marLeft w:val="0"/>
      <w:marRight w:val="0"/>
      <w:marTop w:val="0"/>
      <w:marBottom w:val="0"/>
      <w:divBdr>
        <w:top w:val="none" w:sz="0" w:space="0" w:color="auto"/>
        <w:left w:val="none" w:sz="0" w:space="0" w:color="auto"/>
        <w:bottom w:val="none" w:sz="0" w:space="0" w:color="auto"/>
        <w:right w:val="none" w:sz="0" w:space="0" w:color="auto"/>
      </w:divBdr>
    </w:div>
    <w:div w:id="739640058">
      <w:bodyDiv w:val="1"/>
      <w:marLeft w:val="0"/>
      <w:marRight w:val="0"/>
      <w:marTop w:val="0"/>
      <w:marBottom w:val="0"/>
      <w:divBdr>
        <w:top w:val="none" w:sz="0" w:space="0" w:color="auto"/>
        <w:left w:val="none" w:sz="0" w:space="0" w:color="auto"/>
        <w:bottom w:val="none" w:sz="0" w:space="0" w:color="auto"/>
        <w:right w:val="none" w:sz="0" w:space="0" w:color="auto"/>
      </w:divBdr>
    </w:div>
    <w:div w:id="752091712">
      <w:bodyDiv w:val="1"/>
      <w:marLeft w:val="0"/>
      <w:marRight w:val="0"/>
      <w:marTop w:val="0"/>
      <w:marBottom w:val="0"/>
      <w:divBdr>
        <w:top w:val="none" w:sz="0" w:space="0" w:color="auto"/>
        <w:left w:val="none" w:sz="0" w:space="0" w:color="auto"/>
        <w:bottom w:val="none" w:sz="0" w:space="0" w:color="auto"/>
        <w:right w:val="none" w:sz="0" w:space="0" w:color="auto"/>
      </w:divBdr>
    </w:div>
    <w:div w:id="757558956">
      <w:bodyDiv w:val="1"/>
      <w:marLeft w:val="0"/>
      <w:marRight w:val="0"/>
      <w:marTop w:val="0"/>
      <w:marBottom w:val="0"/>
      <w:divBdr>
        <w:top w:val="none" w:sz="0" w:space="0" w:color="auto"/>
        <w:left w:val="none" w:sz="0" w:space="0" w:color="auto"/>
        <w:bottom w:val="none" w:sz="0" w:space="0" w:color="auto"/>
        <w:right w:val="none" w:sz="0" w:space="0" w:color="auto"/>
      </w:divBdr>
    </w:div>
    <w:div w:id="764301953">
      <w:bodyDiv w:val="1"/>
      <w:marLeft w:val="0"/>
      <w:marRight w:val="0"/>
      <w:marTop w:val="0"/>
      <w:marBottom w:val="0"/>
      <w:divBdr>
        <w:top w:val="none" w:sz="0" w:space="0" w:color="auto"/>
        <w:left w:val="none" w:sz="0" w:space="0" w:color="auto"/>
        <w:bottom w:val="none" w:sz="0" w:space="0" w:color="auto"/>
        <w:right w:val="none" w:sz="0" w:space="0" w:color="auto"/>
      </w:divBdr>
    </w:div>
    <w:div w:id="765346246">
      <w:bodyDiv w:val="1"/>
      <w:marLeft w:val="0"/>
      <w:marRight w:val="0"/>
      <w:marTop w:val="0"/>
      <w:marBottom w:val="0"/>
      <w:divBdr>
        <w:top w:val="none" w:sz="0" w:space="0" w:color="auto"/>
        <w:left w:val="none" w:sz="0" w:space="0" w:color="auto"/>
        <w:bottom w:val="none" w:sz="0" w:space="0" w:color="auto"/>
        <w:right w:val="none" w:sz="0" w:space="0" w:color="auto"/>
      </w:divBdr>
    </w:div>
    <w:div w:id="769399360">
      <w:bodyDiv w:val="1"/>
      <w:marLeft w:val="0"/>
      <w:marRight w:val="0"/>
      <w:marTop w:val="0"/>
      <w:marBottom w:val="0"/>
      <w:divBdr>
        <w:top w:val="none" w:sz="0" w:space="0" w:color="auto"/>
        <w:left w:val="none" w:sz="0" w:space="0" w:color="auto"/>
        <w:bottom w:val="none" w:sz="0" w:space="0" w:color="auto"/>
        <w:right w:val="none" w:sz="0" w:space="0" w:color="auto"/>
      </w:divBdr>
    </w:div>
    <w:div w:id="783695659">
      <w:bodyDiv w:val="1"/>
      <w:marLeft w:val="0"/>
      <w:marRight w:val="0"/>
      <w:marTop w:val="0"/>
      <w:marBottom w:val="0"/>
      <w:divBdr>
        <w:top w:val="none" w:sz="0" w:space="0" w:color="auto"/>
        <w:left w:val="none" w:sz="0" w:space="0" w:color="auto"/>
        <w:bottom w:val="none" w:sz="0" w:space="0" w:color="auto"/>
        <w:right w:val="none" w:sz="0" w:space="0" w:color="auto"/>
      </w:divBdr>
    </w:div>
    <w:div w:id="800615449">
      <w:bodyDiv w:val="1"/>
      <w:marLeft w:val="0"/>
      <w:marRight w:val="0"/>
      <w:marTop w:val="0"/>
      <w:marBottom w:val="0"/>
      <w:divBdr>
        <w:top w:val="none" w:sz="0" w:space="0" w:color="auto"/>
        <w:left w:val="none" w:sz="0" w:space="0" w:color="auto"/>
        <w:bottom w:val="none" w:sz="0" w:space="0" w:color="auto"/>
        <w:right w:val="none" w:sz="0" w:space="0" w:color="auto"/>
      </w:divBdr>
    </w:div>
    <w:div w:id="801536833">
      <w:bodyDiv w:val="1"/>
      <w:marLeft w:val="0"/>
      <w:marRight w:val="0"/>
      <w:marTop w:val="0"/>
      <w:marBottom w:val="0"/>
      <w:divBdr>
        <w:top w:val="none" w:sz="0" w:space="0" w:color="auto"/>
        <w:left w:val="none" w:sz="0" w:space="0" w:color="auto"/>
        <w:bottom w:val="none" w:sz="0" w:space="0" w:color="auto"/>
        <w:right w:val="none" w:sz="0" w:space="0" w:color="auto"/>
      </w:divBdr>
    </w:div>
    <w:div w:id="811872828">
      <w:bodyDiv w:val="1"/>
      <w:marLeft w:val="0"/>
      <w:marRight w:val="0"/>
      <w:marTop w:val="0"/>
      <w:marBottom w:val="0"/>
      <w:divBdr>
        <w:top w:val="none" w:sz="0" w:space="0" w:color="auto"/>
        <w:left w:val="none" w:sz="0" w:space="0" w:color="auto"/>
        <w:bottom w:val="none" w:sz="0" w:space="0" w:color="auto"/>
        <w:right w:val="none" w:sz="0" w:space="0" w:color="auto"/>
      </w:divBdr>
    </w:div>
    <w:div w:id="814102507">
      <w:bodyDiv w:val="1"/>
      <w:marLeft w:val="0"/>
      <w:marRight w:val="0"/>
      <w:marTop w:val="0"/>
      <w:marBottom w:val="0"/>
      <w:divBdr>
        <w:top w:val="none" w:sz="0" w:space="0" w:color="auto"/>
        <w:left w:val="none" w:sz="0" w:space="0" w:color="auto"/>
        <w:bottom w:val="none" w:sz="0" w:space="0" w:color="auto"/>
        <w:right w:val="none" w:sz="0" w:space="0" w:color="auto"/>
      </w:divBdr>
    </w:div>
    <w:div w:id="816920951">
      <w:bodyDiv w:val="1"/>
      <w:marLeft w:val="0"/>
      <w:marRight w:val="0"/>
      <w:marTop w:val="0"/>
      <w:marBottom w:val="0"/>
      <w:divBdr>
        <w:top w:val="none" w:sz="0" w:space="0" w:color="auto"/>
        <w:left w:val="none" w:sz="0" w:space="0" w:color="auto"/>
        <w:bottom w:val="none" w:sz="0" w:space="0" w:color="auto"/>
        <w:right w:val="none" w:sz="0" w:space="0" w:color="auto"/>
      </w:divBdr>
    </w:div>
    <w:div w:id="829248177">
      <w:bodyDiv w:val="1"/>
      <w:marLeft w:val="0"/>
      <w:marRight w:val="0"/>
      <w:marTop w:val="0"/>
      <w:marBottom w:val="0"/>
      <w:divBdr>
        <w:top w:val="none" w:sz="0" w:space="0" w:color="auto"/>
        <w:left w:val="none" w:sz="0" w:space="0" w:color="auto"/>
        <w:bottom w:val="none" w:sz="0" w:space="0" w:color="auto"/>
        <w:right w:val="none" w:sz="0" w:space="0" w:color="auto"/>
      </w:divBdr>
    </w:div>
    <w:div w:id="832180297">
      <w:bodyDiv w:val="1"/>
      <w:marLeft w:val="0"/>
      <w:marRight w:val="0"/>
      <w:marTop w:val="0"/>
      <w:marBottom w:val="0"/>
      <w:divBdr>
        <w:top w:val="none" w:sz="0" w:space="0" w:color="auto"/>
        <w:left w:val="none" w:sz="0" w:space="0" w:color="auto"/>
        <w:bottom w:val="none" w:sz="0" w:space="0" w:color="auto"/>
        <w:right w:val="none" w:sz="0" w:space="0" w:color="auto"/>
      </w:divBdr>
    </w:div>
    <w:div w:id="842939577">
      <w:bodyDiv w:val="1"/>
      <w:marLeft w:val="0"/>
      <w:marRight w:val="0"/>
      <w:marTop w:val="0"/>
      <w:marBottom w:val="0"/>
      <w:divBdr>
        <w:top w:val="none" w:sz="0" w:space="0" w:color="auto"/>
        <w:left w:val="none" w:sz="0" w:space="0" w:color="auto"/>
        <w:bottom w:val="none" w:sz="0" w:space="0" w:color="auto"/>
        <w:right w:val="none" w:sz="0" w:space="0" w:color="auto"/>
      </w:divBdr>
    </w:div>
    <w:div w:id="843517963">
      <w:bodyDiv w:val="1"/>
      <w:marLeft w:val="0"/>
      <w:marRight w:val="0"/>
      <w:marTop w:val="0"/>
      <w:marBottom w:val="0"/>
      <w:divBdr>
        <w:top w:val="none" w:sz="0" w:space="0" w:color="auto"/>
        <w:left w:val="none" w:sz="0" w:space="0" w:color="auto"/>
        <w:bottom w:val="none" w:sz="0" w:space="0" w:color="auto"/>
        <w:right w:val="none" w:sz="0" w:space="0" w:color="auto"/>
      </w:divBdr>
    </w:div>
    <w:div w:id="844247527">
      <w:bodyDiv w:val="1"/>
      <w:marLeft w:val="0"/>
      <w:marRight w:val="0"/>
      <w:marTop w:val="0"/>
      <w:marBottom w:val="0"/>
      <w:divBdr>
        <w:top w:val="none" w:sz="0" w:space="0" w:color="auto"/>
        <w:left w:val="none" w:sz="0" w:space="0" w:color="auto"/>
        <w:bottom w:val="none" w:sz="0" w:space="0" w:color="auto"/>
        <w:right w:val="none" w:sz="0" w:space="0" w:color="auto"/>
      </w:divBdr>
    </w:div>
    <w:div w:id="844713467">
      <w:bodyDiv w:val="1"/>
      <w:marLeft w:val="0"/>
      <w:marRight w:val="0"/>
      <w:marTop w:val="0"/>
      <w:marBottom w:val="0"/>
      <w:divBdr>
        <w:top w:val="none" w:sz="0" w:space="0" w:color="auto"/>
        <w:left w:val="none" w:sz="0" w:space="0" w:color="auto"/>
        <w:bottom w:val="none" w:sz="0" w:space="0" w:color="auto"/>
        <w:right w:val="none" w:sz="0" w:space="0" w:color="auto"/>
      </w:divBdr>
    </w:div>
    <w:div w:id="847139834">
      <w:bodyDiv w:val="1"/>
      <w:marLeft w:val="0"/>
      <w:marRight w:val="0"/>
      <w:marTop w:val="0"/>
      <w:marBottom w:val="0"/>
      <w:divBdr>
        <w:top w:val="none" w:sz="0" w:space="0" w:color="auto"/>
        <w:left w:val="none" w:sz="0" w:space="0" w:color="auto"/>
        <w:bottom w:val="none" w:sz="0" w:space="0" w:color="auto"/>
        <w:right w:val="none" w:sz="0" w:space="0" w:color="auto"/>
      </w:divBdr>
    </w:div>
    <w:div w:id="848061011">
      <w:bodyDiv w:val="1"/>
      <w:marLeft w:val="0"/>
      <w:marRight w:val="0"/>
      <w:marTop w:val="0"/>
      <w:marBottom w:val="0"/>
      <w:divBdr>
        <w:top w:val="none" w:sz="0" w:space="0" w:color="auto"/>
        <w:left w:val="none" w:sz="0" w:space="0" w:color="auto"/>
        <w:bottom w:val="none" w:sz="0" w:space="0" w:color="auto"/>
        <w:right w:val="none" w:sz="0" w:space="0" w:color="auto"/>
      </w:divBdr>
    </w:div>
    <w:div w:id="854686629">
      <w:bodyDiv w:val="1"/>
      <w:marLeft w:val="0"/>
      <w:marRight w:val="0"/>
      <w:marTop w:val="0"/>
      <w:marBottom w:val="0"/>
      <w:divBdr>
        <w:top w:val="none" w:sz="0" w:space="0" w:color="auto"/>
        <w:left w:val="none" w:sz="0" w:space="0" w:color="auto"/>
        <w:bottom w:val="none" w:sz="0" w:space="0" w:color="auto"/>
        <w:right w:val="none" w:sz="0" w:space="0" w:color="auto"/>
      </w:divBdr>
    </w:div>
    <w:div w:id="854852426">
      <w:bodyDiv w:val="1"/>
      <w:marLeft w:val="0"/>
      <w:marRight w:val="0"/>
      <w:marTop w:val="0"/>
      <w:marBottom w:val="0"/>
      <w:divBdr>
        <w:top w:val="none" w:sz="0" w:space="0" w:color="auto"/>
        <w:left w:val="none" w:sz="0" w:space="0" w:color="auto"/>
        <w:bottom w:val="none" w:sz="0" w:space="0" w:color="auto"/>
        <w:right w:val="none" w:sz="0" w:space="0" w:color="auto"/>
      </w:divBdr>
    </w:div>
    <w:div w:id="861746065">
      <w:bodyDiv w:val="1"/>
      <w:marLeft w:val="0"/>
      <w:marRight w:val="0"/>
      <w:marTop w:val="0"/>
      <w:marBottom w:val="0"/>
      <w:divBdr>
        <w:top w:val="none" w:sz="0" w:space="0" w:color="auto"/>
        <w:left w:val="none" w:sz="0" w:space="0" w:color="auto"/>
        <w:bottom w:val="none" w:sz="0" w:space="0" w:color="auto"/>
        <w:right w:val="none" w:sz="0" w:space="0" w:color="auto"/>
      </w:divBdr>
    </w:div>
    <w:div w:id="874076804">
      <w:bodyDiv w:val="1"/>
      <w:marLeft w:val="0"/>
      <w:marRight w:val="0"/>
      <w:marTop w:val="0"/>
      <w:marBottom w:val="0"/>
      <w:divBdr>
        <w:top w:val="none" w:sz="0" w:space="0" w:color="auto"/>
        <w:left w:val="none" w:sz="0" w:space="0" w:color="auto"/>
        <w:bottom w:val="none" w:sz="0" w:space="0" w:color="auto"/>
        <w:right w:val="none" w:sz="0" w:space="0" w:color="auto"/>
      </w:divBdr>
    </w:div>
    <w:div w:id="876744041">
      <w:bodyDiv w:val="1"/>
      <w:marLeft w:val="0"/>
      <w:marRight w:val="0"/>
      <w:marTop w:val="0"/>
      <w:marBottom w:val="0"/>
      <w:divBdr>
        <w:top w:val="none" w:sz="0" w:space="0" w:color="auto"/>
        <w:left w:val="none" w:sz="0" w:space="0" w:color="auto"/>
        <w:bottom w:val="none" w:sz="0" w:space="0" w:color="auto"/>
        <w:right w:val="none" w:sz="0" w:space="0" w:color="auto"/>
      </w:divBdr>
    </w:div>
    <w:div w:id="883828880">
      <w:bodyDiv w:val="1"/>
      <w:marLeft w:val="0"/>
      <w:marRight w:val="0"/>
      <w:marTop w:val="0"/>
      <w:marBottom w:val="0"/>
      <w:divBdr>
        <w:top w:val="none" w:sz="0" w:space="0" w:color="auto"/>
        <w:left w:val="none" w:sz="0" w:space="0" w:color="auto"/>
        <w:bottom w:val="none" w:sz="0" w:space="0" w:color="auto"/>
        <w:right w:val="none" w:sz="0" w:space="0" w:color="auto"/>
      </w:divBdr>
    </w:div>
    <w:div w:id="884952340">
      <w:bodyDiv w:val="1"/>
      <w:marLeft w:val="0"/>
      <w:marRight w:val="0"/>
      <w:marTop w:val="0"/>
      <w:marBottom w:val="0"/>
      <w:divBdr>
        <w:top w:val="none" w:sz="0" w:space="0" w:color="auto"/>
        <w:left w:val="none" w:sz="0" w:space="0" w:color="auto"/>
        <w:bottom w:val="none" w:sz="0" w:space="0" w:color="auto"/>
        <w:right w:val="none" w:sz="0" w:space="0" w:color="auto"/>
      </w:divBdr>
    </w:div>
    <w:div w:id="894702197">
      <w:bodyDiv w:val="1"/>
      <w:marLeft w:val="0"/>
      <w:marRight w:val="0"/>
      <w:marTop w:val="0"/>
      <w:marBottom w:val="0"/>
      <w:divBdr>
        <w:top w:val="none" w:sz="0" w:space="0" w:color="auto"/>
        <w:left w:val="none" w:sz="0" w:space="0" w:color="auto"/>
        <w:bottom w:val="none" w:sz="0" w:space="0" w:color="auto"/>
        <w:right w:val="none" w:sz="0" w:space="0" w:color="auto"/>
      </w:divBdr>
      <w:divsChild>
        <w:div w:id="470102971">
          <w:marLeft w:val="0"/>
          <w:marRight w:val="0"/>
          <w:marTop w:val="0"/>
          <w:marBottom w:val="0"/>
          <w:divBdr>
            <w:top w:val="none" w:sz="0" w:space="0" w:color="auto"/>
            <w:left w:val="none" w:sz="0" w:space="0" w:color="auto"/>
            <w:bottom w:val="none" w:sz="0" w:space="0" w:color="auto"/>
            <w:right w:val="none" w:sz="0" w:space="0" w:color="auto"/>
          </w:divBdr>
          <w:divsChild>
            <w:div w:id="153424325">
              <w:marLeft w:val="0"/>
              <w:marRight w:val="0"/>
              <w:marTop w:val="0"/>
              <w:marBottom w:val="0"/>
              <w:divBdr>
                <w:top w:val="none" w:sz="0" w:space="0" w:color="auto"/>
                <w:left w:val="none" w:sz="0" w:space="0" w:color="auto"/>
                <w:bottom w:val="none" w:sz="0" w:space="0" w:color="auto"/>
                <w:right w:val="none" w:sz="0" w:space="0" w:color="auto"/>
              </w:divBdr>
            </w:div>
            <w:div w:id="1062102811">
              <w:marLeft w:val="0"/>
              <w:marRight w:val="0"/>
              <w:marTop w:val="0"/>
              <w:marBottom w:val="0"/>
              <w:divBdr>
                <w:top w:val="none" w:sz="0" w:space="0" w:color="auto"/>
                <w:left w:val="none" w:sz="0" w:space="0" w:color="auto"/>
                <w:bottom w:val="none" w:sz="0" w:space="0" w:color="auto"/>
                <w:right w:val="none" w:sz="0" w:space="0" w:color="auto"/>
              </w:divBdr>
            </w:div>
            <w:div w:id="288627263">
              <w:marLeft w:val="0"/>
              <w:marRight w:val="0"/>
              <w:marTop w:val="0"/>
              <w:marBottom w:val="0"/>
              <w:divBdr>
                <w:top w:val="none" w:sz="0" w:space="0" w:color="auto"/>
                <w:left w:val="none" w:sz="0" w:space="0" w:color="auto"/>
                <w:bottom w:val="none" w:sz="0" w:space="0" w:color="auto"/>
                <w:right w:val="none" w:sz="0" w:space="0" w:color="auto"/>
              </w:divBdr>
            </w:div>
            <w:div w:id="2033333051">
              <w:marLeft w:val="0"/>
              <w:marRight w:val="0"/>
              <w:marTop w:val="0"/>
              <w:marBottom w:val="0"/>
              <w:divBdr>
                <w:top w:val="none" w:sz="0" w:space="0" w:color="auto"/>
                <w:left w:val="none" w:sz="0" w:space="0" w:color="auto"/>
                <w:bottom w:val="none" w:sz="0" w:space="0" w:color="auto"/>
                <w:right w:val="none" w:sz="0" w:space="0" w:color="auto"/>
              </w:divBdr>
            </w:div>
            <w:div w:id="1832715175">
              <w:marLeft w:val="0"/>
              <w:marRight w:val="0"/>
              <w:marTop w:val="0"/>
              <w:marBottom w:val="0"/>
              <w:divBdr>
                <w:top w:val="none" w:sz="0" w:space="0" w:color="auto"/>
                <w:left w:val="none" w:sz="0" w:space="0" w:color="auto"/>
                <w:bottom w:val="none" w:sz="0" w:space="0" w:color="auto"/>
                <w:right w:val="none" w:sz="0" w:space="0" w:color="auto"/>
              </w:divBdr>
            </w:div>
            <w:div w:id="7286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74259">
      <w:bodyDiv w:val="1"/>
      <w:marLeft w:val="0"/>
      <w:marRight w:val="0"/>
      <w:marTop w:val="0"/>
      <w:marBottom w:val="0"/>
      <w:divBdr>
        <w:top w:val="none" w:sz="0" w:space="0" w:color="auto"/>
        <w:left w:val="none" w:sz="0" w:space="0" w:color="auto"/>
        <w:bottom w:val="none" w:sz="0" w:space="0" w:color="auto"/>
        <w:right w:val="none" w:sz="0" w:space="0" w:color="auto"/>
      </w:divBdr>
    </w:div>
    <w:div w:id="915479219">
      <w:bodyDiv w:val="1"/>
      <w:marLeft w:val="0"/>
      <w:marRight w:val="0"/>
      <w:marTop w:val="0"/>
      <w:marBottom w:val="0"/>
      <w:divBdr>
        <w:top w:val="none" w:sz="0" w:space="0" w:color="auto"/>
        <w:left w:val="none" w:sz="0" w:space="0" w:color="auto"/>
        <w:bottom w:val="none" w:sz="0" w:space="0" w:color="auto"/>
        <w:right w:val="none" w:sz="0" w:space="0" w:color="auto"/>
      </w:divBdr>
    </w:div>
    <w:div w:id="930508696">
      <w:bodyDiv w:val="1"/>
      <w:marLeft w:val="0"/>
      <w:marRight w:val="0"/>
      <w:marTop w:val="0"/>
      <w:marBottom w:val="0"/>
      <w:divBdr>
        <w:top w:val="none" w:sz="0" w:space="0" w:color="auto"/>
        <w:left w:val="none" w:sz="0" w:space="0" w:color="auto"/>
        <w:bottom w:val="none" w:sz="0" w:space="0" w:color="auto"/>
        <w:right w:val="none" w:sz="0" w:space="0" w:color="auto"/>
      </w:divBdr>
    </w:div>
    <w:div w:id="935334405">
      <w:bodyDiv w:val="1"/>
      <w:marLeft w:val="0"/>
      <w:marRight w:val="0"/>
      <w:marTop w:val="0"/>
      <w:marBottom w:val="0"/>
      <w:divBdr>
        <w:top w:val="none" w:sz="0" w:space="0" w:color="auto"/>
        <w:left w:val="none" w:sz="0" w:space="0" w:color="auto"/>
        <w:bottom w:val="none" w:sz="0" w:space="0" w:color="auto"/>
        <w:right w:val="none" w:sz="0" w:space="0" w:color="auto"/>
      </w:divBdr>
    </w:div>
    <w:div w:id="939608566">
      <w:bodyDiv w:val="1"/>
      <w:marLeft w:val="0"/>
      <w:marRight w:val="0"/>
      <w:marTop w:val="0"/>
      <w:marBottom w:val="0"/>
      <w:divBdr>
        <w:top w:val="none" w:sz="0" w:space="0" w:color="auto"/>
        <w:left w:val="none" w:sz="0" w:space="0" w:color="auto"/>
        <w:bottom w:val="none" w:sz="0" w:space="0" w:color="auto"/>
        <w:right w:val="none" w:sz="0" w:space="0" w:color="auto"/>
      </w:divBdr>
    </w:div>
    <w:div w:id="953290817">
      <w:bodyDiv w:val="1"/>
      <w:marLeft w:val="0"/>
      <w:marRight w:val="0"/>
      <w:marTop w:val="0"/>
      <w:marBottom w:val="0"/>
      <w:divBdr>
        <w:top w:val="none" w:sz="0" w:space="0" w:color="auto"/>
        <w:left w:val="none" w:sz="0" w:space="0" w:color="auto"/>
        <w:bottom w:val="none" w:sz="0" w:space="0" w:color="auto"/>
        <w:right w:val="none" w:sz="0" w:space="0" w:color="auto"/>
      </w:divBdr>
    </w:div>
    <w:div w:id="953898466">
      <w:bodyDiv w:val="1"/>
      <w:marLeft w:val="0"/>
      <w:marRight w:val="0"/>
      <w:marTop w:val="0"/>
      <w:marBottom w:val="0"/>
      <w:divBdr>
        <w:top w:val="none" w:sz="0" w:space="0" w:color="auto"/>
        <w:left w:val="none" w:sz="0" w:space="0" w:color="auto"/>
        <w:bottom w:val="none" w:sz="0" w:space="0" w:color="auto"/>
        <w:right w:val="none" w:sz="0" w:space="0" w:color="auto"/>
      </w:divBdr>
    </w:div>
    <w:div w:id="956452376">
      <w:bodyDiv w:val="1"/>
      <w:marLeft w:val="0"/>
      <w:marRight w:val="0"/>
      <w:marTop w:val="0"/>
      <w:marBottom w:val="0"/>
      <w:divBdr>
        <w:top w:val="none" w:sz="0" w:space="0" w:color="auto"/>
        <w:left w:val="none" w:sz="0" w:space="0" w:color="auto"/>
        <w:bottom w:val="none" w:sz="0" w:space="0" w:color="auto"/>
        <w:right w:val="none" w:sz="0" w:space="0" w:color="auto"/>
      </w:divBdr>
    </w:div>
    <w:div w:id="961958006">
      <w:bodyDiv w:val="1"/>
      <w:marLeft w:val="0"/>
      <w:marRight w:val="0"/>
      <w:marTop w:val="0"/>
      <w:marBottom w:val="0"/>
      <w:divBdr>
        <w:top w:val="none" w:sz="0" w:space="0" w:color="auto"/>
        <w:left w:val="none" w:sz="0" w:space="0" w:color="auto"/>
        <w:bottom w:val="none" w:sz="0" w:space="0" w:color="auto"/>
        <w:right w:val="none" w:sz="0" w:space="0" w:color="auto"/>
      </w:divBdr>
    </w:div>
    <w:div w:id="971710001">
      <w:bodyDiv w:val="1"/>
      <w:marLeft w:val="0"/>
      <w:marRight w:val="0"/>
      <w:marTop w:val="0"/>
      <w:marBottom w:val="0"/>
      <w:divBdr>
        <w:top w:val="none" w:sz="0" w:space="0" w:color="auto"/>
        <w:left w:val="none" w:sz="0" w:space="0" w:color="auto"/>
        <w:bottom w:val="none" w:sz="0" w:space="0" w:color="auto"/>
        <w:right w:val="none" w:sz="0" w:space="0" w:color="auto"/>
      </w:divBdr>
    </w:div>
    <w:div w:id="975141408">
      <w:bodyDiv w:val="1"/>
      <w:marLeft w:val="0"/>
      <w:marRight w:val="0"/>
      <w:marTop w:val="0"/>
      <w:marBottom w:val="0"/>
      <w:divBdr>
        <w:top w:val="none" w:sz="0" w:space="0" w:color="auto"/>
        <w:left w:val="none" w:sz="0" w:space="0" w:color="auto"/>
        <w:bottom w:val="none" w:sz="0" w:space="0" w:color="auto"/>
        <w:right w:val="none" w:sz="0" w:space="0" w:color="auto"/>
      </w:divBdr>
    </w:div>
    <w:div w:id="977417337">
      <w:bodyDiv w:val="1"/>
      <w:marLeft w:val="0"/>
      <w:marRight w:val="0"/>
      <w:marTop w:val="0"/>
      <w:marBottom w:val="0"/>
      <w:divBdr>
        <w:top w:val="none" w:sz="0" w:space="0" w:color="auto"/>
        <w:left w:val="none" w:sz="0" w:space="0" w:color="auto"/>
        <w:bottom w:val="none" w:sz="0" w:space="0" w:color="auto"/>
        <w:right w:val="none" w:sz="0" w:space="0" w:color="auto"/>
      </w:divBdr>
    </w:div>
    <w:div w:id="984436466">
      <w:bodyDiv w:val="1"/>
      <w:marLeft w:val="0"/>
      <w:marRight w:val="0"/>
      <w:marTop w:val="0"/>
      <w:marBottom w:val="0"/>
      <w:divBdr>
        <w:top w:val="none" w:sz="0" w:space="0" w:color="auto"/>
        <w:left w:val="none" w:sz="0" w:space="0" w:color="auto"/>
        <w:bottom w:val="none" w:sz="0" w:space="0" w:color="auto"/>
        <w:right w:val="none" w:sz="0" w:space="0" w:color="auto"/>
      </w:divBdr>
    </w:div>
    <w:div w:id="998771210">
      <w:bodyDiv w:val="1"/>
      <w:marLeft w:val="0"/>
      <w:marRight w:val="0"/>
      <w:marTop w:val="0"/>
      <w:marBottom w:val="0"/>
      <w:divBdr>
        <w:top w:val="none" w:sz="0" w:space="0" w:color="auto"/>
        <w:left w:val="none" w:sz="0" w:space="0" w:color="auto"/>
        <w:bottom w:val="none" w:sz="0" w:space="0" w:color="auto"/>
        <w:right w:val="none" w:sz="0" w:space="0" w:color="auto"/>
      </w:divBdr>
    </w:div>
    <w:div w:id="1004210754">
      <w:bodyDiv w:val="1"/>
      <w:marLeft w:val="0"/>
      <w:marRight w:val="0"/>
      <w:marTop w:val="0"/>
      <w:marBottom w:val="0"/>
      <w:divBdr>
        <w:top w:val="none" w:sz="0" w:space="0" w:color="auto"/>
        <w:left w:val="none" w:sz="0" w:space="0" w:color="auto"/>
        <w:bottom w:val="none" w:sz="0" w:space="0" w:color="auto"/>
        <w:right w:val="none" w:sz="0" w:space="0" w:color="auto"/>
      </w:divBdr>
    </w:div>
    <w:div w:id="1008943097">
      <w:bodyDiv w:val="1"/>
      <w:marLeft w:val="0"/>
      <w:marRight w:val="0"/>
      <w:marTop w:val="0"/>
      <w:marBottom w:val="0"/>
      <w:divBdr>
        <w:top w:val="none" w:sz="0" w:space="0" w:color="auto"/>
        <w:left w:val="none" w:sz="0" w:space="0" w:color="auto"/>
        <w:bottom w:val="none" w:sz="0" w:space="0" w:color="auto"/>
        <w:right w:val="none" w:sz="0" w:space="0" w:color="auto"/>
      </w:divBdr>
    </w:div>
    <w:div w:id="1024550822">
      <w:bodyDiv w:val="1"/>
      <w:marLeft w:val="0"/>
      <w:marRight w:val="0"/>
      <w:marTop w:val="0"/>
      <w:marBottom w:val="0"/>
      <w:divBdr>
        <w:top w:val="none" w:sz="0" w:space="0" w:color="auto"/>
        <w:left w:val="none" w:sz="0" w:space="0" w:color="auto"/>
        <w:bottom w:val="none" w:sz="0" w:space="0" w:color="auto"/>
        <w:right w:val="none" w:sz="0" w:space="0" w:color="auto"/>
      </w:divBdr>
    </w:div>
    <w:div w:id="1038972814">
      <w:bodyDiv w:val="1"/>
      <w:marLeft w:val="0"/>
      <w:marRight w:val="0"/>
      <w:marTop w:val="0"/>
      <w:marBottom w:val="0"/>
      <w:divBdr>
        <w:top w:val="none" w:sz="0" w:space="0" w:color="auto"/>
        <w:left w:val="none" w:sz="0" w:space="0" w:color="auto"/>
        <w:bottom w:val="none" w:sz="0" w:space="0" w:color="auto"/>
        <w:right w:val="none" w:sz="0" w:space="0" w:color="auto"/>
      </w:divBdr>
    </w:div>
    <w:div w:id="1043942638">
      <w:bodyDiv w:val="1"/>
      <w:marLeft w:val="0"/>
      <w:marRight w:val="0"/>
      <w:marTop w:val="0"/>
      <w:marBottom w:val="0"/>
      <w:divBdr>
        <w:top w:val="none" w:sz="0" w:space="0" w:color="auto"/>
        <w:left w:val="none" w:sz="0" w:space="0" w:color="auto"/>
        <w:bottom w:val="none" w:sz="0" w:space="0" w:color="auto"/>
        <w:right w:val="none" w:sz="0" w:space="0" w:color="auto"/>
      </w:divBdr>
    </w:div>
    <w:div w:id="1044448452">
      <w:bodyDiv w:val="1"/>
      <w:marLeft w:val="0"/>
      <w:marRight w:val="0"/>
      <w:marTop w:val="0"/>
      <w:marBottom w:val="0"/>
      <w:divBdr>
        <w:top w:val="none" w:sz="0" w:space="0" w:color="auto"/>
        <w:left w:val="none" w:sz="0" w:space="0" w:color="auto"/>
        <w:bottom w:val="none" w:sz="0" w:space="0" w:color="auto"/>
        <w:right w:val="none" w:sz="0" w:space="0" w:color="auto"/>
      </w:divBdr>
    </w:div>
    <w:div w:id="1044676100">
      <w:bodyDiv w:val="1"/>
      <w:marLeft w:val="0"/>
      <w:marRight w:val="0"/>
      <w:marTop w:val="0"/>
      <w:marBottom w:val="0"/>
      <w:divBdr>
        <w:top w:val="none" w:sz="0" w:space="0" w:color="auto"/>
        <w:left w:val="none" w:sz="0" w:space="0" w:color="auto"/>
        <w:bottom w:val="none" w:sz="0" w:space="0" w:color="auto"/>
        <w:right w:val="none" w:sz="0" w:space="0" w:color="auto"/>
      </w:divBdr>
    </w:div>
    <w:div w:id="1081026835">
      <w:bodyDiv w:val="1"/>
      <w:marLeft w:val="0"/>
      <w:marRight w:val="0"/>
      <w:marTop w:val="0"/>
      <w:marBottom w:val="0"/>
      <w:divBdr>
        <w:top w:val="none" w:sz="0" w:space="0" w:color="auto"/>
        <w:left w:val="none" w:sz="0" w:space="0" w:color="auto"/>
        <w:bottom w:val="none" w:sz="0" w:space="0" w:color="auto"/>
        <w:right w:val="none" w:sz="0" w:space="0" w:color="auto"/>
      </w:divBdr>
    </w:div>
    <w:div w:id="1083064014">
      <w:bodyDiv w:val="1"/>
      <w:marLeft w:val="0"/>
      <w:marRight w:val="0"/>
      <w:marTop w:val="0"/>
      <w:marBottom w:val="0"/>
      <w:divBdr>
        <w:top w:val="none" w:sz="0" w:space="0" w:color="auto"/>
        <w:left w:val="none" w:sz="0" w:space="0" w:color="auto"/>
        <w:bottom w:val="none" w:sz="0" w:space="0" w:color="auto"/>
        <w:right w:val="none" w:sz="0" w:space="0" w:color="auto"/>
      </w:divBdr>
    </w:div>
    <w:div w:id="1108085924">
      <w:bodyDiv w:val="1"/>
      <w:marLeft w:val="0"/>
      <w:marRight w:val="0"/>
      <w:marTop w:val="0"/>
      <w:marBottom w:val="0"/>
      <w:divBdr>
        <w:top w:val="none" w:sz="0" w:space="0" w:color="auto"/>
        <w:left w:val="none" w:sz="0" w:space="0" w:color="auto"/>
        <w:bottom w:val="none" w:sz="0" w:space="0" w:color="auto"/>
        <w:right w:val="none" w:sz="0" w:space="0" w:color="auto"/>
      </w:divBdr>
    </w:div>
    <w:div w:id="1134908219">
      <w:bodyDiv w:val="1"/>
      <w:marLeft w:val="0"/>
      <w:marRight w:val="0"/>
      <w:marTop w:val="0"/>
      <w:marBottom w:val="0"/>
      <w:divBdr>
        <w:top w:val="none" w:sz="0" w:space="0" w:color="auto"/>
        <w:left w:val="none" w:sz="0" w:space="0" w:color="auto"/>
        <w:bottom w:val="none" w:sz="0" w:space="0" w:color="auto"/>
        <w:right w:val="none" w:sz="0" w:space="0" w:color="auto"/>
      </w:divBdr>
    </w:div>
    <w:div w:id="1159730883">
      <w:bodyDiv w:val="1"/>
      <w:marLeft w:val="0"/>
      <w:marRight w:val="0"/>
      <w:marTop w:val="0"/>
      <w:marBottom w:val="0"/>
      <w:divBdr>
        <w:top w:val="none" w:sz="0" w:space="0" w:color="auto"/>
        <w:left w:val="none" w:sz="0" w:space="0" w:color="auto"/>
        <w:bottom w:val="none" w:sz="0" w:space="0" w:color="auto"/>
        <w:right w:val="none" w:sz="0" w:space="0" w:color="auto"/>
      </w:divBdr>
      <w:divsChild>
        <w:div w:id="1645281438">
          <w:marLeft w:val="0"/>
          <w:marRight w:val="0"/>
          <w:marTop w:val="0"/>
          <w:marBottom w:val="0"/>
          <w:divBdr>
            <w:top w:val="none" w:sz="0" w:space="0" w:color="auto"/>
            <w:left w:val="none" w:sz="0" w:space="0" w:color="auto"/>
            <w:bottom w:val="none" w:sz="0" w:space="0" w:color="auto"/>
            <w:right w:val="none" w:sz="0" w:space="0" w:color="auto"/>
          </w:divBdr>
          <w:divsChild>
            <w:div w:id="275018259">
              <w:marLeft w:val="0"/>
              <w:marRight w:val="0"/>
              <w:marTop w:val="0"/>
              <w:marBottom w:val="0"/>
              <w:divBdr>
                <w:top w:val="none" w:sz="0" w:space="0" w:color="auto"/>
                <w:left w:val="none" w:sz="0" w:space="0" w:color="auto"/>
                <w:bottom w:val="none" w:sz="0" w:space="0" w:color="auto"/>
                <w:right w:val="none" w:sz="0" w:space="0" w:color="auto"/>
              </w:divBdr>
              <w:divsChild>
                <w:div w:id="1493527660">
                  <w:marLeft w:val="0"/>
                  <w:marRight w:val="0"/>
                  <w:marTop w:val="0"/>
                  <w:marBottom w:val="0"/>
                  <w:divBdr>
                    <w:top w:val="none" w:sz="0" w:space="0" w:color="auto"/>
                    <w:left w:val="none" w:sz="0" w:space="0" w:color="auto"/>
                    <w:bottom w:val="none" w:sz="0" w:space="0" w:color="auto"/>
                    <w:right w:val="none" w:sz="0" w:space="0" w:color="auto"/>
                  </w:divBdr>
                  <w:divsChild>
                    <w:div w:id="20383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622647">
      <w:bodyDiv w:val="1"/>
      <w:marLeft w:val="0"/>
      <w:marRight w:val="0"/>
      <w:marTop w:val="0"/>
      <w:marBottom w:val="0"/>
      <w:divBdr>
        <w:top w:val="none" w:sz="0" w:space="0" w:color="auto"/>
        <w:left w:val="none" w:sz="0" w:space="0" w:color="auto"/>
        <w:bottom w:val="none" w:sz="0" w:space="0" w:color="auto"/>
        <w:right w:val="none" w:sz="0" w:space="0" w:color="auto"/>
      </w:divBdr>
    </w:div>
    <w:div w:id="1191533462">
      <w:bodyDiv w:val="1"/>
      <w:marLeft w:val="0"/>
      <w:marRight w:val="0"/>
      <w:marTop w:val="0"/>
      <w:marBottom w:val="0"/>
      <w:divBdr>
        <w:top w:val="none" w:sz="0" w:space="0" w:color="auto"/>
        <w:left w:val="none" w:sz="0" w:space="0" w:color="auto"/>
        <w:bottom w:val="none" w:sz="0" w:space="0" w:color="auto"/>
        <w:right w:val="none" w:sz="0" w:space="0" w:color="auto"/>
      </w:divBdr>
    </w:div>
    <w:div w:id="1202283171">
      <w:bodyDiv w:val="1"/>
      <w:marLeft w:val="0"/>
      <w:marRight w:val="0"/>
      <w:marTop w:val="0"/>
      <w:marBottom w:val="0"/>
      <w:divBdr>
        <w:top w:val="none" w:sz="0" w:space="0" w:color="auto"/>
        <w:left w:val="none" w:sz="0" w:space="0" w:color="auto"/>
        <w:bottom w:val="none" w:sz="0" w:space="0" w:color="auto"/>
        <w:right w:val="none" w:sz="0" w:space="0" w:color="auto"/>
      </w:divBdr>
    </w:div>
    <w:div w:id="1211529893">
      <w:bodyDiv w:val="1"/>
      <w:marLeft w:val="0"/>
      <w:marRight w:val="0"/>
      <w:marTop w:val="0"/>
      <w:marBottom w:val="0"/>
      <w:divBdr>
        <w:top w:val="none" w:sz="0" w:space="0" w:color="auto"/>
        <w:left w:val="none" w:sz="0" w:space="0" w:color="auto"/>
        <w:bottom w:val="none" w:sz="0" w:space="0" w:color="auto"/>
        <w:right w:val="none" w:sz="0" w:space="0" w:color="auto"/>
      </w:divBdr>
    </w:div>
    <w:div w:id="1252394475">
      <w:bodyDiv w:val="1"/>
      <w:marLeft w:val="0"/>
      <w:marRight w:val="0"/>
      <w:marTop w:val="0"/>
      <w:marBottom w:val="0"/>
      <w:divBdr>
        <w:top w:val="none" w:sz="0" w:space="0" w:color="auto"/>
        <w:left w:val="none" w:sz="0" w:space="0" w:color="auto"/>
        <w:bottom w:val="none" w:sz="0" w:space="0" w:color="auto"/>
        <w:right w:val="none" w:sz="0" w:space="0" w:color="auto"/>
      </w:divBdr>
    </w:div>
    <w:div w:id="1267419188">
      <w:bodyDiv w:val="1"/>
      <w:marLeft w:val="0"/>
      <w:marRight w:val="0"/>
      <w:marTop w:val="0"/>
      <w:marBottom w:val="0"/>
      <w:divBdr>
        <w:top w:val="none" w:sz="0" w:space="0" w:color="auto"/>
        <w:left w:val="none" w:sz="0" w:space="0" w:color="auto"/>
        <w:bottom w:val="none" w:sz="0" w:space="0" w:color="auto"/>
        <w:right w:val="none" w:sz="0" w:space="0" w:color="auto"/>
      </w:divBdr>
      <w:divsChild>
        <w:div w:id="2070571670">
          <w:marLeft w:val="0"/>
          <w:marRight w:val="0"/>
          <w:marTop w:val="0"/>
          <w:marBottom w:val="0"/>
          <w:divBdr>
            <w:top w:val="none" w:sz="0" w:space="0" w:color="auto"/>
            <w:left w:val="none" w:sz="0" w:space="0" w:color="auto"/>
            <w:bottom w:val="none" w:sz="0" w:space="0" w:color="auto"/>
            <w:right w:val="none" w:sz="0" w:space="0" w:color="auto"/>
          </w:divBdr>
          <w:divsChild>
            <w:div w:id="188109320">
              <w:marLeft w:val="0"/>
              <w:marRight w:val="0"/>
              <w:marTop w:val="0"/>
              <w:marBottom w:val="0"/>
              <w:divBdr>
                <w:top w:val="none" w:sz="0" w:space="0" w:color="auto"/>
                <w:left w:val="none" w:sz="0" w:space="0" w:color="auto"/>
                <w:bottom w:val="none" w:sz="0" w:space="0" w:color="auto"/>
                <w:right w:val="none" w:sz="0" w:space="0" w:color="auto"/>
              </w:divBdr>
              <w:divsChild>
                <w:div w:id="1002270785">
                  <w:marLeft w:val="0"/>
                  <w:marRight w:val="0"/>
                  <w:marTop w:val="0"/>
                  <w:marBottom w:val="0"/>
                  <w:divBdr>
                    <w:top w:val="none" w:sz="0" w:space="0" w:color="auto"/>
                    <w:left w:val="none" w:sz="0" w:space="0" w:color="auto"/>
                    <w:bottom w:val="none" w:sz="0" w:space="0" w:color="auto"/>
                    <w:right w:val="none" w:sz="0" w:space="0" w:color="auto"/>
                  </w:divBdr>
                  <w:divsChild>
                    <w:div w:id="1619142938">
                      <w:marLeft w:val="0"/>
                      <w:marRight w:val="0"/>
                      <w:marTop w:val="0"/>
                      <w:marBottom w:val="0"/>
                      <w:divBdr>
                        <w:top w:val="none" w:sz="0" w:space="0" w:color="auto"/>
                        <w:left w:val="none" w:sz="0" w:space="0" w:color="auto"/>
                        <w:bottom w:val="none" w:sz="0" w:space="0" w:color="auto"/>
                        <w:right w:val="none" w:sz="0" w:space="0" w:color="auto"/>
                      </w:divBdr>
                    </w:div>
                    <w:div w:id="1609970312">
                      <w:marLeft w:val="0"/>
                      <w:marRight w:val="0"/>
                      <w:marTop w:val="0"/>
                      <w:marBottom w:val="0"/>
                      <w:divBdr>
                        <w:top w:val="none" w:sz="0" w:space="0" w:color="auto"/>
                        <w:left w:val="none" w:sz="0" w:space="0" w:color="auto"/>
                        <w:bottom w:val="none" w:sz="0" w:space="0" w:color="auto"/>
                        <w:right w:val="none" w:sz="0" w:space="0" w:color="auto"/>
                      </w:divBdr>
                    </w:div>
                    <w:div w:id="641081238">
                      <w:marLeft w:val="0"/>
                      <w:marRight w:val="0"/>
                      <w:marTop w:val="0"/>
                      <w:marBottom w:val="0"/>
                      <w:divBdr>
                        <w:top w:val="none" w:sz="0" w:space="0" w:color="auto"/>
                        <w:left w:val="none" w:sz="0" w:space="0" w:color="auto"/>
                        <w:bottom w:val="none" w:sz="0" w:space="0" w:color="auto"/>
                        <w:right w:val="none" w:sz="0" w:space="0" w:color="auto"/>
                      </w:divBdr>
                    </w:div>
                    <w:div w:id="13790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694524">
      <w:bodyDiv w:val="1"/>
      <w:marLeft w:val="0"/>
      <w:marRight w:val="0"/>
      <w:marTop w:val="0"/>
      <w:marBottom w:val="0"/>
      <w:divBdr>
        <w:top w:val="none" w:sz="0" w:space="0" w:color="auto"/>
        <w:left w:val="none" w:sz="0" w:space="0" w:color="auto"/>
        <w:bottom w:val="none" w:sz="0" w:space="0" w:color="auto"/>
        <w:right w:val="none" w:sz="0" w:space="0" w:color="auto"/>
      </w:divBdr>
    </w:div>
    <w:div w:id="1310599318">
      <w:bodyDiv w:val="1"/>
      <w:marLeft w:val="0"/>
      <w:marRight w:val="0"/>
      <w:marTop w:val="0"/>
      <w:marBottom w:val="0"/>
      <w:divBdr>
        <w:top w:val="none" w:sz="0" w:space="0" w:color="auto"/>
        <w:left w:val="none" w:sz="0" w:space="0" w:color="auto"/>
        <w:bottom w:val="none" w:sz="0" w:space="0" w:color="auto"/>
        <w:right w:val="none" w:sz="0" w:space="0" w:color="auto"/>
      </w:divBdr>
    </w:div>
    <w:div w:id="1326663946">
      <w:bodyDiv w:val="1"/>
      <w:marLeft w:val="0"/>
      <w:marRight w:val="0"/>
      <w:marTop w:val="0"/>
      <w:marBottom w:val="0"/>
      <w:divBdr>
        <w:top w:val="none" w:sz="0" w:space="0" w:color="auto"/>
        <w:left w:val="none" w:sz="0" w:space="0" w:color="auto"/>
        <w:bottom w:val="none" w:sz="0" w:space="0" w:color="auto"/>
        <w:right w:val="none" w:sz="0" w:space="0" w:color="auto"/>
      </w:divBdr>
    </w:div>
    <w:div w:id="1332173341">
      <w:bodyDiv w:val="1"/>
      <w:marLeft w:val="0"/>
      <w:marRight w:val="0"/>
      <w:marTop w:val="0"/>
      <w:marBottom w:val="0"/>
      <w:divBdr>
        <w:top w:val="none" w:sz="0" w:space="0" w:color="auto"/>
        <w:left w:val="none" w:sz="0" w:space="0" w:color="auto"/>
        <w:bottom w:val="none" w:sz="0" w:space="0" w:color="auto"/>
        <w:right w:val="none" w:sz="0" w:space="0" w:color="auto"/>
      </w:divBdr>
    </w:div>
    <w:div w:id="1342510596">
      <w:bodyDiv w:val="1"/>
      <w:marLeft w:val="0"/>
      <w:marRight w:val="0"/>
      <w:marTop w:val="0"/>
      <w:marBottom w:val="0"/>
      <w:divBdr>
        <w:top w:val="none" w:sz="0" w:space="0" w:color="auto"/>
        <w:left w:val="none" w:sz="0" w:space="0" w:color="auto"/>
        <w:bottom w:val="none" w:sz="0" w:space="0" w:color="auto"/>
        <w:right w:val="none" w:sz="0" w:space="0" w:color="auto"/>
      </w:divBdr>
    </w:div>
    <w:div w:id="1343582947">
      <w:bodyDiv w:val="1"/>
      <w:marLeft w:val="0"/>
      <w:marRight w:val="0"/>
      <w:marTop w:val="0"/>
      <w:marBottom w:val="0"/>
      <w:divBdr>
        <w:top w:val="none" w:sz="0" w:space="0" w:color="auto"/>
        <w:left w:val="none" w:sz="0" w:space="0" w:color="auto"/>
        <w:bottom w:val="none" w:sz="0" w:space="0" w:color="auto"/>
        <w:right w:val="none" w:sz="0" w:space="0" w:color="auto"/>
      </w:divBdr>
    </w:div>
    <w:div w:id="1356079229">
      <w:bodyDiv w:val="1"/>
      <w:marLeft w:val="0"/>
      <w:marRight w:val="0"/>
      <w:marTop w:val="0"/>
      <w:marBottom w:val="0"/>
      <w:divBdr>
        <w:top w:val="none" w:sz="0" w:space="0" w:color="auto"/>
        <w:left w:val="none" w:sz="0" w:space="0" w:color="auto"/>
        <w:bottom w:val="none" w:sz="0" w:space="0" w:color="auto"/>
        <w:right w:val="none" w:sz="0" w:space="0" w:color="auto"/>
      </w:divBdr>
    </w:div>
    <w:div w:id="1369530778">
      <w:bodyDiv w:val="1"/>
      <w:marLeft w:val="0"/>
      <w:marRight w:val="0"/>
      <w:marTop w:val="0"/>
      <w:marBottom w:val="0"/>
      <w:divBdr>
        <w:top w:val="none" w:sz="0" w:space="0" w:color="auto"/>
        <w:left w:val="none" w:sz="0" w:space="0" w:color="auto"/>
        <w:bottom w:val="none" w:sz="0" w:space="0" w:color="auto"/>
        <w:right w:val="none" w:sz="0" w:space="0" w:color="auto"/>
      </w:divBdr>
    </w:div>
    <w:div w:id="1376781915">
      <w:bodyDiv w:val="1"/>
      <w:marLeft w:val="0"/>
      <w:marRight w:val="0"/>
      <w:marTop w:val="0"/>
      <w:marBottom w:val="0"/>
      <w:divBdr>
        <w:top w:val="none" w:sz="0" w:space="0" w:color="auto"/>
        <w:left w:val="none" w:sz="0" w:space="0" w:color="auto"/>
        <w:bottom w:val="none" w:sz="0" w:space="0" w:color="auto"/>
        <w:right w:val="none" w:sz="0" w:space="0" w:color="auto"/>
      </w:divBdr>
    </w:div>
    <w:div w:id="1377192807">
      <w:bodyDiv w:val="1"/>
      <w:marLeft w:val="0"/>
      <w:marRight w:val="0"/>
      <w:marTop w:val="0"/>
      <w:marBottom w:val="0"/>
      <w:divBdr>
        <w:top w:val="none" w:sz="0" w:space="0" w:color="auto"/>
        <w:left w:val="none" w:sz="0" w:space="0" w:color="auto"/>
        <w:bottom w:val="none" w:sz="0" w:space="0" w:color="auto"/>
        <w:right w:val="none" w:sz="0" w:space="0" w:color="auto"/>
      </w:divBdr>
    </w:div>
    <w:div w:id="1395078697">
      <w:bodyDiv w:val="1"/>
      <w:marLeft w:val="0"/>
      <w:marRight w:val="0"/>
      <w:marTop w:val="0"/>
      <w:marBottom w:val="0"/>
      <w:divBdr>
        <w:top w:val="none" w:sz="0" w:space="0" w:color="auto"/>
        <w:left w:val="none" w:sz="0" w:space="0" w:color="auto"/>
        <w:bottom w:val="none" w:sz="0" w:space="0" w:color="auto"/>
        <w:right w:val="none" w:sz="0" w:space="0" w:color="auto"/>
      </w:divBdr>
    </w:div>
    <w:div w:id="1406418442">
      <w:bodyDiv w:val="1"/>
      <w:marLeft w:val="0"/>
      <w:marRight w:val="0"/>
      <w:marTop w:val="0"/>
      <w:marBottom w:val="0"/>
      <w:divBdr>
        <w:top w:val="none" w:sz="0" w:space="0" w:color="auto"/>
        <w:left w:val="none" w:sz="0" w:space="0" w:color="auto"/>
        <w:bottom w:val="none" w:sz="0" w:space="0" w:color="auto"/>
        <w:right w:val="none" w:sz="0" w:space="0" w:color="auto"/>
      </w:divBdr>
    </w:div>
    <w:div w:id="1426850845">
      <w:bodyDiv w:val="1"/>
      <w:marLeft w:val="0"/>
      <w:marRight w:val="0"/>
      <w:marTop w:val="0"/>
      <w:marBottom w:val="0"/>
      <w:divBdr>
        <w:top w:val="none" w:sz="0" w:space="0" w:color="auto"/>
        <w:left w:val="none" w:sz="0" w:space="0" w:color="auto"/>
        <w:bottom w:val="none" w:sz="0" w:space="0" w:color="auto"/>
        <w:right w:val="none" w:sz="0" w:space="0" w:color="auto"/>
      </w:divBdr>
    </w:div>
    <w:div w:id="1441992591">
      <w:bodyDiv w:val="1"/>
      <w:marLeft w:val="0"/>
      <w:marRight w:val="0"/>
      <w:marTop w:val="0"/>
      <w:marBottom w:val="0"/>
      <w:divBdr>
        <w:top w:val="none" w:sz="0" w:space="0" w:color="auto"/>
        <w:left w:val="none" w:sz="0" w:space="0" w:color="auto"/>
        <w:bottom w:val="none" w:sz="0" w:space="0" w:color="auto"/>
        <w:right w:val="none" w:sz="0" w:space="0" w:color="auto"/>
      </w:divBdr>
    </w:div>
    <w:div w:id="1456097726">
      <w:bodyDiv w:val="1"/>
      <w:marLeft w:val="0"/>
      <w:marRight w:val="0"/>
      <w:marTop w:val="0"/>
      <w:marBottom w:val="0"/>
      <w:divBdr>
        <w:top w:val="none" w:sz="0" w:space="0" w:color="auto"/>
        <w:left w:val="none" w:sz="0" w:space="0" w:color="auto"/>
        <w:bottom w:val="none" w:sz="0" w:space="0" w:color="auto"/>
        <w:right w:val="none" w:sz="0" w:space="0" w:color="auto"/>
      </w:divBdr>
    </w:div>
    <w:div w:id="1457412723">
      <w:bodyDiv w:val="1"/>
      <w:marLeft w:val="0"/>
      <w:marRight w:val="0"/>
      <w:marTop w:val="0"/>
      <w:marBottom w:val="0"/>
      <w:divBdr>
        <w:top w:val="none" w:sz="0" w:space="0" w:color="auto"/>
        <w:left w:val="none" w:sz="0" w:space="0" w:color="auto"/>
        <w:bottom w:val="none" w:sz="0" w:space="0" w:color="auto"/>
        <w:right w:val="none" w:sz="0" w:space="0" w:color="auto"/>
      </w:divBdr>
    </w:div>
    <w:div w:id="1462533052">
      <w:bodyDiv w:val="1"/>
      <w:marLeft w:val="0"/>
      <w:marRight w:val="0"/>
      <w:marTop w:val="0"/>
      <w:marBottom w:val="0"/>
      <w:divBdr>
        <w:top w:val="none" w:sz="0" w:space="0" w:color="auto"/>
        <w:left w:val="none" w:sz="0" w:space="0" w:color="auto"/>
        <w:bottom w:val="none" w:sz="0" w:space="0" w:color="auto"/>
        <w:right w:val="none" w:sz="0" w:space="0" w:color="auto"/>
      </w:divBdr>
    </w:div>
    <w:div w:id="1494374790">
      <w:bodyDiv w:val="1"/>
      <w:marLeft w:val="0"/>
      <w:marRight w:val="0"/>
      <w:marTop w:val="0"/>
      <w:marBottom w:val="0"/>
      <w:divBdr>
        <w:top w:val="none" w:sz="0" w:space="0" w:color="auto"/>
        <w:left w:val="none" w:sz="0" w:space="0" w:color="auto"/>
        <w:bottom w:val="none" w:sz="0" w:space="0" w:color="auto"/>
        <w:right w:val="none" w:sz="0" w:space="0" w:color="auto"/>
      </w:divBdr>
    </w:div>
    <w:div w:id="1495949888">
      <w:bodyDiv w:val="1"/>
      <w:marLeft w:val="0"/>
      <w:marRight w:val="0"/>
      <w:marTop w:val="0"/>
      <w:marBottom w:val="0"/>
      <w:divBdr>
        <w:top w:val="none" w:sz="0" w:space="0" w:color="auto"/>
        <w:left w:val="none" w:sz="0" w:space="0" w:color="auto"/>
        <w:bottom w:val="none" w:sz="0" w:space="0" w:color="auto"/>
        <w:right w:val="none" w:sz="0" w:space="0" w:color="auto"/>
      </w:divBdr>
    </w:div>
    <w:div w:id="1504204879">
      <w:bodyDiv w:val="1"/>
      <w:marLeft w:val="0"/>
      <w:marRight w:val="0"/>
      <w:marTop w:val="0"/>
      <w:marBottom w:val="0"/>
      <w:divBdr>
        <w:top w:val="none" w:sz="0" w:space="0" w:color="auto"/>
        <w:left w:val="none" w:sz="0" w:space="0" w:color="auto"/>
        <w:bottom w:val="none" w:sz="0" w:space="0" w:color="auto"/>
        <w:right w:val="none" w:sz="0" w:space="0" w:color="auto"/>
      </w:divBdr>
    </w:div>
    <w:div w:id="1510679146">
      <w:bodyDiv w:val="1"/>
      <w:marLeft w:val="0"/>
      <w:marRight w:val="0"/>
      <w:marTop w:val="0"/>
      <w:marBottom w:val="0"/>
      <w:divBdr>
        <w:top w:val="none" w:sz="0" w:space="0" w:color="auto"/>
        <w:left w:val="none" w:sz="0" w:space="0" w:color="auto"/>
        <w:bottom w:val="none" w:sz="0" w:space="0" w:color="auto"/>
        <w:right w:val="none" w:sz="0" w:space="0" w:color="auto"/>
      </w:divBdr>
    </w:div>
    <w:div w:id="1512601655">
      <w:bodyDiv w:val="1"/>
      <w:marLeft w:val="0"/>
      <w:marRight w:val="0"/>
      <w:marTop w:val="0"/>
      <w:marBottom w:val="0"/>
      <w:divBdr>
        <w:top w:val="none" w:sz="0" w:space="0" w:color="auto"/>
        <w:left w:val="none" w:sz="0" w:space="0" w:color="auto"/>
        <w:bottom w:val="none" w:sz="0" w:space="0" w:color="auto"/>
        <w:right w:val="none" w:sz="0" w:space="0" w:color="auto"/>
      </w:divBdr>
    </w:div>
    <w:div w:id="1517690093">
      <w:bodyDiv w:val="1"/>
      <w:marLeft w:val="0"/>
      <w:marRight w:val="0"/>
      <w:marTop w:val="0"/>
      <w:marBottom w:val="0"/>
      <w:divBdr>
        <w:top w:val="none" w:sz="0" w:space="0" w:color="auto"/>
        <w:left w:val="none" w:sz="0" w:space="0" w:color="auto"/>
        <w:bottom w:val="none" w:sz="0" w:space="0" w:color="auto"/>
        <w:right w:val="none" w:sz="0" w:space="0" w:color="auto"/>
      </w:divBdr>
    </w:div>
    <w:div w:id="1519154276">
      <w:bodyDiv w:val="1"/>
      <w:marLeft w:val="0"/>
      <w:marRight w:val="0"/>
      <w:marTop w:val="0"/>
      <w:marBottom w:val="0"/>
      <w:divBdr>
        <w:top w:val="none" w:sz="0" w:space="0" w:color="auto"/>
        <w:left w:val="none" w:sz="0" w:space="0" w:color="auto"/>
        <w:bottom w:val="none" w:sz="0" w:space="0" w:color="auto"/>
        <w:right w:val="none" w:sz="0" w:space="0" w:color="auto"/>
      </w:divBdr>
    </w:div>
    <w:div w:id="1524904232">
      <w:bodyDiv w:val="1"/>
      <w:marLeft w:val="0"/>
      <w:marRight w:val="0"/>
      <w:marTop w:val="0"/>
      <w:marBottom w:val="0"/>
      <w:divBdr>
        <w:top w:val="none" w:sz="0" w:space="0" w:color="auto"/>
        <w:left w:val="none" w:sz="0" w:space="0" w:color="auto"/>
        <w:bottom w:val="none" w:sz="0" w:space="0" w:color="auto"/>
        <w:right w:val="none" w:sz="0" w:space="0" w:color="auto"/>
      </w:divBdr>
    </w:div>
    <w:div w:id="1536037740">
      <w:bodyDiv w:val="1"/>
      <w:marLeft w:val="0"/>
      <w:marRight w:val="0"/>
      <w:marTop w:val="0"/>
      <w:marBottom w:val="0"/>
      <w:divBdr>
        <w:top w:val="none" w:sz="0" w:space="0" w:color="auto"/>
        <w:left w:val="none" w:sz="0" w:space="0" w:color="auto"/>
        <w:bottom w:val="none" w:sz="0" w:space="0" w:color="auto"/>
        <w:right w:val="none" w:sz="0" w:space="0" w:color="auto"/>
      </w:divBdr>
    </w:div>
    <w:div w:id="1546941391">
      <w:bodyDiv w:val="1"/>
      <w:marLeft w:val="0"/>
      <w:marRight w:val="0"/>
      <w:marTop w:val="0"/>
      <w:marBottom w:val="0"/>
      <w:divBdr>
        <w:top w:val="none" w:sz="0" w:space="0" w:color="auto"/>
        <w:left w:val="none" w:sz="0" w:space="0" w:color="auto"/>
        <w:bottom w:val="none" w:sz="0" w:space="0" w:color="auto"/>
        <w:right w:val="none" w:sz="0" w:space="0" w:color="auto"/>
      </w:divBdr>
    </w:div>
    <w:div w:id="1562784219">
      <w:bodyDiv w:val="1"/>
      <w:marLeft w:val="0"/>
      <w:marRight w:val="0"/>
      <w:marTop w:val="0"/>
      <w:marBottom w:val="0"/>
      <w:divBdr>
        <w:top w:val="none" w:sz="0" w:space="0" w:color="auto"/>
        <w:left w:val="none" w:sz="0" w:space="0" w:color="auto"/>
        <w:bottom w:val="none" w:sz="0" w:space="0" w:color="auto"/>
        <w:right w:val="none" w:sz="0" w:space="0" w:color="auto"/>
      </w:divBdr>
    </w:div>
    <w:div w:id="1569463350">
      <w:bodyDiv w:val="1"/>
      <w:marLeft w:val="0"/>
      <w:marRight w:val="0"/>
      <w:marTop w:val="0"/>
      <w:marBottom w:val="0"/>
      <w:divBdr>
        <w:top w:val="none" w:sz="0" w:space="0" w:color="auto"/>
        <w:left w:val="none" w:sz="0" w:space="0" w:color="auto"/>
        <w:bottom w:val="none" w:sz="0" w:space="0" w:color="auto"/>
        <w:right w:val="none" w:sz="0" w:space="0" w:color="auto"/>
      </w:divBdr>
    </w:div>
    <w:div w:id="1577521013">
      <w:bodyDiv w:val="1"/>
      <w:marLeft w:val="0"/>
      <w:marRight w:val="0"/>
      <w:marTop w:val="0"/>
      <w:marBottom w:val="0"/>
      <w:divBdr>
        <w:top w:val="none" w:sz="0" w:space="0" w:color="auto"/>
        <w:left w:val="none" w:sz="0" w:space="0" w:color="auto"/>
        <w:bottom w:val="none" w:sz="0" w:space="0" w:color="auto"/>
        <w:right w:val="none" w:sz="0" w:space="0" w:color="auto"/>
      </w:divBdr>
    </w:div>
    <w:div w:id="1581059008">
      <w:bodyDiv w:val="1"/>
      <w:marLeft w:val="0"/>
      <w:marRight w:val="0"/>
      <w:marTop w:val="0"/>
      <w:marBottom w:val="0"/>
      <w:divBdr>
        <w:top w:val="none" w:sz="0" w:space="0" w:color="auto"/>
        <w:left w:val="none" w:sz="0" w:space="0" w:color="auto"/>
        <w:bottom w:val="none" w:sz="0" w:space="0" w:color="auto"/>
        <w:right w:val="none" w:sz="0" w:space="0" w:color="auto"/>
      </w:divBdr>
    </w:div>
    <w:div w:id="1585652153">
      <w:bodyDiv w:val="1"/>
      <w:marLeft w:val="0"/>
      <w:marRight w:val="0"/>
      <w:marTop w:val="0"/>
      <w:marBottom w:val="0"/>
      <w:divBdr>
        <w:top w:val="none" w:sz="0" w:space="0" w:color="auto"/>
        <w:left w:val="none" w:sz="0" w:space="0" w:color="auto"/>
        <w:bottom w:val="none" w:sz="0" w:space="0" w:color="auto"/>
        <w:right w:val="none" w:sz="0" w:space="0" w:color="auto"/>
      </w:divBdr>
    </w:div>
    <w:div w:id="1589656217">
      <w:bodyDiv w:val="1"/>
      <w:marLeft w:val="0"/>
      <w:marRight w:val="0"/>
      <w:marTop w:val="0"/>
      <w:marBottom w:val="0"/>
      <w:divBdr>
        <w:top w:val="none" w:sz="0" w:space="0" w:color="auto"/>
        <w:left w:val="none" w:sz="0" w:space="0" w:color="auto"/>
        <w:bottom w:val="none" w:sz="0" w:space="0" w:color="auto"/>
        <w:right w:val="none" w:sz="0" w:space="0" w:color="auto"/>
      </w:divBdr>
    </w:div>
    <w:div w:id="1593198794">
      <w:bodyDiv w:val="1"/>
      <w:marLeft w:val="0"/>
      <w:marRight w:val="0"/>
      <w:marTop w:val="0"/>
      <w:marBottom w:val="0"/>
      <w:divBdr>
        <w:top w:val="none" w:sz="0" w:space="0" w:color="auto"/>
        <w:left w:val="none" w:sz="0" w:space="0" w:color="auto"/>
        <w:bottom w:val="none" w:sz="0" w:space="0" w:color="auto"/>
        <w:right w:val="none" w:sz="0" w:space="0" w:color="auto"/>
      </w:divBdr>
    </w:div>
    <w:div w:id="1593473261">
      <w:bodyDiv w:val="1"/>
      <w:marLeft w:val="0"/>
      <w:marRight w:val="0"/>
      <w:marTop w:val="0"/>
      <w:marBottom w:val="0"/>
      <w:divBdr>
        <w:top w:val="none" w:sz="0" w:space="0" w:color="auto"/>
        <w:left w:val="none" w:sz="0" w:space="0" w:color="auto"/>
        <w:bottom w:val="none" w:sz="0" w:space="0" w:color="auto"/>
        <w:right w:val="none" w:sz="0" w:space="0" w:color="auto"/>
      </w:divBdr>
    </w:div>
    <w:div w:id="1622691881">
      <w:bodyDiv w:val="1"/>
      <w:marLeft w:val="0"/>
      <w:marRight w:val="0"/>
      <w:marTop w:val="0"/>
      <w:marBottom w:val="0"/>
      <w:divBdr>
        <w:top w:val="none" w:sz="0" w:space="0" w:color="auto"/>
        <w:left w:val="none" w:sz="0" w:space="0" w:color="auto"/>
        <w:bottom w:val="none" w:sz="0" w:space="0" w:color="auto"/>
        <w:right w:val="none" w:sz="0" w:space="0" w:color="auto"/>
      </w:divBdr>
    </w:div>
    <w:div w:id="1625579419">
      <w:bodyDiv w:val="1"/>
      <w:marLeft w:val="0"/>
      <w:marRight w:val="0"/>
      <w:marTop w:val="0"/>
      <w:marBottom w:val="0"/>
      <w:divBdr>
        <w:top w:val="none" w:sz="0" w:space="0" w:color="auto"/>
        <w:left w:val="none" w:sz="0" w:space="0" w:color="auto"/>
        <w:bottom w:val="none" w:sz="0" w:space="0" w:color="auto"/>
        <w:right w:val="none" w:sz="0" w:space="0" w:color="auto"/>
      </w:divBdr>
    </w:div>
    <w:div w:id="1632322442">
      <w:bodyDiv w:val="1"/>
      <w:marLeft w:val="0"/>
      <w:marRight w:val="0"/>
      <w:marTop w:val="0"/>
      <w:marBottom w:val="0"/>
      <w:divBdr>
        <w:top w:val="none" w:sz="0" w:space="0" w:color="auto"/>
        <w:left w:val="none" w:sz="0" w:space="0" w:color="auto"/>
        <w:bottom w:val="none" w:sz="0" w:space="0" w:color="auto"/>
        <w:right w:val="none" w:sz="0" w:space="0" w:color="auto"/>
      </w:divBdr>
    </w:div>
    <w:div w:id="1669289720">
      <w:bodyDiv w:val="1"/>
      <w:marLeft w:val="0"/>
      <w:marRight w:val="0"/>
      <w:marTop w:val="0"/>
      <w:marBottom w:val="0"/>
      <w:divBdr>
        <w:top w:val="none" w:sz="0" w:space="0" w:color="auto"/>
        <w:left w:val="none" w:sz="0" w:space="0" w:color="auto"/>
        <w:bottom w:val="none" w:sz="0" w:space="0" w:color="auto"/>
        <w:right w:val="none" w:sz="0" w:space="0" w:color="auto"/>
      </w:divBdr>
    </w:div>
    <w:div w:id="1686590249">
      <w:bodyDiv w:val="1"/>
      <w:marLeft w:val="0"/>
      <w:marRight w:val="0"/>
      <w:marTop w:val="0"/>
      <w:marBottom w:val="0"/>
      <w:divBdr>
        <w:top w:val="none" w:sz="0" w:space="0" w:color="auto"/>
        <w:left w:val="none" w:sz="0" w:space="0" w:color="auto"/>
        <w:bottom w:val="none" w:sz="0" w:space="0" w:color="auto"/>
        <w:right w:val="none" w:sz="0" w:space="0" w:color="auto"/>
      </w:divBdr>
    </w:div>
    <w:div w:id="1705986048">
      <w:bodyDiv w:val="1"/>
      <w:marLeft w:val="0"/>
      <w:marRight w:val="0"/>
      <w:marTop w:val="0"/>
      <w:marBottom w:val="0"/>
      <w:divBdr>
        <w:top w:val="none" w:sz="0" w:space="0" w:color="auto"/>
        <w:left w:val="none" w:sz="0" w:space="0" w:color="auto"/>
        <w:bottom w:val="none" w:sz="0" w:space="0" w:color="auto"/>
        <w:right w:val="none" w:sz="0" w:space="0" w:color="auto"/>
      </w:divBdr>
    </w:div>
    <w:div w:id="1717049652">
      <w:bodyDiv w:val="1"/>
      <w:marLeft w:val="0"/>
      <w:marRight w:val="0"/>
      <w:marTop w:val="0"/>
      <w:marBottom w:val="0"/>
      <w:divBdr>
        <w:top w:val="none" w:sz="0" w:space="0" w:color="auto"/>
        <w:left w:val="none" w:sz="0" w:space="0" w:color="auto"/>
        <w:bottom w:val="none" w:sz="0" w:space="0" w:color="auto"/>
        <w:right w:val="none" w:sz="0" w:space="0" w:color="auto"/>
      </w:divBdr>
    </w:div>
    <w:div w:id="1717923787">
      <w:bodyDiv w:val="1"/>
      <w:marLeft w:val="0"/>
      <w:marRight w:val="0"/>
      <w:marTop w:val="0"/>
      <w:marBottom w:val="0"/>
      <w:divBdr>
        <w:top w:val="none" w:sz="0" w:space="0" w:color="auto"/>
        <w:left w:val="none" w:sz="0" w:space="0" w:color="auto"/>
        <w:bottom w:val="none" w:sz="0" w:space="0" w:color="auto"/>
        <w:right w:val="none" w:sz="0" w:space="0" w:color="auto"/>
      </w:divBdr>
    </w:div>
    <w:div w:id="1719819120">
      <w:bodyDiv w:val="1"/>
      <w:marLeft w:val="0"/>
      <w:marRight w:val="0"/>
      <w:marTop w:val="0"/>
      <w:marBottom w:val="0"/>
      <w:divBdr>
        <w:top w:val="none" w:sz="0" w:space="0" w:color="auto"/>
        <w:left w:val="none" w:sz="0" w:space="0" w:color="auto"/>
        <w:bottom w:val="none" w:sz="0" w:space="0" w:color="auto"/>
        <w:right w:val="none" w:sz="0" w:space="0" w:color="auto"/>
      </w:divBdr>
    </w:div>
    <w:div w:id="1731033123">
      <w:bodyDiv w:val="1"/>
      <w:marLeft w:val="0"/>
      <w:marRight w:val="0"/>
      <w:marTop w:val="0"/>
      <w:marBottom w:val="0"/>
      <w:divBdr>
        <w:top w:val="none" w:sz="0" w:space="0" w:color="auto"/>
        <w:left w:val="none" w:sz="0" w:space="0" w:color="auto"/>
        <w:bottom w:val="none" w:sz="0" w:space="0" w:color="auto"/>
        <w:right w:val="none" w:sz="0" w:space="0" w:color="auto"/>
      </w:divBdr>
    </w:div>
    <w:div w:id="1741488886">
      <w:bodyDiv w:val="1"/>
      <w:marLeft w:val="0"/>
      <w:marRight w:val="0"/>
      <w:marTop w:val="0"/>
      <w:marBottom w:val="0"/>
      <w:divBdr>
        <w:top w:val="none" w:sz="0" w:space="0" w:color="auto"/>
        <w:left w:val="none" w:sz="0" w:space="0" w:color="auto"/>
        <w:bottom w:val="none" w:sz="0" w:space="0" w:color="auto"/>
        <w:right w:val="none" w:sz="0" w:space="0" w:color="auto"/>
      </w:divBdr>
    </w:div>
    <w:div w:id="1772701459">
      <w:bodyDiv w:val="1"/>
      <w:marLeft w:val="0"/>
      <w:marRight w:val="0"/>
      <w:marTop w:val="0"/>
      <w:marBottom w:val="0"/>
      <w:divBdr>
        <w:top w:val="none" w:sz="0" w:space="0" w:color="auto"/>
        <w:left w:val="none" w:sz="0" w:space="0" w:color="auto"/>
        <w:bottom w:val="none" w:sz="0" w:space="0" w:color="auto"/>
        <w:right w:val="none" w:sz="0" w:space="0" w:color="auto"/>
      </w:divBdr>
    </w:div>
    <w:div w:id="1787380945">
      <w:bodyDiv w:val="1"/>
      <w:marLeft w:val="0"/>
      <w:marRight w:val="0"/>
      <w:marTop w:val="0"/>
      <w:marBottom w:val="0"/>
      <w:divBdr>
        <w:top w:val="none" w:sz="0" w:space="0" w:color="auto"/>
        <w:left w:val="none" w:sz="0" w:space="0" w:color="auto"/>
        <w:bottom w:val="none" w:sz="0" w:space="0" w:color="auto"/>
        <w:right w:val="none" w:sz="0" w:space="0" w:color="auto"/>
      </w:divBdr>
    </w:div>
    <w:div w:id="1798334930">
      <w:bodyDiv w:val="1"/>
      <w:marLeft w:val="0"/>
      <w:marRight w:val="0"/>
      <w:marTop w:val="0"/>
      <w:marBottom w:val="0"/>
      <w:divBdr>
        <w:top w:val="none" w:sz="0" w:space="0" w:color="auto"/>
        <w:left w:val="none" w:sz="0" w:space="0" w:color="auto"/>
        <w:bottom w:val="none" w:sz="0" w:space="0" w:color="auto"/>
        <w:right w:val="none" w:sz="0" w:space="0" w:color="auto"/>
      </w:divBdr>
    </w:div>
    <w:div w:id="1802264349">
      <w:bodyDiv w:val="1"/>
      <w:marLeft w:val="0"/>
      <w:marRight w:val="0"/>
      <w:marTop w:val="0"/>
      <w:marBottom w:val="0"/>
      <w:divBdr>
        <w:top w:val="none" w:sz="0" w:space="0" w:color="auto"/>
        <w:left w:val="none" w:sz="0" w:space="0" w:color="auto"/>
        <w:bottom w:val="none" w:sz="0" w:space="0" w:color="auto"/>
        <w:right w:val="none" w:sz="0" w:space="0" w:color="auto"/>
      </w:divBdr>
    </w:div>
    <w:div w:id="1818759927">
      <w:bodyDiv w:val="1"/>
      <w:marLeft w:val="0"/>
      <w:marRight w:val="0"/>
      <w:marTop w:val="0"/>
      <w:marBottom w:val="0"/>
      <w:divBdr>
        <w:top w:val="none" w:sz="0" w:space="0" w:color="auto"/>
        <w:left w:val="none" w:sz="0" w:space="0" w:color="auto"/>
        <w:bottom w:val="none" w:sz="0" w:space="0" w:color="auto"/>
        <w:right w:val="none" w:sz="0" w:space="0" w:color="auto"/>
      </w:divBdr>
    </w:div>
    <w:div w:id="1843543188">
      <w:bodyDiv w:val="1"/>
      <w:marLeft w:val="0"/>
      <w:marRight w:val="0"/>
      <w:marTop w:val="0"/>
      <w:marBottom w:val="0"/>
      <w:divBdr>
        <w:top w:val="none" w:sz="0" w:space="0" w:color="auto"/>
        <w:left w:val="none" w:sz="0" w:space="0" w:color="auto"/>
        <w:bottom w:val="none" w:sz="0" w:space="0" w:color="auto"/>
        <w:right w:val="none" w:sz="0" w:space="0" w:color="auto"/>
      </w:divBdr>
    </w:div>
    <w:div w:id="1845632282">
      <w:bodyDiv w:val="1"/>
      <w:marLeft w:val="0"/>
      <w:marRight w:val="0"/>
      <w:marTop w:val="0"/>
      <w:marBottom w:val="0"/>
      <w:divBdr>
        <w:top w:val="none" w:sz="0" w:space="0" w:color="auto"/>
        <w:left w:val="none" w:sz="0" w:space="0" w:color="auto"/>
        <w:bottom w:val="none" w:sz="0" w:space="0" w:color="auto"/>
        <w:right w:val="none" w:sz="0" w:space="0" w:color="auto"/>
      </w:divBdr>
    </w:div>
    <w:div w:id="1848979498">
      <w:bodyDiv w:val="1"/>
      <w:marLeft w:val="0"/>
      <w:marRight w:val="0"/>
      <w:marTop w:val="0"/>
      <w:marBottom w:val="0"/>
      <w:divBdr>
        <w:top w:val="none" w:sz="0" w:space="0" w:color="auto"/>
        <w:left w:val="none" w:sz="0" w:space="0" w:color="auto"/>
        <w:bottom w:val="none" w:sz="0" w:space="0" w:color="auto"/>
        <w:right w:val="none" w:sz="0" w:space="0" w:color="auto"/>
      </w:divBdr>
    </w:div>
    <w:div w:id="1865055773">
      <w:bodyDiv w:val="1"/>
      <w:marLeft w:val="0"/>
      <w:marRight w:val="0"/>
      <w:marTop w:val="0"/>
      <w:marBottom w:val="0"/>
      <w:divBdr>
        <w:top w:val="none" w:sz="0" w:space="0" w:color="auto"/>
        <w:left w:val="none" w:sz="0" w:space="0" w:color="auto"/>
        <w:bottom w:val="none" w:sz="0" w:space="0" w:color="auto"/>
        <w:right w:val="none" w:sz="0" w:space="0" w:color="auto"/>
      </w:divBdr>
    </w:div>
    <w:div w:id="1867450230">
      <w:marLeft w:val="0"/>
      <w:marRight w:val="0"/>
      <w:marTop w:val="0"/>
      <w:marBottom w:val="0"/>
      <w:divBdr>
        <w:top w:val="none" w:sz="0" w:space="0" w:color="auto"/>
        <w:left w:val="none" w:sz="0" w:space="0" w:color="auto"/>
        <w:bottom w:val="none" w:sz="0" w:space="0" w:color="auto"/>
        <w:right w:val="none" w:sz="0" w:space="0" w:color="auto"/>
      </w:divBdr>
    </w:div>
    <w:div w:id="1867450231">
      <w:marLeft w:val="0"/>
      <w:marRight w:val="0"/>
      <w:marTop w:val="0"/>
      <w:marBottom w:val="0"/>
      <w:divBdr>
        <w:top w:val="none" w:sz="0" w:space="0" w:color="auto"/>
        <w:left w:val="none" w:sz="0" w:space="0" w:color="auto"/>
        <w:bottom w:val="none" w:sz="0" w:space="0" w:color="auto"/>
        <w:right w:val="none" w:sz="0" w:space="0" w:color="auto"/>
      </w:divBdr>
    </w:div>
    <w:div w:id="1873615383">
      <w:bodyDiv w:val="1"/>
      <w:marLeft w:val="0"/>
      <w:marRight w:val="0"/>
      <w:marTop w:val="0"/>
      <w:marBottom w:val="0"/>
      <w:divBdr>
        <w:top w:val="none" w:sz="0" w:space="0" w:color="auto"/>
        <w:left w:val="none" w:sz="0" w:space="0" w:color="auto"/>
        <w:bottom w:val="none" w:sz="0" w:space="0" w:color="auto"/>
        <w:right w:val="none" w:sz="0" w:space="0" w:color="auto"/>
      </w:divBdr>
    </w:div>
    <w:div w:id="1880244781">
      <w:bodyDiv w:val="1"/>
      <w:marLeft w:val="0"/>
      <w:marRight w:val="0"/>
      <w:marTop w:val="0"/>
      <w:marBottom w:val="0"/>
      <w:divBdr>
        <w:top w:val="none" w:sz="0" w:space="0" w:color="auto"/>
        <w:left w:val="none" w:sz="0" w:space="0" w:color="auto"/>
        <w:bottom w:val="none" w:sz="0" w:space="0" w:color="auto"/>
        <w:right w:val="none" w:sz="0" w:space="0" w:color="auto"/>
      </w:divBdr>
    </w:div>
    <w:div w:id="1892111397">
      <w:bodyDiv w:val="1"/>
      <w:marLeft w:val="0"/>
      <w:marRight w:val="0"/>
      <w:marTop w:val="0"/>
      <w:marBottom w:val="0"/>
      <w:divBdr>
        <w:top w:val="none" w:sz="0" w:space="0" w:color="auto"/>
        <w:left w:val="none" w:sz="0" w:space="0" w:color="auto"/>
        <w:bottom w:val="none" w:sz="0" w:space="0" w:color="auto"/>
        <w:right w:val="none" w:sz="0" w:space="0" w:color="auto"/>
      </w:divBdr>
    </w:div>
    <w:div w:id="1905525283">
      <w:bodyDiv w:val="1"/>
      <w:marLeft w:val="0"/>
      <w:marRight w:val="0"/>
      <w:marTop w:val="0"/>
      <w:marBottom w:val="0"/>
      <w:divBdr>
        <w:top w:val="none" w:sz="0" w:space="0" w:color="auto"/>
        <w:left w:val="none" w:sz="0" w:space="0" w:color="auto"/>
        <w:bottom w:val="none" w:sz="0" w:space="0" w:color="auto"/>
        <w:right w:val="none" w:sz="0" w:space="0" w:color="auto"/>
      </w:divBdr>
    </w:div>
    <w:div w:id="1927834785">
      <w:bodyDiv w:val="1"/>
      <w:marLeft w:val="0"/>
      <w:marRight w:val="0"/>
      <w:marTop w:val="0"/>
      <w:marBottom w:val="0"/>
      <w:divBdr>
        <w:top w:val="none" w:sz="0" w:space="0" w:color="auto"/>
        <w:left w:val="none" w:sz="0" w:space="0" w:color="auto"/>
        <w:bottom w:val="none" w:sz="0" w:space="0" w:color="auto"/>
        <w:right w:val="none" w:sz="0" w:space="0" w:color="auto"/>
      </w:divBdr>
    </w:div>
    <w:div w:id="1967391478">
      <w:bodyDiv w:val="1"/>
      <w:marLeft w:val="0"/>
      <w:marRight w:val="0"/>
      <w:marTop w:val="0"/>
      <w:marBottom w:val="0"/>
      <w:divBdr>
        <w:top w:val="none" w:sz="0" w:space="0" w:color="auto"/>
        <w:left w:val="none" w:sz="0" w:space="0" w:color="auto"/>
        <w:bottom w:val="none" w:sz="0" w:space="0" w:color="auto"/>
        <w:right w:val="none" w:sz="0" w:space="0" w:color="auto"/>
      </w:divBdr>
    </w:div>
    <w:div w:id="1973175809">
      <w:bodyDiv w:val="1"/>
      <w:marLeft w:val="0"/>
      <w:marRight w:val="0"/>
      <w:marTop w:val="0"/>
      <w:marBottom w:val="0"/>
      <w:divBdr>
        <w:top w:val="none" w:sz="0" w:space="0" w:color="auto"/>
        <w:left w:val="none" w:sz="0" w:space="0" w:color="auto"/>
        <w:bottom w:val="none" w:sz="0" w:space="0" w:color="auto"/>
        <w:right w:val="none" w:sz="0" w:space="0" w:color="auto"/>
      </w:divBdr>
    </w:div>
    <w:div w:id="2013988651">
      <w:bodyDiv w:val="1"/>
      <w:marLeft w:val="0"/>
      <w:marRight w:val="0"/>
      <w:marTop w:val="0"/>
      <w:marBottom w:val="0"/>
      <w:divBdr>
        <w:top w:val="none" w:sz="0" w:space="0" w:color="auto"/>
        <w:left w:val="none" w:sz="0" w:space="0" w:color="auto"/>
        <w:bottom w:val="none" w:sz="0" w:space="0" w:color="auto"/>
        <w:right w:val="none" w:sz="0" w:space="0" w:color="auto"/>
      </w:divBdr>
    </w:div>
    <w:div w:id="2020501317">
      <w:bodyDiv w:val="1"/>
      <w:marLeft w:val="0"/>
      <w:marRight w:val="0"/>
      <w:marTop w:val="0"/>
      <w:marBottom w:val="0"/>
      <w:divBdr>
        <w:top w:val="none" w:sz="0" w:space="0" w:color="auto"/>
        <w:left w:val="none" w:sz="0" w:space="0" w:color="auto"/>
        <w:bottom w:val="none" w:sz="0" w:space="0" w:color="auto"/>
        <w:right w:val="none" w:sz="0" w:space="0" w:color="auto"/>
      </w:divBdr>
    </w:div>
    <w:div w:id="2024014991">
      <w:bodyDiv w:val="1"/>
      <w:marLeft w:val="0"/>
      <w:marRight w:val="0"/>
      <w:marTop w:val="0"/>
      <w:marBottom w:val="0"/>
      <w:divBdr>
        <w:top w:val="none" w:sz="0" w:space="0" w:color="auto"/>
        <w:left w:val="none" w:sz="0" w:space="0" w:color="auto"/>
        <w:bottom w:val="none" w:sz="0" w:space="0" w:color="auto"/>
        <w:right w:val="none" w:sz="0" w:space="0" w:color="auto"/>
      </w:divBdr>
    </w:div>
    <w:div w:id="2032798445">
      <w:bodyDiv w:val="1"/>
      <w:marLeft w:val="0"/>
      <w:marRight w:val="0"/>
      <w:marTop w:val="0"/>
      <w:marBottom w:val="0"/>
      <w:divBdr>
        <w:top w:val="none" w:sz="0" w:space="0" w:color="auto"/>
        <w:left w:val="none" w:sz="0" w:space="0" w:color="auto"/>
        <w:bottom w:val="none" w:sz="0" w:space="0" w:color="auto"/>
        <w:right w:val="none" w:sz="0" w:space="0" w:color="auto"/>
      </w:divBdr>
    </w:div>
    <w:div w:id="2036342595">
      <w:bodyDiv w:val="1"/>
      <w:marLeft w:val="0"/>
      <w:marRight w:val="0"/>
      <w:marTop w:val="0"/>
      <w:marBottom w:val="0"/>
      <w:divBdr>
        <w:top w:val="none" w:sz="0" w:space="0" w:color="auto"/>
        <w:left w:val="none" w:sz="0" w:space="0" w:color="auto"/>
        <w:bottom w:val="none" w:sz="0" w:space="0" w:color="auto"/>
        <w:right w:val="none" w:sz="0" w:space="0" w:color="auto"/>
      </w:divBdr>
    </w:div>
    <w:div w:id="2051685004">
      <w:bodyDiv w:val="1"/>
      <w:marLeft w:val="0"/>
      <w:marRight w:val="0"/>
      <w:marTop w:val="0"/>
      <w:marBottom w:val="0"/>
      <w:divBdr>
        <w:top w:val="none" w:sz="0" w:space="0" w:color="auto"/>
        <w:left w:val="none" w:sz="0" w:space="0" w:color="auto"/>
        <w:bottom w:val="none" w:sz="0" w:space="0" w:color="auto"/>
        <w:right w:val="none" w:sz="0" w:space="0" w:color="auto"/>
      </w:divBdr>
    </w:div>
    <w:div w:id="2084259687">
      <w:bodyDiv w:val="1"/>
      <w:marLeft w:val="0"/>
      <w:marRight w:val="0"/>
      <w:marTop w:val="0"/>
      <w:marBottom w:val="0"/>
      <w:divBdr>
        <w:top w:val="none" w:sz="0" w:space="0" w:color="auto"/>
        <w:left w:val="none" w:sz="0" w:space="0" w:color="auto"/>
        <w:bottom w:val="none" w:sz="0" w:space="0" w:color="auto"/>
        <w:right w:val="none" w:sz="0" w:space="0" w:color="auto"/>
      </w:divBdr>
    </w:div>
    <w:div w:id="2085371359">
      <w:bodyDiv w:val="1"/>
      <w:marLeft w:val="0"/>
      <w:marRight w:val="0"/>
      <w:marTop w:val="0"/>
      <w:marBottom w:val="0"/>
      <w:divBdr>
        <w:top w:val="none" w:sz="0" w:space="0" w:color="auto"/>
        <w:left w:val="none" w:sz="0" w:space="0" w:color="auto"/>
        <w:bottom w:val="none" w:sz="0" w:space="0" w:color="auto"/>
        <w:right w:val="none" w:sz="0" w:space="0" w:color="auto"/>
      </w:divBdr>
    </w:div>
    <w:div w:id="2087609808">
      <w:bodyDiv w:val="1"/>
      <w:marLeft w:val="0"/>
      <w:marRight w:val="0"/>
      <w:marTop w:val="0"/>
      <w:marBottom w:val="0"/>
      <w:divBdr>
        <w:top w:val="none" w:sz="0" w:space="0" w:color="auto"/>
        <w:left w:val="none" w:sz="0" w:space="0" w:color="auto"/>
        <w:bottom w:val="none" w:sz="0" w:space="0" w:color="auto"/>
        <w:right w:val="none" w:sz="0" w:space="0" w:color="auto"/>
      </w:divBdr>
    </w:div>
    <w:div w:id="2089694596">
      <w:bodyDiv w:val="1"/>
      <w:marLeft w:val="0"/>
      <w:marRight w:val="0"/>
      <w:marTop w:val="0"/>
      <w:marBottom w:val="0"/>
      <w:divBdr>
        <w:top w:val="none" w:sz="0" w:space="0" w:color="auto"/>
        <w:left w:val="none" w:sz="0" w:space="0" w:color="auto"/>
        <w:bottom w:val="none" w:sz="0" w:space="0" w:color="auto"/>
        <w:right w:val="none" w:sz="0" w:space="0" w:color="auto"/>
      </w:divBdr>
    </w:div>
    <w:div w:id="2095591905">
      <w:bodyDiv w:val="1"/>
      <w:marLeft w:val="0"/>
      <w:marRight w:val="0"/>
      <w:marTop w:val="0"/>
      <w:marBottom w:val="0"/>
      <w:divBdr>
        <w:top w:val="none" w:sz="0" w:space="0" w:color="auto"/>
        <w:left w:val="none" w:sz="0" w:space="0" w:color="auto"/>
        <w:bottom w:val="none" w:sz="0" w:space="0" w:color="auto"/>
        <w:right w:val="none" w:sz="0" w:space="0" w:color="auto"/>
      </w:divBdr>
    </w:div>
    <w:div w:id="2112234180">
      <w:bodyDiv w:val="1"/>
      <w:marLeft w:val="0"/>
      <w:marRight w:val="0"/>
      <w:marTop w:val="0"/>
      <w:marBottom w:val="0"/>
      <w:divBdr>
        <w:top w:val="none" w:sz="0" w:space="0" w:color="auto"/>
        <w:left w:val="none" w:sz="0" w:space="0" w:color="auto"/>
        <w:bottom w:val="none" w:sz="0" w:space="0" w:color="auto"/>
        <w:right w:val="none" w:sz="0" w:space="0" w:color="auto"/>
      </w:divBdr>
    </w:div>
    <w:div w:id="213162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image" Target="media/image1.png"/>
  <Relationship Id="rId12" Type="http://schemas.openxmlformats.org/officeDocument/2006/relationships/image" Target="media/image2.jpg"/>
  <Relationship Id="rId13" Type="http://schemas.openxmlformats.org/officeDocument/2006/relationships/footer" Target="footer1.xm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2.xml"/>
  <Relationship Id="rId17" Type="http://schemas.openxmlformats.org/officeDocument/2006/relationships/footer" Target="footer3.xml"/>
  <Relationship Id="rId18" Type="http://schemas.openxmlformats.org/officeDocument/2006/relationships/header" Target="header3.xml"/>
  <Relationship Id="rId19" Type="http://schemas.openxmlformats.org/officeDocument/2006/relationships/image" Target="media/image4.emf"/>
  <Relationship Id="rId2" Type="http://schemas.openxmlformats.org/officeDocument/2006/relationships/customXml" Target="/customXml/item2.xml"/>
  <Relationship Id="rId20" Type="http://schemas.openxmlformats.org/officeDocument/2006/relationships/image" Target="media/image5.emf"/>
  <Relationship Id="rId21" Type="http://schemas.openxmlformats.org/officeDocument/2006/relationships/image" Target="media/image6.emf"/>
  <Relationship Id="rId22" Type="http://schemas.openxmlformats.org/officeDocument/2006/relationships/image" Target="media/image7.emf"/>
  <Relationship Id="rId23" Type="http://schemas.openxmlformats.org/officeDocument/2006/relationships/image" Target="media/image8.emf"/>
  <Relationship Id="rId24" Type="http://schemas.openxmlformats.org/officeDocument/2006/relationships/header" Target="header4.xml"/>
  <Relationship Id="rId25" Type="http://schemas.openxmlformats.org/officeDocument/2006/relationships/header" Target="header5.xml"/>
  <Relationship Id="rId26" Type="http://schemas.openxmlformats.org/officeDocument/2006/relationships/footer" Target="footer4.xml"/>
  <Relationship Id="rId27" Type="http://schemas.openxmlformats.org/officeDocument/2006/relationships/header" Target="header6.xml"/>
  <Relationship Id="rId28" Type="http://schemas.openxmlformats.org/officeDocument/2006/relationships/fontTable" Target="fontTable.xml"/>
  <Relationship Id="rId29" Type="http://schemas.openxmlformats.org/officeDocument/2006/relationships/theme" Target="theme/theme1.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2.xml.rels><?xml version="1.0" encoding="UTF-8"?>

<Relationships xmlns="http://schemas.openxmlformats.org/package/2006/relationships">
  <Relationship Id="rId1" Type="http://schemas.openxmlformats.org/officeDocument/2006/relationships/image" Target="media/image3.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3F2D48CE491814DAA4BDA2455914F60" ma:contentTypeVersion="0" ma:contentTypeDescription="Crear nuevo documento." ma:contentTypeScope="" ma:versionID="7c9e638c79eaedbac25603e284d6753e">
  <xsd:schema xmlns:xsd="http://www.w3.org/2001/XMLSchema" xmlns:xs="http://www.w3.org/2001/XMLSchema" xmlns:p="http://schemas.microsoft.com/office/2006/metadata/properties" targetNamespace="http://schemas.microsoft.com/office/2006/metadata/properties" ma:root="true" ma:fieldsID="e56b09c02ed9f1d227af818e81e9e97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CD317-087E-403E-9E28-C7AD10C327F6}"/>
</file>

<file path=customXml/itemProps2.xml><?xml version="1.0" encoding="utf-8"?>
<ds:datastoreItem xmlns:ds="http://schemas.openxmlformats.org/officeDocument/2006/customXml" ds:itemID="{DF03E0E0-7714-4D06-B2E6-158431E0E17B}"/>
</file>

<file path=customXml/itemProps3.xml><?xml version="1.0" encoding="utf-8"?>
<ds:datastoreItem xmlns:ds="http://schemas.openxmlformats.org/officeDocument/2006/customXml" ds:itemID="{1511A33C-1B3E-4448-99BF-E298B82F234F}"/>
</file>

<file path=customXml/itemProps4.xml><?xml version="1.0" encoding="utf-8"?>
<ds:datastoreItem xmlns:ds="http://schemas.openxmlformats.org/officeDocument/2006/customXml" ds:itemID="{C02096F1-DEBA-4D60-8775-4FD2992A8A4C}"/>
</file>

<file path=docProps/app.xml><?xml version="1.0" encoding="utf-8"?>
<Properties xmlns="http://schemas.openxmlformats.org/officeDocument/2006/extended-properties" xmlns:vt="http://schemas.openxmlformats.org/officeDocument/2006/docPropsVTypes">
  <Template>Normal.dotm</Template>
  <TotalTime>284</TotalTime>
  <Pages>16</Pages>
  <Words>4383</Words>
  <Characters>24108</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Notas complementarias Mayo 2017</vt:lpstr>
    </vt:vector>
  </TitlesOfParts>
  <Company>BCCR</Company>
  <LinksUpToDate>false</LinksUpToDate>
  <CharactersWithSpaces>28435</CharactersWithSpaces>
  <SharedDoc>false</SharedDoc>
  <HLinks>
    <vt:vector size="390" baseType="variant">
      <vt:variant>
        <vt:i4>1835068</vt:i4>
      </vt:variant>
      <vt:variant>
        <vt:i4>386</vt:i4>
      </vt:variant>
      <vt:variant>
        <vt:i4>0</vt:i4>
      </vt:variant>
      <vt:variant>
        <vt:i4>5</vt:i4>
      </vt:variant>
      <vt:variant>
        <vt:lpwstr/>
      </vt:variant>
      <vt:variant>
        <vt:lpwstr>_Toc195507807</vt:lpwstr>
      </vt:variant>
      <vt:variant>
        <vt:i4>1835068</vt:i4>
      </vt:variant>
      <vt:variant>
        <vt:i4>380</vt:i4>
      </vt:variant>
      <vt:variant>
        <vt:i4>0</vt:i4>
      </vt:variant>
      <vt:variant>
        <vt:i4>5</vt:i4>
      </vt:variant>
      <vt:variant>
        <vt:lpwstr/>
      </vt:variant>
      <vt:variant>
        <vt:lpwstr>_Toc195507806</vt:lpwstr>
      </vt:variant>
      <vt:variant>
        <vt:i4>1835068</vt:i4>
      </vt:variant>
      <vt:variant>
        <vt:i4>374</vt:i4>
      </vt:variant>
      <vt:variant>
        <vt:i4>0</vt:i4>
      </vt:variant>
      <vt:variant>
        <vt:i4>5</vt:i4>
      </vt:variant>
      <vt:variant>
        <vt:lpwstr/>
      </vt:variant>
      <vt:variant>
        <vt:lpwstr>_Toc195507805</vt:lpwstr>
      </vt:variant>
      <vt:variant>
        <vt:i4>1835068</vt:i4>
      </vt:variant>
      <vt:variant>
        <vt:i4>368</vt:i4>
      </vt:variant>
      <vt:variant>
        <vt:i4>0</vt:i4>
      </vt:variant>
      <vt:variant>
        <vt:i4>5</vt:i4>
      </vt:variant>
      <vt:variant>
        <vt:lpwstr/>
      </vt:variant>
      <vt:variant>
        <vt:lpwstr>_Toc195507804</vt:lpwstr>
      </vt:variant>
      <vt:variant>
        <vt:i4>1835068</vt:i4>
      </vt:variant>
      <vt:variant>
        <vt:i4>362</vt:i4>
      </vt:variant>
      <vt:variant>
        <vt:i4>0</vt:i4>
      </vt:variant>
      <vt:variant>
        <vt:i4>5</vt:i4>
      </vt:variant>
      <vt:variant>
        <vt:lpwstr/>
      </vt:variant>
      <vt:variant>
        <vt:lpwstr>_Toc195507802</vt:lpwstr>
      </vt:variant>
      <vt:variant>
        <vt:i4>1835068</vt:i4>
      </vt:variant>
      <vt:variant>
        <vt:i4>356</vt:i4>
      </vt:variant>
      <vt:variant>
        <vt:i4>0</vt:i4>
      </vt:variant>
      <vt:variant>
        <vt:i4>5</vt:i4>
      </vt:variant>
      <vt:variant>
        <vt:lpwstr/>
      </vt:variant>
      <vt:variant>
        <vt:lpwstr>_Toc195507801</vt:lpwstr>
      </vt:variant>
      <vt:variant>
        <vt:i4>1835068</vt:i4>
      </vt:variant>
      <vt:variant>
        <vt:i4>350</vt:i4>
      </vt:variant>
      <vt:variant>
        <vt:i4>0</vt:i4>
      </vt:variant>
      <vt:variant>
        <vt:i4>5</vt:i4>
      </vt:variant>
      <vt:variant>
        <vt:lpwstr/>
      </vt:variant>
      <vt:variant>
        <vt:lpwstr>_Toc195507800</vt:lpwstr>
      </vt:variant>
      <vt:variant>
        <vt:i4>1376307</vt:i4>
      </vt:variant>
      <vt:variant>
        <vt:i4>344</vt:i4>
      </vt:variant>
      <vt:variant>
        <vt:i4>0</vt:i4>
      </vt:variant>
      <vt:variant>
        <vt:i4>5</vt:i4>
      </vt:variant>
      <vt:variant>
        <vt:lpwstr/>
      </vt:variant>
      <vt:variant>
        <vt:lpwstr>_Toc195507799</vt:lpwstr>
      </vt:variant>
      <vt:variant>
        <vt:i4>1376307</vt:i4>
      </vt:variant>
      <vt:variant>
        <vt:i4>338</vt:i4>
      </vt:variant>
      <vt:variant>
        <vt:i4>0</vt:i4>
      </vt:variant>
      <vt:variant>
        <vt:i4>5</vt:i4>
      </vt:variant>
      <vt:variant>
        <vt:lpwstr/>
      </vt:variant>
      <vt:variant>
        <vt:lpwstr>_Toc195507798</vt:lpwstr>
      </vt:variant>
      <vt:variant>
        <vt:i4>1376307</vt:i4>
      </vt:variant>
      <vt:variant>
        <vt:i4>332</vt:i4>
      </vt:variant>
      <vt:variant>
        <vt:i4>0</vt:i4>
      </vt:variant>
      <vt:variant>
        <vt:i4>5</vt:i4>
      </vt:variant>
      <vt:variant>
        <vt:lpwstr/>
      </vt:variant>
      <vt:variant>
        <vt:lpwstr>_Toc195507797</vt:lpwstr>
      </vt:variant>
      <vt:variant>
        <vt:i4>1376307</vt:i4>
      </vt:variant>
      <vt:variant>
        <vt:i4>326</vt:i4>
      </vt:variant>
      <vt:variant>
        <vt:i4>0</vt:i4>
      </vt:variant>
      <vt:variant>
        <vt:i4>5</vt:i4>
      </vt:variant>
      <vt:variant>
        <vt:lpwstr/>
      </vt:variant>
      <vt:variant>
        <vt:lpwstr>_Toc195507796</vt:lpwstr>
      </vt:variant>
      <vt:variant>
        <vt:i4>1376307</vt:i4>
      </vt:variant>
      <vt:variant>
        <vt:i4>320</vt:i4>
      </vt:variant>
      <vt:variant>
        <vt:i4>0</vt:i4>
      </vt:variant>
      <vt:variant>
        <vt:i4>5</vt:i4>
      </vt:variant>
      <vt:variant>
        <vt:lpwstr/>
      </vt:variant>
      <vt:variant>
        <vt:lpwstr>_Toc195507795</vt:lpwstr>
      </vt:variant>
      <vt:variant>
        <vt:i4>1376307</vt:i4>
      </vt:variant>
      <vt:variant>
        <vt:i4>314</vt:i4>
      </vt:variant>
      <vt:variant>
        <vt:i4>0</vt:i4>
      </vt:variant>
      <vt:variant>
        <vt:i4>5</vt:i4>
      </vt:variant>
      <vt:variant>
        <vt:lpwstr/>
      </vt:variant>
      <vt:variant>
        <vt:lpwstr>_Toc195507794</vt:lpwstr>
      </vt:variant>
      <vt:variant>
        <vt:i4>1376307</vt:i4>
      </vt:variant>
      <vt:variant>
        <vt:i4>308</vt:i4>
      </vt:variant>
      <vt:variant>
        <vt:i4>0</vt:i4>
      </vt:variant>
      <vt:variant>
        <vt:i4>5</vt:i4>
      </vt:variant>
      <vt:variant>
        <vt:lpwstr/>
      </vt:variant>
      <vt:variant>
        <vt:lpwstr>_Toc195507793</vt:lpwstr>
      </vt:variant>
      <vt:variant>
        <vt:i4>1376307</vt:i4>
      </vt:variant>
      <vt:variant>
        <vt:i4>302</vt:i4>
      </vt:variant>
      <vt:variant>
        <vt:i4>0</vt:i4>
      </vt:variant>
      <vt:variant>
        <vt:i4>5</vt:i4>
      </vt:variant>
      <vt:variant>
        <vt:lpwstr/>
      </vt:variant>
      <vt:variant>
        <vt:lpwstr>_Toc195507792</vt:lpwstr>
      </vt:variant>
      <vt:variant>
        <vt:i4>1376307</vt:i4>
      </vt:variant>
      <vt:variant>
        <vt:i4>296</vt:i4>
      </vt:variant>
      <vt:variant>
        <vt:i4>0</vt:i4>
      </vt:variant>
      <vt:variant>
        <vt:i4>5</vt:i4>
      </vt:variant>
      <vt:variant>
        <vt:lpwstr/>
      </vt:variant>
      <vt:variant>
        <vt:lpwstr>_Toc195507791</vt:lpwstr>
      </vt:variant>
      <vt:variant>
        <vt:i4>1376307</vt:i4>
      </vt:variant>
      <vt:variant>
        <vt:i4>290</vt:i4>
      </vt:variant>
      <vt:variant>
        <vt:i4>0</vt:i4>
      </vt:variant>
      <vt:variant>
        <vt:i4>5</vt:i4>
      </vt:variant>
      <vt:variant>
        <vt:lpwstr/>
      </vt:variant>
      <vt:variant>
        <vt:lpwstr>_Toc195507790</vt:lpwstr>
      </vt:variant>
      <vt:variant>
        <vt:i4>1310771</vt:i4>
      </vt:variant>
      <vt:variant>
        <vt:i4>284</vt:i4>
      </vt:variant>
      <vt:variant>
        <vt:i4>0</vt:i4>
      </vt:variant>
      <vt:variant>
        <vt:i4>5</vt:i4>
      </vt:variant>
      <vt:variant>
        <vt:lpwstr/>
      </vt:variant>
      <vt:variant>
        <vt:lpwstr>_Toc195507789</vt:lpwstr>
      </vt:variant>
      <vt:variant>
        <vt:i4>1310771</vt:i4>
      </vt:variant>
      <vt:variant>
        <vt:i4>278</vt:i4>
      </vt:variant>
      <vt:variant>
        <vt:i4>0</vt:i4>
      </vt:variant>
      <vt:variant>
        <vt:i4>5</vt:i4>
      </vt:variant>
      <vt:variant>
        <vt:lpwstr/>
      </vt:variant>
      <vt:variant>
        <vt:lpwstr>_Toc195507788</vt:lpwstr>
      </vt:variant>
      <vt:variant>
        <vt:i4>1310771</vt:i4>
      </vt:variant>
      <vt:variant>
        <vt:i4>272</vt:i4>
      </vt:variant>
      <vt:variant>
        <vt:i4>0</vt:i4>
      </vt:variant>
      <vt:variant>
        <vt:i4>5</vt:i4>
      </vt:variant>
      <vt:variant>
        <vt:lpwstr/>
      </vt:variant>
      <vt:variant>
        <vt:lpwstr>_Toc195507787</vt:lpwstr>
      </vt:variant>
      <vt:variant>
        <vt:i4>1310771</vt:i4>
      </vt:variant>
      <vt:variant>
        <vt:i4>266</vt:i4>
      </vt:variant>
      <vt:variant>
        <vt:i4>0</vt:i4>
      </vt:variant>
      <vt:variant>
        <vt:i4>5</vt:i4>
      </vt:variant>
      <vt:variant>
        <vt:lpwstr/>
      </vt:variant>
      <vt:variant>
        <vt:lpwstr>_Toc195507786</vt:lpwstr>
      </vt:variant>
      <vt:variant>
        <vt:i4>1310771</vt:i4>
      </vt:variant>
      <vt:variant>
        <vt:i4>260</vt:i4>
      </vt:variant>
      <vt:variant>
        <vt:i4>0</vt:i4>
      </vt:variant>
      <vt:variant>
        <vt:i4>5</vt:i4>
      </vt:variant>
      <vt:variant>
        <vt:lpwstr/>
      </vt:variant>
      <vt:variant>
        <vt:lpwstr>_Toc195507785</vt:lpwstr>
      </vt:variant>
      <vt:variant>
        <vt:i4>1310771</vt:i4>
      </vt:variant>
      <vt:variant>
        <vt:i4>254</vt:i4>
      </vt:variant>
      <vt:variant>
        <vt:i4>0</vt:i4>
      </vt:variant>
      <vt:variant>
        <vt:i4>5</vt:i4>
      </vt:variant>
      <vt:variant>
        <vt:lpwstr/>
      </vt:variant>
      <vt:variant>
        <vt:lpwstr>_Toc195507784</vt:lpwstr>
      </vt:variant>
      <vt:variant>
        <vt:i4>1310771</vt:i4>
      </vt:variant>
      <vt:variant>
        <vt:i4>248</vt:i4>
      </vt:variant>
      <vt:variant>
        <vt:i4>0</vt:i4>
      </vt:variant>
      <vt:variant>
        <vt:i4>5</vt:i4>
      </vt:variant>
      <vt:variant>
        <vt:lpwstr/>
      </vt:variant>
      <vt:variant>
        <vt:lpwstr>_Toc195507783</vt:lpwstr>
      </vt:variant>
      <vt:variant>
        <vt:i4>1310771</vt:i4>
      </vt:variant>
      <vt:variant>
        <vt:i4>242</vt:i4>
      </vt:variant>
      <vt:variant>
        <vt:i4>0</vt:i4>
      </vt:variant>
      <vt:variant>
        <vt:i4>5</vt:i4>
      </vt:variant>
      <vt:variant>
        <vt:lpwstr/>
      </vt:variant>
      <vt:variant>
        <vt:lpwstr>_Toc195507782</vt:lpwstr>
      </vt:variant>
      <vt:variant>
        <vt:i4>1310771</vt:i4>
      </vt:variant>
      <vt:variant>
        <vt:i4>236</vt:i4>
      </vt:variant>
      <vt:variant>
        <vt:i4>0</vt:i4>
      </vt:variant>
      <vt:variant>
        <vt:i4>5</vt:i4>
      </vt:variant>
      <vt:variant>
        <vt:lpwstr/>
      </vt:variant>
      <vt:variant>
        <vt:lpwstr>_Toc195507781</vt:lpwstr>
      </vt:variant>
      <vt:variant>
        <vt:i4>1310771</vt:i4>
      </vt:variant>
      <vt:variant>
        <vt:i4>230</vt:i4>
      </vt:variant>
      <vt:variant>
        <vt:i4>0</vt:i4>
      </vt:variant>
      <vt:variant>
        <vt:i4>5</vt:i4>
      </vt:variant>
      <vt:variant>
        <vt:lpwstr/>
      </vt:variant>
      <vt:variant>
        <vt:lpwstr>_Toc195507780</vt:lpwstr>
      </vt:variant>
      <vt:variant>
        <vt:i4>1769523</vt:i4>
      </vt:variant>
      <vt:variant>
        <vt:i4>224</vt:i4>
      </vt:variant>
      <vt:variant>
        <vt:i4>0</vt:i4>
      </vt:variant>
      <vt:variant>
        <vt:i4>5</vt:i4>
      </vt:variant>
      <vt:variant>
        <vt:lpwstr/>
      </vt:variant>
      <vt:variant>
        <vt:lpwstr>_Toc195507779</vt:lpwstr>
      </vt:variant>
      <vt:variant>
        <vt:i4>1769523</vt:i4>
      </vt:variant>
      <vt:variant>
        <vt:i4>218</vt:i4>
      </vt:variant>
      <vt:variant>
        <vt:i4>0</vt:i4>
      </vt:variant>
      <vt:variant>
        <vt:i4>5</vt:i4>
      </vt:variant>
      <vt:variant>
        <vt:lpwstr/>
      </vt:variant>
      <vt:variant>
        <vt:lpwstr>_Toc195507778</vt:lpwstr>
      </vt:variant>
      <vt:variant>
        <vt:i4>1769523</vt:i4>
      </vt:variant>
      <vt:variant>
        <vt:i4>212</vt:i4>
      </vt:variant>
      <vt:variant>
        <vt:i4>0</vt:i4>
      </vt:variant>
      <vt:variant>
        <vt:i4>5</vt:i4>
      </vt:variant>
      <vt:variant>
        <vt:lpwstr/>
      </vt:variant>
      <vt:variant>
        <vt:lpwstr>_Toc195507777</vt:lpwstr>
      </vt:variant>
      <vt:variant>
        <vt:i4>1769523</vt:i4>
      </vt:variant>
      <vt:variant>
        <vt:i4>206</vt:i4>
      </vt:variant>
      <vt:variant>
        <vt:i4>0</vt:i4>
      </vt:variant>
      <vt:variant>
        <vt:i4>5</vt:i4>
      </vt:variant>
      <vt:variant>
        <vt:lpwstr/>
      </vt:variant>
      <vt:variant>
        <vt:lpwstr>_Toc195507776</vt:lpwstr>
      </vt:variant>
      <vt:variant>
        <vt:i4>1769523</vt:i4>
      </vt:variant>
      <vt:variant>
        <vt:i4>200</vt:i4>
      </vt:variant>
      <vt:variant>
        <vt:i4>0</vt:i4>
      </vt:variant>
      <vt:variant>
        <vt:i4>5</vt:i4>
      </vt:variant>
      <vt:variant>
        <vt:lpwstr/>
      </vt:variant>
      <vt:variant>
        <vt:lpwstr>_Toc195507775</vt:lpwstr>
      </vt:variant>
      <vt:variant>
        <vt:i4>1769523</vt:i4>
      </vt:variant>
      <vt:variant>
        <vt:i4>194</vt:i4>
      </vt:variant>
      <vt:variant>
        <vt:i4>0</vt:i4>
      </vt:variant>
      <vt:variant>
        <vt:i4>5</vt:i4>
      </vt:variant>
      <vt:variant>
        <vt:lpwstr/>
      </vt:variant>
      <vt:variant>
        <vt:lpwstr>_Toc195507774</vt:lpwstr>
      </vt:variant>
      <vt:variant>
        <vt:i4>1769523</vt:i4>
      </vt:variant>
      <vt:variant>
        <vt:i4>188</vt:i4>
      </vt:variant>
      <vt:variant>
        <vt:i4>0</vt:i4>
      </vt:variant>
      <vt:variant>
        <vt:i4>5</vt:i4>
      </vt:variant>
      <vt:variant>
        <vt:lpwstr/>
      </vt:variant>
      <vt:variant>
        <vt:lpwstr>_Toc195507773</vt:lpwstr>
      </vt:variant>
      <vt:variant>
        <vt:i4>1769523</vt:i4>
      </vt:variant>
      <vt:variant>
        <vt:i4>182</vt:i4>
      </vt:variant>
      <vt:variant>
        <vt:i4>0</vt:i4>
      </vt:variant>
      <vt:variant>
        <vt:i4>5</vt:i4>
      </vt:variant>
      <vt:variant>
        <vt:lpwstr/>
      </vt:variant>
      <vt:variant>
        <vt:lpwstr>_Toc195507772</vt:lpwstr>
      </vt:variant>
      <vt:variant>
        <vt:i4>1769523</vt:i4>
      </vt:variant>
      <vt:variant>
        <vt:i4>176</vt:i4>
      </vt:variant>
      <vt:variant>
        <vt:i4>0</vt:i4>
      </vt:variant>
      <vt:variant>
        <vt:i4>5</vt:i4>
      </vt:variant>
      <vt:variant>
        <vt:lpwstr/>
      </vt:variant>
      <vt:variant>
        <vt:lpwstr>_Toc195507771</vt:lpwstr>
      </vt:variant>
      <vt:variant>
        <vt:i4>1769523</vt:i4>
      </vt:variant>
      <vt:variant>
        <vt:i4>170</vt:i4>
      </vt:variant>
      <vt:variant>
        <vt:i4>0</vt:i4>
      </vt:variant>
      <vt:variant>
        <vt:i4>5</vt:i4>
      </vt:variant>
      <vt:variant>
        <vt:lpwstr/>
      </vt:variant>
      <vt:variant>
        <vt:lpwstr>_Toc195507770</vt:lpwstr>
      </vt:variant>
      <vt:variant>
        <vt:i4>1703987</vt:i4>
      </vt:variant>
      <vt:variant>
        <vt:i4>164</vt:i4>
      </vt:variant>
      <vt:variant>
        <vt:i4>0</vt:i4>
      </vt:variant>
      <vt:variant>
        <vt:i4>5</vt:i4>
      </vt:variant>
      <vt:variant>
        <vt:lpwstr/>
      </vt:variant>
      <vt:variant>
        <vt:lpwstr>_Toc195507769</vt:lpwstr>
      </vt:variant>
      <vt:variant>
        <vt:i4>1703987</vt:i4>
      </vt:variant>
      <vt:variant>
        <vt:i4>158</vt:i4>
      </vt:variant>
      <vt:variant>
        <vt:i4>0</vt:i4>
      </vt:variant>
      <vt:variant>
        <vt:i4>5</vt:i4>
      </vt:variant>
      <vt:variant>
        <vt:lpwstr/>
      </vt:variant>
      <vt:variant>
        <vt:lpwstr>_Toc195507768</vt:lpwstr>
      </vt:variant>
      <vt:variant>
        <vt:i4>1703987</vt:i4>
      </vt:variant>
      <vt:variant>
        <vt:i4>152</vt:i4>
      </vt:variant>
      <vt:variant>
        <vt:i4>0</vt:i4>
      </vt:variant>
      <vt:variant>
        <vt:i4>5</vt:i4>
      </vt:variant>
      <vt:variant>
        <vt:lpwstr/>
      </vt:variant>
      <vt:variant>
        <vt:lpwstr>_Toc195507767</vt:lpwstr>
      </vt:variant>
      <vt:variant>
        <vt:i4>1703987</vt:i4>
      </vt:variant>
      <vt:variant>
        <vt:i4>146</vt:i4>
      </vt:variant>
      <vt:variant>
        <vt:i4>0</vt:i4>
      </vt:variant>
      <vt:variant>
        <vt:i4>5</vt:i4>
      </vt:variant>
      <vt:variant>
        <vt:lpwstr/>
      </vt:variant>
      <vt:variant>
        <vt:lpwstr>_Toc195507766</vt:lpwstr>
      </vt:variant>
      <vt:variant>
        <vt:i4>1703987</vt:i4>
      </vt:variant>
      <vt:variant>
        <vt:i4>140</vt:i4>
      </vt:variant>
      <vt:variant>
        <vt:i4>0</vt:i4>
      </vt:variant>
      <vt:variant>
        <vt:i4>5</vt:i4>
      </vt:variant>
      <vt:variant>
        <vt:lpwstr/>
      </vt:variant>
      <vt:variant>
        <vt:lpwstr>_Toc195507765</vt:lpwstr>
      </vt:variant>
      <vt:variant>
        <vt:i4>1703987</vt:i4>
      </vt:variant>
      <vt:variant>
        <vt:i4>134</vt:i4>
      </vt:variant>
      <vt:variant>
        <vt:i4>0</vt:i4>
      </vt:variant>
      <vt:variant>
        <vt:i4>5</vt:i4>
      </vt:variant>
      <vt:variant>
        <vt:lpwstr/>
      </vt:variant>
      <vt:variant>
        <vt:lpwstr>_Toc195507764</vt:lpwstr>
      </vt:variant>
      <vt:variant>
        <vt:i4>1703987</vt:i4>
      </vt:variant>
      <vt:variant>
        <vt:i4>128</vt:i4>
      </vt:variant>
      <vt:variant>
        <vt:i4>0</vt:i4>
      </vt:variant>
      <vt:variant>
        <vt:i4>5</vt:i4>
      </vt:variant>
      <vt:variant>
        <vt:lpwstr/>
      </vt:variant>
      <vt:variant>
        <vt:lpwstr>_Toc195507763</vt:lpwstr>
      </vt:variant>
      <vt:variant>
        <vt:i4>1703987</vt:i4>
      </vt:variant>
      <vt:variant>
        <vt:i4>122</vt:i4>
      </vt:variant>
      <vt:variant>
        <vt:i4>0</vt:i4>
      </vt:variant>
      <vt:variant>
        <vt:i4>5</vt:i4>
      </vt:variant>
      <vt:variant>
        <vt:lpwstr/>
      </vt:variant>
      <vt:variant>
        <vt:lpwstr>_Toc195507762</vt:lpwstr>
      </vt:variant>
      <vt:variant>
        <vt:i4>1703987</vt:i4>
      </vt:variant>
      <vt:variant>
        <vt:i4>116</vt:i4>
      </vt:variant>
      <vt:variant>
        <vt:i4>0</vt:i4>
      </vt:variant>
      <vt:variant>
        <vt:i4>5</vt:i4>
      </vt:variant>
      <vt:variant>
        <vt:lpwstr/>
      </vt:variant>
      <vt:variant>
        <vt:lpwstr>_Toc195507761</vt:lpwstr>
      </vt:variant>
      <vt:variant>
        <vt:i4>1703987</vt:i4>
      </vt:variant>
      <vt:variant>
        <vt:i4>110</vt:i4>
      </vt:variant>
      <vt:variant>
        <vt:i4>0</vt:i4>
      </vt:variant>
      <vt:variant>
        <vt:i4>5</vt:i4>
      </vt:variant>
      <vt:variant>
        <vt:lpwstr/>
      </vt:variant>
      <vt:variant>
        <vt:lpwstr>_Toc195507760</vt:lpwstr>
      </vt:variant>
      <vt:variant>
        <vt:i4>1638451</vt:i4>
      </vt:variant>
      <vt:variant>
        <vt:i4>104</vt:i4>
      </vt:variant>
      <vt:variant>
        <vt:i4>0</vt:i4>
      </vt:variant>
      <vt:variant>
        <vt:i4>5</vt:i4>
      </vt:variant>
      <vt:variant>
        <vt:lpwstr/>
      </vt:variant>
      <vt:variant>
        <vt:lpwstr>_Toc195507759</vt:lpwstr>
      </vt:variant>
      <vt:variant>
        <vt:i4>1638451</vt:i4>
      </vt:variant>
      <vt:variant>
        <vt:i4>98</vt:i4>
      </vt:variant>
      <vt:variant>
        <vt:i4>0</vt:i4>
      </vt:variant>
      <vt:variant>
        <vt:i4>5</vt:i4>
      </vt:variant>
      <vt:variant>
        <vt:lpwstr/>
      </vt:variant>
      <vt:variant>
        <vt:lpwstr>_Toc195507758</vt:lpwstr>
      </vt:variant>
      <vt:variant>
        <vt:i4>1638451</vt:i4>
      </vt:variant>
      <vt:variant>
        <vt:i4>92</vt:i4>
      </vt:variant>
      <vt:variant>
        <vt:i4>0</vt:i4>
      </vt:variant>
      <vt:variant>
        <vt:i4>5</vt:i4>
      </vt:variant>
      <vt:variant>
        <vt:lpwstr/>
      </vt:variant>
      <vt:variant>
        <vt:lpwstr>_Toc195507757</vt:lpwstr>
      </vt:variant>
      <vt:variant>
        <vt:i4>1638451</vt:i4>
      </vt:variant>
      <vt:variant>
        <vt:i4>86</vt:i4>
      </vt:variant>
      <vt:variant>
        <vt:i4>0</vt:i4>
      </vt:variant>
      <vt:variant>
        <vt:i4>5</vt:i4>
      </vt:variant>
      <vt:variant>
        <vt:lpwstr/>
      </vt:variant>
      <vt:variant>
        <vt:lpwstr>_Toc195507756</vt:lpwstr>
      </vt:variant>
      <vt:variant>
        <vt:i4>1638451</vt:i4>
      </vt:variant>
      <vt:variant>
        <vt:i4>80</vt:i4>
      </vt:variant>
      <vt:variant>
        <vt:i4>0</vt:i4>
      </vt:variant>
      <vt:variant>
        <vt:i4>5</vt:i4>
      </vt:variant>
      <vt:variant>
        <vt:lpwstr/>
      </vt:variant>
      <vt:variant>
        <vt:lpwstr>_Toc195507755</vt:lpwstr>
      </vt:variant>
      <vt:variant>
        <vt:i4>1638451</vt:i4>
      </vt:variant>
      <vt:variant>
        <vt:i4>74</vt:i4>
      </vt:variant>
      <vt:variant>
        <vt:i4>0</vt:i4>
      </vt:variant>
      <vt:variant>
        <vt:i4>5</vt:i4>
      </vt:variant>
      <vt:variant>
        <vt:lpwstr/>
      </vt:variant>
      <vt:variant>
        <vt:lpwstr>_Toc195507754</vt:lpwstr>
      </vt:variant>
      <vt:variant>
        <vt:i4>1638451</vt:i4>
      </vt:variant>
      <vt:variant>
        <vt:i4>68</vt:i4>
      </vt:variant>
      <vt:variant>
        <vt:i4>0</vt:i4>
      </vt:variant>
      <vt:variant>
        <vt:i4>5</vt:i4>
      </vt:variant>
      <vt:variant>
        <vt:lpwstr/>
      </vt:variant>
      <vt:variant>
        <vt:lpwstr>_Toc195507753</vt:lpwstr>
      </vt:variant>
      <vt:variant>
        <vt:i4>1638451</vt:i4>
      </vt:variant>
      <vt:variant>
        <vt:i4>62</vt:i4>
      </vt:variant>
      <vt:variant>
        <vt:i4>0</vt:i4>
      </vt:variant>
      <vt:variant>
        <vt:i4>5</vt:i4>
      </vt:variant>
      <vt:variant>
        <vt:lpwstr/>
      </vt:variant>
      <vt:variant>
        <vt:lpwstr>_Toc195507752</vt:lpwstr>
      </vt:variant>
      <vt:variant>
        <vt:i4>1638451</vt:i4>
      </vt:variant>
      <vt:variant>
        <vt:i4>56</vt:i4>
      </vt:variant>
      <vt:variant>
        <vt:i4>0</vt:i4>
      </vt:variant>
      <vt:variant>
        <vt:i4>5</vt:i4>
      </vt:variant>
      <vt:variant>
        <vt:lpwstr/>
      </vt:variant>
      <vt:variant>
        <vt:lpwstr>_Toc195507751</vt:lpwstr>
      </vt:variant>
      <vt:variant>
        <vt:i4>1638451</vt:i4>
      </vt:variant>
      <vt:variant>
        <vt:i4>50</vt:i4>
      </vt:variant>
      <vt:variant>
        <vt:i4>0</vt:i4>
      </vt:variant>
      <vt:variant>
        <vt:i4>5</vt:i4>
      </vt:variant>
      <vt:variant>
        <vt:lpwstr/>
      </vt:variant>
      <vt:variant>
        <vt:lpwstr>_Toc195507750</vt:lpwstr>
      </vt:variant>
      <vt:variant>
        <vt:i4>1572915</vt:i4>
      </vt:variant>
      <vt:variant>
        <vt:i4>44</vt:i4>
      </vt:variant>
      <vt:variant>
        <vt:i4>0</vt:i4>
      </vt:variant>
      <vt:variant>
        <vt:i4>5</vt:i4>
      </vt:variant>
      <vt:variant>
        <vt:lpwstr/>
      </vt:variant>
      <vt:variant>
        <vt:lpwstr>_Toc195507749</vt:lpwstr>
      </vt:variant>
      <vt:variant>
        <vt:i4>1572915</vt:i4>
      </vt:variant>
      <vt:variant>
        <vt:i4>38</vt:i4>
      </vt:variant>
      <vt:variant>
        <vt:i4>0</vt:i4>
      </vt:variant>
      <vt:variant>
        <vt:i4>5</vt:i4>
      </vt:variant>
      <vt:variant>
        <vt:lpwstr/>
      </vt:variant>
      <vt:variant>
        <vt:lpwstr>_Toc195507748</vt:lpwstr>
      </vt:variant>
      <vt:variant>
        <vt:i4>1572915</vt:i4>
      </vt:variant>
      <vt:variant>
        <vt:i4>32</vt:i4>
      </vt:variant>
      <vt:variant>
        <vt:i4>0</vt:i4>
      </vt:variant>
      <vt:variant>
        <vt:i4>5</vt:i4>
      </vt:variant>
      <vt:variant>
        <vt:lpwstr/>
      </vt:variant>
      <vt:variant>
        <vt:lpwstr>_Toc195507747</vt:lpwstr>
      </vt:variant>
      <vt:variant>
        <vt:i4>1572915</vt:i4>
      </vt:variant>
      <vt:variant>
        <vt:i4>26</vt:i4>
      </vt:variant>
      <vt:variant>
        <vt:i4>0</vt:i4>
      </vt:variant>
      <vt:variant>
        <vt:i4>5</vt:i4>
      </vt:variant>
      <vt:variant>
        <vt:lpwstr/>
      </vt:variant>
      <vt:variant>
        <vt:lpwstr>_Toc195507746</vt:lpwstr>
      </vt:variant>
      <vt:variant>
        <vt:i4>1572915</vt:i4>
      </vt:variant>
      <vt:variant>
        <vt:i4>20</vt:i4>
      </vt:variant>
      <vt:variant>
        <vt:i4>0</vt:i4>
      </vt:variant>
      <vt:variant>
        <vt:i4>5</vt:i4>
      </vt:variant>
      <vt:variant>
        <vt:lpwstr/>
      </vt:variant>
      <vt:variant>
        <vt:lpwstr>_Toc195507745</vt:lpwstr>
      </vt:variant>
      <vt:variant>
        <vt:i4>1572915</vt:i4>
      </vt:variant>
      <vt:variant>
        <vt:i4>14</vt:i4>
      </vt:variant>
      <vt:variant>
        <vt:i4>0</vt:i4>
      </vt:variant>
      <vt:variant>
        <vt:i4>5</vt:i4>
      </vt:variant>
      <vt:variant>
        <vt:lpwstr/>
      </vt:variant>
      <vt:variant>
        <vt:lpwstr>_Toc195507744</vt:lpwstr>
      </vt:variant>
      <vt:variant>
        <vt:i4>1572915</vt:i4>
      </vt:variant>
      <vt:variant>
        <vt:i4>8</vt:i4>
      </vt:variant>
      <vt:variant>
        <vt:i4>0</vt:i4>
      </vt:variant>
      <vt:variant>
        <vt:i4>5</vt:i4>
      </vt:variant>
      <vt:variant>
        <vt:lpwstr/>
      </vt:variant>
      <vt:variant>
        <vt:lpwstr>_Toc195507743</vt:lpwstr>
      </vt:variant>
      <vt:variant>
        <vt:i4>1572915</vt:i4>
      </vt:variant>
      <vt:variant>
        <vt:i4>2</vt:i4>
      </vt:variant>
      <vt:variant>
        <vt:i4>0</vt:i4>
      </vt:variant>
      <vt:variant>
        <vt:i4>5</vt:i4>
      </vt:variant>
      <vt:variant>
        <vt:lpwstr/>
      </vt:variant>
      <vt:variant>
        <vt:lpwstr>_Toc195507742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complementarias Mayo 2017</dc:title>
  <dc:creator>romerocy</dc:creator>
  <cp:lastModifiedBy>DURAN MADRIGAL LILLIANA</cp:lastModifiedBy>
  <cp:revision>19</cp:revision>
  <dcterms:created xsi:type="dcterms:W3CDTF">2017-04-28T21:28:00Z</dcterms:created>
  <dcterms:modified xsi:type="dcterms:W3CDTF">2017-06-28T16:43:00Z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0x010100B3F2D48CE491814DAA4BDA2455914F60</vt:lpwstr>
  </property>
  <property fmtid="{D5CDD505-2E9C-101B-9397-08002B2CF9AE}" pid="5" name="FileLeafRef">
    <vt:lpwstr>Notas complementarias Mayo 2017.docx</vt:lpwstr>
  </property>
  <property fmtid="{D5CDD505-2E9C-101B-9397-08002B2CF9AE}" pid="6" name="DocumentSetDescription">
    <vt:lpwstr/>
  </property>
  <property fmtid="{D5CDD505-2E9C-101B-9397-08002B2CF9AE}" pid="7" name="_ExtendedDescription">
    <vt:lpwstr/>
  </property>
</Properties>
</file>