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docx" ContentType="application/vnd.openxmlformats-officedocument.wordprocessingml.document"/>
  <Default Extension="xml" ContentType="application/xml"/>
  <Default Extension="doc" ContentType="application/msword"/>
  <Override PartName="/word/document.xml" ContentType="application/vnd.openxmlformats-officedocument.wordprocessingml.document.main+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703808"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7038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99712"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16768;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7CB004D5" w:rsidR="00D87748" w:rsidRPr="00AF467B" w:rsidRDefault="00DA26C5" w:rsidP="00AA69D5">
      <w:pPr>
        <w:pStyle w:val="TextoTablaJustificado"/>
        <w:rPr>
          <w:color w:val="FF0000"/>
        </w:rPr>
        <w:sectPr w:rsidR="00D87748" w:rsidRPr="00AF467B" w:rsidSect="00ED3BE1">
          <w:headerReference w:type="default" r:id="rId8"/>
          <w:footerReference w:type="even" r:id="rId9"/>
          <w:footerReference w:type="default" r:id="rId10"/>
          <w:pgSz w:w="12240" w:h="15840" w:code="1"/>
          <w:pgMar w:top="1701" w:right="1701" w:bottom="1474" w:left="2058" w:header="0" w:footer="0" w:gutter="0"/>
          <w:pgNumType w:start="1"/>
          <w:cols w:space="720"/>
          <w:docGrid w:linePitch="360"/>
        </w:sectPr>
      </w:pPr>
      <w:r>
        <w:rPr>
          <w:noProof/>
          <w:color w:val="FF0000"/>
        </w:rPr>
        <mc:AlternateContent>
          <mc:Choice Requires="wps">
            <w:drawing>
              <wp:anchor distT="0" distB="0" distL="114300" distR="114300" simplePos="0" relativeHeight="251714048" behindDoc="0" locked="0" layoutInCell="1" allowOverlap="1" wp14:anchorId="6660CC3F" wp14:editId="6EDF2E4A">
                <wp:simplePos x="0" y="0"/>
                <wp:positionH relativeFrom="page">
                  <wp:posOffset>812800</wp:posOffset>
                </wp:positionH>
                <wp:positionV relativeFrom="paragraph">
                  <wp:posOffset>708660</wp:posOffset>
                </wp:positionV>
                <wp:extent cx="6381750" cy="2285365"/>
                <wp:effectExtent l="0" t="0" r="0" b="635"/>
                <wp:wrapNone/>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285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1DECCD31" w:rsidR="00DA26C5" w:rsidRPr="00DA26C5" w:rsidRDefault="00843CE5" w:rsidP="00DA26C5">
                            <w:pPr>
                              <w:pStyle w:val="PortadaTipoLibro"/>
                              <w:spacing w:line="276" w:lineRule="auto"/>
                              <w:rPr>
                                <w:color w:val="auto"/>
                                <w:spacing w:val="60"/>
                                <w:sz w:val="40"/>
                                <w:szCs w:val="40"/>
                              </w:rPr>
                            </w:pPr>
                            <w:r>
                              <w:rPr>
                                <w:color w:val="auto"/>
                                <w:spacing w:val="60"/>
                                <w:sz w:val="40"/>
                                <w:szCs w:val="40"/>
                              </w:rPr>
                              <w:t>HOMOLOGACIÓN DE EQUIPOS DE VALIDACIÓN PARA</w:t>
                            </w:r>
                            <w:r w:rsidR="00DA26C5" w:rsidRPr="00DA26C5">
                              <w:rPr>
                                <w:color w:val="auto"/>
                                <w:spacing w:val="60"/>
                                <w:sz w:val="40"/>
                                <w:szCs w:val="40"/>
                              </w:rPr>
                              <w:t xml:space="preserve"> SINPE-TP</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CC3F" id="Cuadro de texto 3" o:spid="_x0000_s1030" type="#_x0000_t202" style="position:absolute;left:0;text-align:left;margin-left:64pt;margin-top:55.8pt;width:502.5pt;height:179.9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" filled="f" stroked="f">
                <v:textbo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1DECCD31" w:rsidR="00DA26C5" w:rsidRPr="00DA26C5" w:rsidRDefault="00843CE5" w:rsidP="00DA26C5">
                      <w:pPr>
                        <w:pStyle w:val="PortadaTipoLibro"/>
                        <w:spacing w:line="276" w:lineRule="auto"/>
                        <w:rPr>
                          <w:color w:val="auto"/>
                          <w:spacing w:val="60"/>
                          <w:sz w:val="40"/>
                          <w:szCs w:val="40"/>
                        </w:rPr>
                      </w:pPr>
                      <w:r>
                        <w:rPr>
                          <w:color w:val="auto"/>
                          <w:spacing w:val="60"/>
                          <w:sz w:val="40"/>
                          <w:szCs w:val="40"/>
                        </w:rPr>
                        <w:t>HOMOLOGACIÓN DE EQUIPOS DE VALIDACIÓN PARA</w:t>
                      </w:r>
                      <w:r w:rsidR="00DA26C5" w:rsidRPr="00DA26C5">
                        <w:rPr>
                          <w:color w:val="auto"/>
                          <w:spacing w:val="60"/>
                          <w:sz w:val="40"/>
                          <w:szCs w:val="40"/>
                        </w:rPr>
                        <w:t xml:space="preserve"> SINPE-TP</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v:textbox>
                <w10:wrap anchorx="page"/>
              </v:shape>
            </w:pict>
          </mc:Fallback>
        </mc:AlternateContent>
      </w:r>
      <w:r w:rsidR="00782D76" w:rsidRPr="002F0091">
        <w:rPr>
          <w:noProof/>
          <w:color w:val="FFFFFF" w:themeColor="background1"/>
        </w:rPr>
        <w:drawing>
          <wp:anchor distT="0" distB="0" distL="114300" distR="114300" simplePos="0" relativeHeight="251712000" behindDoc="1" locked="0" layoutInCell="1" allowOverlap="1" wp14:anchorId="6028AF65" wp14:editId="07B666B4">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1"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75136"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2" o:spid="_x0000_s1031" type="#_x0000_t202" style="position:absolute;left:0;text-align:left;margin-left:313.35pt;margin-top:536.05pt;width:192.45pt;height: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9049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9049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70016"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2DA85338" w:rsidR="00D87748" w:rsidRDefault="00A428B1" w:rsidP="006C2CA4">
      <w:r>
        <w:rPr>
          <w:noProof/>
        </w:rPr>
        <w:lastRenderedPageBreak/>
        <mc:AlternateContent>
          <mc:Choice Requires="wps">
            <w:drawing>
              <wp:anchor distT="45720" distB="45720" distL="114300" distR="114300" simplePos="0" relativeHeight="251709952" behindDoc="0" locked="0" layoutInCell="1" allowOverlap="1" wp14:anchorId="44F2F14E" wp14:editId="0974C89C">
                <wp:simplePos x="0" y="0"/>
                <wp:positionH relativeFrom="page">
                  <wp:posOffset>1454150</wp:posOffset>
                </wp:positionH>
                <wp:positionV relativeFrom="paragraph">
                  <wp:posOffset>2115820</wp:posOffset>
                </wp:positionV>
                <wp:extent cx="5124450" cy="2200910"/>
                <wp:effectExtent l="0" t="0" r="0" b="127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200910"/>
                        </a:xfrm>
                        <a:prstGeom prst="rect">
                          <a:avLst/>
                        </a:prstGeom>
                        <a:solidFill>
                          <a:srgbClr val="FFFFFF"/>
                        </a:solidFill>
                        <a:ln w="9525">
                          <a:noFill/>
                          <a:miter lim="800000"/>
                          <a:headEnd/>
                          <a:tailEnd/>
                        </a:ln>
                      </wps:spPr>
                      <wps:txbx>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6560A1B7" w:rsidR="00A428B1" w:rsidRDefault="00843CE5" w:rsidP="00205BDB">
                            <w:pPr>
                              <w:jc w:val="center"/>
                              <w:rPr>
                                <w:b/>
                                <w:bCs/>
                                <w:color w:val="000000" w:themeColor="text1"/>
                                <w:sz w:val="36"/>
                                <w:szCs w:val="36"/>
                              </w:rPr>
                            </w:pPr>
                            <w:r>
                              <w:rPr>
                                <w:b/>
                                <w:bCs/>
                                <w:color w:val="000000" w:themeColor="text1"/>
                                <w:sz w:val="36"/>
                                <w:szCs w:val="36"/>
                              </w:rPr>
                              <w:t>HOMOLOGACIÓN DE EQUIPOS DE VALIDACIÓN PARA SINPE-TP</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4" type="#_x0000_t202" style="position:absolute;left:0;text-align:left;margin-left:114.5pt;margin-top:166.6pt;width:403.5pt;height:173.3pt;z-index:251709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" stroked="f">
                <v:textbox style="mso-fit-shape-to-text:t">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6560A1B7" w:rsidR="00A428B1" w:rsidRDefault="00843CE5" w:rsidP="00205BDB">
                      <w:pPr>
                        <w:jc w:val="center"/>
                        <w:rPr>
                          <w:b/>
                          <w:bCs/>
                          <w:color w:val="000000" w:themeColor="text1"/>
                          <w:sz w:val="36"/>
                          <w:szCs w:val="36"/>
                        </w:rPr>
                      </w:pPr>
                      <w:r>
                        <w:rPr>
                          <w:b/>
                          <w:bCs/>
                          <w:color w:val="000000" w:themeColor="text1"/>
                          <w:sz w:val="36"/>
                          <w:szCs w:val="36"/>
                        </w:rPr>
                        <w:t>HOMOLOGACIÓN DE EQUIPOS DE VALIDACIÓN PARA SINPE-TP</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205BDB">
        <w:rPr>
          <w:noProof/>
        </w:rPr>
        <mc:AlternateContent>
          <mc:Choice Requires="wps">
            <w:drawing>
              <wp:anchor distT="0" distB="0" distL="114300" distR="114300" simplePos="0" relativeHeight="251697664" behindDoc="0" locked="0" layoutInCell="1" allowOverlap="1" wp14:anchorId="0A5F2524" wp14:editId="35C8F9B2">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5" type="#_x0000_t202" style="position:absolute;left:0;text-align:left;margin-left:-98.85pt;margin-top:395.9pt;width:603.5pt;height:34.8pt;z-index:25169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An5Ur1/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1B2EC9">
        <w:rPr>
          <w:noProof/>
        </w:rPr>
        <w:drawing>
          <wp:anchor distT="0" distB="0" distL="114300" distR="114300" simplePos="0" relativeHeight="251705856"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95616"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59776"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3">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34176"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39296"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23936"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0C942CFA" w14:textId="77777777" w:rsidR="00D83E6D" w:rsidRDefault="00D83E6D" w:rsidP="00BA30B6">
      <w:pPr>
        <w:pStyle w:val="TtuloTablaContenido"/>
        <w:spacing w:after="0"/>
        <w:rPr>
          <w:rFonts w:ascii="Arial" w:hAnsi="Arial" w:cs="Arial"/>
          <w:szCs w:val="36"/>
        </w:rPr>
      </w:pPr>
    </w:p>
    <w:p w14:paraId="6E13DFD3" w14:textId="0ECDE9EF" w:rsidR="00D87748" w:rsidRPr="002A2D26" w:rsidRDefault="00D87748" w:rsidP="00BA30B6">
      <w:pPr>
        <w:pStyle w:val="TtuloTablaContenido"/>
        <w:spacing w:after="0"/>
        <w:rPr>
          <w:rFonts w:ascii="Arial" w:hAnsi="Arial" w:cs="Arial"/>
          <w:szCs w:val="36"/>
        </w:rPr>
      </w:pPr>
      <w:r w:rsidRPr="002A2D26">
        <w:rPr>
          <w:rFonts w:ascii="Arial" w:hAnsi="Arial" w:cs="Arial"/>
          <w:szCs w:val="36"/>
        </w:rPr>
        <w:t>Tabla de contenido</w:t>
      </w:r>
    </w:p>
    <w:p w14:paraId="728167FB" w14:textId="77777777" w:rsidR="002A2D26" w:rsidRPr="002A2D26" w:rsidRDefault="002A2D26" w:rsidP="00BA30B6">
      <w:pPr>
        <w:pStyle w:val="TtuloTablaContenido"/>
        <w:spacing w:after="0"/>
        <w:rPr>
          <w:rFonts w:ascii="Arial" w:hAnsi="Arial" w:cs="Arial"/>
          <w:szCs w:val="36"/>
        </w:rPr>
      </w:pPr>
    </w:p>
    <w:bookmarkStart w:id="0" w:name="_Hlk112695910"/>
    <w:p w14:paraId="195F7B3E" w14:textId="35426FA0" w:rsidR="00A65957" w:rsidRDefault="00D87748"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716473" w:history="1">
        <w:r w:rsidR="00A65957" w:rsidRPr="0016000C">
          <w:rPr>
            <w:rStyle w:val="Hipervnculo"/>
            <w:noProof/>
            <w:lang w:val="es-CR"/>
          </w:rPr>
          <w:t>1.</w:t>
        </w:r>
        <w:r w:rsidR="00A65957">
          <w:rPr>
            <w:rFonts w:asciiTheme="minorHAnsi" w:eastAsiaTheme="minorEastAsia" w:hAnsiTheme="minorHAnsi" w:cstheme="minorBidi"/>
            <w:b w:val="0"/>
            <w:noProof/>
            <w:snapToGrid/>
            <w:kern w:val="2"/>
            <w:sz w:val="24"/>
            <w:szCs w:val="24"/>
            <w:lang w:val="es-CR" w:eastAsia="es-CR"/>
            <w14:ligatures w14:val="standardContextual"/>
          </w:rPr>
          <w:tab/>
        </w:r>
        <w:r w:rsidR="00A65957" w:rsidRPr="0016000C">
          <w:rPr>
            <w:rStyle w:val="Hipervnculo"/>
            <w:noProof/>
          </w:rPr>
          <w:t>Introducción</w:t>
        </w:r>
        <w:r w:rsidR="00A65957">
          <w:rPr>
            <w:noProof/>
            <w:webHidden/>
          </w:rPr>
          <w:tab/>
        </w:r>
        <w:r w:rsidR="00A65957">
          <w:rPr>
            <w:noProof/>
            <w:webHidden/>
          </w:rPr>
          <w:fldChar w:fldCharType="begin"/>
        </w:r>
        <w:r w:rsidR="00A65957">
          <w:rPr>
            <w:noProof/>
            <w:webHidden/>
          </w:rPr>
          <w:instrText xml:space="preserve"> PAGEREF _Toc216716473 \h </w:instrText>
        </w:r>
        <w:r w:rsidR="00A65957">
          <w:rPr>
            <w:noProof/>
            <w:webHidden/>
          </w:rPr>
        </w:r>
        <w:r w:rsidR="00A65957">
          <w:rPr>
            <w:noProof/>
            <w:webHidden/>
          </w:rPr>
          <w:fldChar w:fldCharType="separate"/>
        </w:r>
        <w:r w:rsidR="00A65957">
          <w:rPr>
            <w:noProof/>
            <w:webHidden/>
          </w:rPr>
          <w:t>1</w:t>
        </w:r>
        <w:r w:rsidR="00A65957">
          <w:rPr>
            <w:noProof/>
            <w:webHidden/>
          </w:rPr>
          <w:fldChar w:fldCharType="end"/>
        </w:r>
      </w:hyperlink>
    </w:p>
    <w:p w14:paraId="7F07B277" w14:textId="1D0C22E3"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74" w:history="1">
        <w:r w:rsidRPr="0016000C">
          <w:rPr>
            <w:rStyle w:val="Hipervnculo"/>
            <w:noProof/>
            <w:lang w:val="es-CR"/>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Alcance</w:t>
        </w:r>
        <w:r>
          <w:rPr>
            <w:noProof/>
            <w:webHidden/>
          </w:rPr>
          <w:tab/>
        </w:r>
        <w:r>
          <w:rPr>
            <w:noProof/>
            <w:webHidden/>
          </w:rPr>
          <w:fldChar w:fldCharType="begin"/>
        </w:r>
        <w:r>
          <w:rPr>
            <w:noProof/>
            <w:webHidden/>
          </w:rPr>
          <w:instrText xml:space="preserve"> PAGEREF _Toc216716474 \h </w:instrText>
        </w:r>
        <w:r>
          <w:rPr>
            <w:noProof/>
            <w:webHidden/>
          </w:rPr>
        </w:r>
        <w:r>
          <w:rPr>
            <w:noProof/>
            <w:webHidden/>
          </w:rPr>
          <w:fldChar w:fldCharType="separate"/>
        </w:r>
        <w:r>
          <w:rPr>
            <w:noProof/>
            <w:webHidden/>
          </w:rPr>
          <w:t>1</w:t>
        </w:r>
        <w:r>
          <w:rPr>
            <w:noProof/>
            <w:webHidden/>
          </w:rPr>
          <w:fldChar w:fldCharType="end"/>
        </w:r>
      </w:hyperlink>
    </w:p>
    <w:p w14:paraId="6556813B" w14:textId="0F2A373D"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75" w:history="1">
        <w:r w:rsidRPr="0016000C">
          <w:rPr>
            <w:rStyle w:val="Hipervnculo"/>
            <w:noProof/>
            <w:lang w:val="es-CR"/>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Definiciones</w:t>
        </w:r>
        <w:r>
          <w:rPr>
            <w:noProof/>
            <w:webHidden/>
          </w:rPr>
          <w:tab/>
        </w:r>
        <w:r>
          <w:rPr>
            <w:noProof/>
            <w:webHidden/>
          </w:rPr>
          <w:fldChar w:fldCharType="begin"/>
        </w:r>
        <w:r>
          <w:rPr>
            <w:noProof/>
            <w:webHidden/>
          </w:rPr>
          <w:instrText xml:space="preserve"> PAGEREF _Toc216716475 \h </w:instrText>
        </w:r>
        <w:r>
          <w:rPr>
            <w:noProof/>
            <w:webHidden/>
          </w:rPr>
        </w:r>
        <w:r>
          <w:rPr>
            <w:noProof/>
            <w:webHidden/>
          </w:rPr>
          <w:fldChar w:fldCharType="separate"/>
        </w:r>
        <w:r>
          <w:rPr>
            <w:noProof/>
            <w:webHidden/>
          </w:rPr>
          <w:t>1</w:t>
        </w:r>
        <w:r>
          <w:rPr>
            <w:noProof/>
            <w:webHidden/>
          </w:rPr>
          <w:fldChar w:fldCharType="end"/>
        </w:r>
      </w:hyperlink>
    </w:p>
    <w:p w14:paraId="42A893F8" w14:textId="4D45774C"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76" w:history="1">
        <w:r w:rsidRPr="0016000C">
          <w:rPr>
            <w:rStyle w:val="Hipervnculo"/>
            <w:noProof/>
            <w:lang w:val="es-CR"/>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Regulación relacionada</w:t>
        </w:r>
        <w:r>
          <w:rPr>
            <w:noProof/>
            <w:webHidden/>
          </w:rPr>
          <w:tab/>
        </w:r>
        <w:r>
          <w:rPr>
            <w:noProof/>
            <w:webHidden/>
          </w:rPr>
          <w:fldChar w:fldCharType="begin"/>
        </w:r>
        <w:r>
          <w:rPr>
            <w:noProof/>
            <w:webHidden/>
          </w:rPr>
          <w:instrText xml:space="preserve"> PAGEREF _Toc216716476 \h </w:instrText>
        </w:r>
        <w:r>
          <w:rPr>
            <w:noProof/>
            <w:webHidden/>
          </w:rPr>
        </w:r>
        <w:r>
          <w:rPr>
            <w:noProof/>
            <w:webHidden/>
          </w:rPr>
          <w:fldChar w:fldCharType="separate"/>
        </w:r>
        <w:r>
          <w:rPr>
            <w:noProof/>
            <w:webHidden/>
          </w:rPr>
          <w:t>5</w:t>
        </w:r>
        <w:r>
          <w:rPr>
            <w:noProof/>
            <w:webHidden/>
          </w:rPr>
          <w:fldChar w:fldCharType="end"/>
        </w:r>
      </w:hyperlink>
    </w:p>
    <w:p w14:paraId="58415B46" w14:textId="4B8D4C5C"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77" w:history="1">
        <w:r w:rsidRPr="0016000C">
          <w:rPr>
            <w:rStyle w:val="Hipervnculo"/>
            <w:noProof/>
            <w:lang w:val="es-CR"/>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Naturaleza de la homologación</w:t>
        </w:r>
        <w:r>
          <w:rPr>
            <w:noProof/>
            <w:webHidden/>
          </w:rPr>
          <w:tab/>
        </w:r>
        <w:r>
          <w:rPr>
            <w:noProof/>
            <w:webHidden/>
          </w:rPr>
          <w:fldChar w:fldCharType="begin"/>
        </w:r>
        <w:r>
          <w:rPr>
            <w:noProof/>
            <w:webHidden/>
          </w:rPr>
          <w:instrText xml:space="preserve"> PAGEREF _Toc216716477 \h </w:instrText>
        </w:r>
        <w:r>
          <w:rPr>
            <w:noProof/>
            <w:webHidden/>
          </w:rPr>
        </w:r>
        <w:r>
          <w:rPr>
            <w:noProof/>
            <w:webHidden/>
          </w:rPr>
          <w:fldChar w:fldCharType="separate"/>
        </w:r>
        <w:r>
          <w:rPr>
            <w:noProof/>
            <w:webHidden/>
          </w:rPr>
          <w:t>5</w:t>
        </w:r>
        <w:r>
          <w:rPr>
            <w:noProof/>
            <w:webHidden/>
          </w:rPr>
          <w:fldChar w:fldCharType="end"/>
        </w:r>
      </w:hyperlink>
    </w:p>
    <w:p w14:paraId="5E575F86" w14:textId="3FDD352F"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78" w:history="1">
        <w:r w:rsidRPr="0016000C">
          <w:rPr>
            <w:rStyle w:val="Hipervnculo"/>
            <w:noProof/>
            <w:lang w:val="es-CR"/>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Consideraciones generales</w:t>
        </w:r>
        <w:r>
          <w:rPr>
            <w:noProof/>
            <w:webHidden/>
          </w:rPr>
          <w:tab/>
        </w:r>
        <w:r>
          <w:rPr>
            <w:noProof/>
            <w:webHidden/>
          </w:rPr>
          <w:fldChar w:fldCharType="begin"/>
        </w:r>
        <w:r>
          <w:rPr>
            <w:noProof/>
            <w:webHidden/>
          </w:rPr>
          <w:instrText xml:space="preserve"> PAGEREF _Toc216716478 \h </w:instrText>
        </w:r>
        <w:r>
          <w:rPr>
            <w:noProof/>
            <w:webHidden/>
          </w:rPr>
        </w:r>
        <w:r>
          <w:rPr>
            <w:noProof/>
            <w:webHidden/>
          </w:rPr>
          <w:fldChar w:fldCharType="separate"/>
        </w:r>
        <w:r>
          <w:rPr>
            <w:noProof/>
            <w:webHidden/>
          </w:rPr>
          <w:t>5</w:t>
        </w:r>
        <w:r>
          <w:rPr>
            <w:noProof/>
            <w:webHidden/>
          </w:rPr>
          <w:fldChar w:fldCharType="end"/>
        </w:r>
      </w:hyperlink>
    </w:p>
    <w:p w14:paraId="58F88260" w14:textId="640E9F51"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79" w:history="1">
        <w:r w:rsidRPr="0016000C">
          <w:rPr>
            <w:rStyle w:val="Hipervnculo"/>
          </w:rPr>
          <w:t>6.1.</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Manejo de la información</w:t>
        </w:r>
        <w:r>
          <w:rPr>
            <w:webHidden/>
          </w:rPr>
          <w:tab/>
        </w:r>
        <w:r>
          <w:rPr>
            <w:webHidden/>
          </w:rPr>
          <w:fldChar w:fldCharType="begin"/>
        </w:r>
        <w:r>
          <w:rPr>
            <w:webHidden/>
          </w:rPr>
          <w:instrText xml:space="preserve"> PAGEREF _Toc216716479 \h </w:instrText>
        </w:r>
        <w:r>
          <w:rPr>
            <w:webHidden/>
          </w:rPr>
        </w:r>
        <w:r>
          <w:rPr>
            <w:webHidden/>
          </w:rPr>
          <w:fldChar w:fldCharType="separate"/>
        </w:r>
        <w:r>
          <w:rPr>
            <w:webHidden/>
          </w:rPr>
          <w:t>5</w:t>
        </w:r>
        <w:r>
          <w:rPr>
            <w:webHidden/>
          </w:rPr>
          <w:fldChar w:fldCharType="end"/>
        </w:r>
      </w:hyperlink>
    </w:p>
    <w:p w14:paraId="50AE8FE4" w14:textId="285C96EC"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0" w:history="1">
        <w:r w:rsidRPr="0016000C">
          <w:rPr>
            <w:rStyle w:val="Hipervnculo"/>
          </w:rPr>
          <w:t>6.2.</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Medio para el manejo documental</w:t>
        </w:r>
        <w:r>
          <w:rPr>
            <w:webHidden/>
          </w:rPr>
          <w:tab/>
        </w:r>
        <w:r>
          <w:rPr>
            <w:webHidden/>
          </w:rPr>
          <w:fldChar w:fldCharType="begin"/>
        </w:r>
        <w:r>
          <w:rPr>
            <w:webHidden/>
          </w:rPr>
          <w:instrText xml:space="preserve"> PAGEREF _Toc216716480 \h </w:instrText>
        </w:r>
        <w:r>
          <w:rPr>
            <w:webHidden/>
          </w:rPr>
        </w:r>
        <w:r>
          <w:rPr>
            <w:webHidden/>
          </w:rPr>
          <w:fldChar w:fldCharType="separate"/>
        </w:r>
        <w:r>
          <w:rPr>
            <w:webHidden/>
          </w:rPr>
          <w:t>5</w:t>
        </w:r>
        <w:r>
          <w:rPr>
            <w:webHidden/>
          </w:rPr>
          <w:fldChar w:fldCharType="end"/>
        </w:r>
      </w:hyperlink>
    </w:p>
    <w:p w14:paraId="53D2F0B3" w14:textId="18A5610F"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1" w:history="1">
        <w:r w:rsidRPr="0016000C">
          <w:rPr>
            <w:rStyle w:val="Hipervnculo"/>
          </w:rPr>
          <w:t>6.3.</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Precondición para la homologación de equipos de validación</w:t>
        </w:r>
        <w:r>
          <w:rPr>
            <w:webHidden/>
          </w:rPr>
          <w:tab/>
        </w:r>
        <w:r>
          <w:rPr>
            <w:webHidden/>
          </w:rPr>
          <w:fldChar w:fldCharType="begin"/>
        </w:r>
        <w:r>
          <w:rPr>
            <w:webHidden/>
          </w:rPr>
          <w:instrText xml:space="preserve"> PAGEREF _Toc216716481 \h </w:instrText>
        </w:r>
        <w:r>
          <w:rPr>
            <w:webHidden/>
          </w:rPr>
        </w:r>
        <w:r>
          <w:rPr>
            <w:webHidden/>
          </w:rPr>
          <w:fldChar w:fldCharType="separate"/>
        </w:r>
        <w:r>
          <w:rPr>
            <w:webHidden/>
          </w:rPr>
          <w:t>6</w:t>
        </w:r>
        <w:r>
          <w:rPr>
            <w:webHidden/>
          </w:rPr>
          <w:fldChar w:fldCharType="end"/>
        </w:r>
      </w:hyperlink>
    </w:p>
    <w:p w14:paraId="5E68D8D2" w14:textId="7D89CB85"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2" w:history="1">
        <w:r w:rsidRPr="0016000C">
          <w:rPr>
            <w:rStyle w:val="Hipervnculo"/>
          </w:rPr>
          <w:t>6.4.</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Formas para activar el proceso de homologación</w:t>
        </w:r>
        <w:r>
          <w:rPr>
            <w:webHidden/>
          </w:rPr>
          <w:tab/>
        </w:r>
        <w:r>
          <w:rPr>
            <w:webHidden/>
          </w:rPr>
          <w:fldChar w:fldCharType="begin"/>
        </w:r>
        <w:r>
          <w:rPr>
            <w:webHidden/>
          </w:rPr>
          <w:instrText xml:space="preserve"> PAGEREF _Toc216716482 \h </w:instrText>
        </w:r>
        <w:r>
          <w:rPr>
            <w:webHidden/>
          </w:rPr>
        </w:r>
        <w:r>
          <w:rPr>
            <w:webHidden/>
          </w:rPr>
          <w:fldChar w:fldCharType="separate"/>
        </w:r>
        <w:r>
          <w:rPr>
            <w:webHidden/>
          </w:rPr>
          <w:t>6</w:t>
        </w:r>
        <w:r>
          <w:rPr>
            <w:webHidden/>
          </w:rPr>
          <w:fldChar w:fldCharType="end"/>
        </w:r>
      </w:hyperlink>
    </w:p>
    <w:p w14:paraId="7752C94D" w14:textId="1C82E195"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3" w:history="1">
        <w:r w:rsidRPr="0016000C">
          <w:rPr>
            <w:rStyle w:val="Hipervnculo"/>
          </w:rPr>
          <w:t>6.5.</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Orden de prioridad para la atención de solicitudes</w:t>
        </w:r>
        <w:r>
          <w:rPr>
            <w:webHidden/>
          </w:rPr>
          <w:tab/>
        </w:r>
        <w:r>
          <w:rPr>
            <w:webHidden/>
          </w:rPr>
          <w:fldChar w:fldCharType="begin"/>
        </w:r>
        <w:r>
          <w:rPr>
            <w:webHidden/>
          </w:rPr>
          <w:instrText xml:space="preserve"> PAGEREF _Toc216716483 \h </w:instrText>
        </w:r>
        <w:r>
          <w:rPr>
            <w:webHidden/>
          </w:rPr>
        </w:r>
        <w:r>
          <w:rPr>
            <w:webHidden/>
          </w:rPr>
          <w:fldChar w:fldCharType="separate"/>
        </w:r>
        <w:r>
          <w:rPr>
            <w:webHidden/>
          </w:rPr>
          <w:t>6</w:t>
        </w:r>
        <w:r>
          <w:rPr>
            <w:webHidden/>
          </w:rPr>
          <w:fldChar w:fldCharType="end"/>
        </w:r>
      </w:hyperlink>
    </w:p>
    <w:p w14:paraId="3E018715" w14:textId="0EE93BE7"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4" w:history="1">
        <w:r w:rsidRPr="0016000C">
          <w:rPr>
            <w:rStyle w:val="Hipervnculo"/>
          </w:rPr>
          <w:t>6.6.</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Búsqueda de operadores de transporte para las pruebas de campo</w:t>
        </w:r>
        <w:r>
          <w:rPr>
            <w:webHidden/>
          </w:rPr>
          <w:tab/>
        </w:r>
        <w:r>
          <w:rPr>
            <w:webHidden/>
          </w:rPr>
          <w:fldChar w:fldCharType="begin"/>
        </w:r>
        <w:r>
          <w:rPr>
            <w:webHidden/>
          </w:rPr>
          <w:instrText xml:space="preserve"> PAGEREF _Toc216716484 \h </w:instrText>
        </w:r>
        <w:r>
          <w:rPr>
            <w:webHidden/>
          </w:rPr>
        </w:r>
        <w:r>
          <w:rPr>
            <w:webHidden/>
          </w:rPr>
          <w:fldChar w:fldCharType="separate"/>
        </w:r>
        <w:r>
          <w:rPr>
            <w:webHidden/>
          </w:rPr>
          <w:t>6</w:t>
        </w:r>
        <w:r>
          <w:rPr>
            <w:webHidden/>
          </w:rPr>
          <w:fldChar w:fldCharType="end"/>
        </w:r>
      </w:hyperlink>
    </w:p>
    <w:p w14:paraId="5BA8110F" w14:textId="6C1A9332"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5" w:history="1">
        <w:r w:rsidRPr="0016000C">
          <w:rPr>
            <w:rStyle w:val="Hipervnculo"/>
          </w:rPr>
          <w:t>6.7.</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Direcciones oficiales para comunicaciones y correspondencia</w:t>
        </w:r>
        <w:r>
          <w:rPr>
            <w:webHidden/>
          </w:rPr>
          <w:tab/>
        </w:r>
        <w:r>
          <w:rPr>
            <w:webHidden/>
          </w:rPr>
          <w:fldChar w:fldCharType="begin"/>
        </w:r>
        <w:r>
          <w:rPr>
            <w:webHidden/>
          </w:rPr>
          <w:instrText xml:space="preserve"> PAGEREF _Toc216716485 \h </w:instrText>
        </w:r>
        <w:r>
          <w:rPr>
            <w:webHidden/>
          </w:rPr>
        </w:r>
        <w:r>
          <w:rPr>
            <w:webHidden/>
          </w:rPr>
          <w:fldChar w:fldCharType="separate"/>
        </w:r>
        <w:r>
          <w:rPr>
            <w:webHidden/>
          </w:rPr>
          <w:t>6</w:t>
        </w:r>
        <w:r>
          <w:rPr>
            <w:webHidden/>
          </w:rPr>
          <w:fldChar w:fldCharType="end"/>
        </w:r>
      </w:hyperlink>
    </w:p>
    <w:p w14:paraId="59A363E2" w14:textId="28C4B78D"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6" w:history="1">
        <w:r w:rsidRPr="0016000C">
          <w:rPr>
            <w:rStyle w:val="Hipervnculo"/>
          </w:rPr>
          <w:t>6.8.</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Registro de equipos de validación homologados</w:t>
        </w:r>
        <w:r>
          <w:rPr>
            <w:webHidden/>
          </w:rPr>
          <w:tab/>
        </w:r>
        <w:r>
          <w:rPr>
            <w:webHidden/>
          </w:rPr>
          <w:fldChar w:fldCharType="begin"/>
        </w:r>
        <w:r>
          <w:rPr>
            <w:webHidden/>
          </w:rPr>
          <w:instrText xml:space="preserve"> PAGEREF _Toc216716486 \h </w:instrText>
        </w:r>
        <w:r>
          <w:rPr>
            <w:webHidden/>
          </w:rPr>
        </w:r>
        <w:r>
          <w:rPr>
            <w:webHidden/>
          </w:rPr>
          <w:fldChar w:fldCharType="separate"/>
        </w:r>
        <w:r>
          <w:rPr>
            <w:webHidden/>
          </w:rPr>
          <w:t>7</w:t>
        </w:r>
        <w:r>
          <w:rPr>
            <w:webHidden/>
          </w:rPr>
          <w:fldChar w:fldCharType="end"/>
        </w:r>
      </w:hyperlink>
    </w:p>
    <w:p w14:paraId="6C3BC378" w14:textId="43726C73"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7" w:history="1">
        <w:r w:rsidRPr="0016000C">
          <w:rPr>
            <w:rStyle w:val="Hipervnculo"/>
          </w:rPr>
          <w:t>6.9.</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Aspectos de diseño y apariencia</w:t>
        </w:r>
        <w:r>
          <w:rPr>
            <w:webHidden/>
          </w:rPr>
          <w:tab/>
        </w:r>
        <w:r>
          <w:rPr>
            <w:webHidden/>
          </w:rPr>
          <w:fldChar w:fldCharType="begin"/>
        </w:r>
        <w:r>
          <w:rPr>
            <w:webHidden/>
          </w:rPr>
          <w:instrText xml:space="preserve"> PAGEREF _Toc216716487 \h </w:instrText>
        </w:r>
        <w:r>
          <w:rPr>
            <w:webHidden/>
          </w:rPr>
        </w:r>
        <w:r>
          <w:rPr>
            <w:webHidden/>
          </w:rPr>
          <w:fldChar w:fldCharType="separate"/>
        </w:r>
        <w:r>
          <w:rPr>
            <w:webHidden/>
          </w:rPr>
          <w:t>7</w:t>
        </w:r>
        <w:r>
          <w:rPr>
            <w:webHidden/>
          </w:rPr>
          <w:fldChar w:fldCharType="end"/>
        </w:r>
      </w:hyperlink>
    </w:p>
    <w:p w14:paraId="4BC6C1C9" w14:textId="6CB4E3BC"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88" w:history="1">
        <w:r w:rsidRPr="0016000C">
          <w:rPr>
            <w:rStyle w:val="Hipervnculo"/>
          </w:rPr>
          <w:t>6.10.</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Soporte técnico y administrativo</w:t>
        </w:r>
        <w:r>
          <w:rPr>
            <w:webHidden/>
          </w:rPr>
          <w:tab/>
        </w:r>
        <w:r>
          <w:rPr>
            <w:webHidden/>
          </w:rPr>
          <w:fldChar w:fldCharType="begin"/>
        </w:r>
        <w:r>
          <w:rPr>
            <w:webHidden/>
          </w:rPr>
          <w:instrText xml:space="preserve"> PAGEREF _Toc216716488 \h </w:instrText>
        </w:r>
        <w:r>
          <w:rPr>
            <w:webHidden/>
          </w:rPr>
        </w:r>
        <w:r>
          <w:rPr>
            <w:webHidden/>
          </w:rPr>
          <w:fldChar w:fldCharType="separate"/>
        </w:r>
        <w:r>
          <w:rPr>
            <w:webHidden/>
          </w:rPr>
          <w:t>7</w:t>
        </w:r>
        <w:r>
          <w:rPr>
            <w:webHidden/>
          </w:rPr>
          <w:fldChar w:fldCharType="end"/>
        </w:r>
      </w:hyperlink>
    </w:p>
    <w:p w14:paraId="23052B24" w14:textId="5631EEBB"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89" w:history="1">
        <w:r w:rsidRPr="0016000C">
          <w:rPr>
            <w:rStyle w:val="Hipervnculo"/>
            <w:noProof/>
            <w:lang w:val="es-CR"/>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Requisitos técnicos para la homologación de equipos de validación</w:t>
        </w:r>
        <w:r>
          <w:rPr>
            <w:noProof/>
            <w:webHidden/>
          </w:rPr>
          <w:tab/>
        </w:r>
        <w:r>
          <w:rPr>
            <w:noProof/>
            <w:webHidden/>
          </w:rPr>
          <w:fldChar w:fldCharType="begin"/>
        </w:r>
        <w:r>
          <w:rPr>
            <w:noProof/>
            <w:webHidden/>
          </w:rPr>
          <w:instrText xml:space="preserve"> PAGEREF _Toc216716489 \h </w:instrText>
        </w:r>
        <w:r>
          <w:rPr>
            <w:noProof/>
            <w:webHidden/>
          </w:rPr>
        </w:r>
        <w:r>
          <w:rPr>
            <w:noProof/>
            <w:webHidden/>
          </w:rPr>
          <w:fldChar w:fldCharType="separate"/>
        </w:r>
        <w:r>
          <w:rPr>
            <w:noProof/>
            <w:webHidden/>
          </w:rPr>
          <w:t>7</w:t>
        </w:r>
        <w:r>
          <w:rPr>
            <w:noProof/>
            <w:webHidden/>
          </w:rPr>
          <w:fldChar w:fldCharType="end"/>
        </w:r>
      </w:hyperlink>
    </w:p>
    <w:p w14:paraId="1854C5DE" w14:textId="24DC6C0E"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90" w:history="1">
        <w:r w:rsidRPr="0016000C">
          <w:rPr>
            <w:rStyle w:val="Hipervnculo"/>
            <w:noProof/>
            <w:lang w:val="es-CR"/>
          </w:rPr>
          <w:t>8.</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Proceso de homologación de equipos de validación</w:t>
        </w:r>
        <w:r>
          <w:rPr>
            <w:noProof/>
            <w:webHidden/>
          </w:rPr>
          <w:tab/>
        </w:r>
        <w:r>
          <w:rPr>
            <w:noProof/>
            <w:webHidden/>
          </w:rPr>
          <w:fldChar w:fldCharType="begin"/>
        </w:r>
        <w:r>
          <w:rPr>
            <w:noProof/>
            <w:webHidden/>
          </w:rPr>
          <w:instrText xml:space="preserve"> PAGEREF _Toc216716490 \h </w:instrText>
        </w:r>
        <w:r>
          <w:rPr>
            <w:noProof/>
            <w:webHidden/>
          </w:rPr>
        </w:r>
        <w:r>
          <w:rPr>
            <w:noProof/>
            <w:webHidden/>
          </w:rPr>
          <w:fldChar w:fldCharType="separate"/>
        </w:r>
        <w:r>
          <w:rPr>
            <w:noProof/>
            <w:webHidden/>
          </w:rPr>
          <w:t>8</w:t>
        </w:r>
        <w:r>
          <w:rPr>
            <w:noProof/>
            <w:webHidden/>
          </w:rPr>
          <w:fldChar w:fldCharType="end"/>
        </w:r>
      </w:hyperlink>
    </w:p>
    <w:p w14:paraId="07379B8F" w14:textId="63830361"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91" w:history="1">
        <w:r w:rsidRPr="0016000C">
          <w:rPr>
            <w:rStyle w:val="Hipervnculo"/>
          </w:rPr>
          <w:t>8.1.</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Etapas del proceso de homologación</w:t>
        </w:r>
        <w:r>
          <w:rPr>
            <w:webHidden/>
          </w:rPr>
          <w:tab/>
        </w:r>
        <w:r>
          <w:rPr>
            <w:webHidden/>
          </w:rPr>
          <w:fldChar w:fldCharType="begin"/>
        </w:r>
        <w:r>
          <w:rPr>
            <w:webHidden/>
          </w:rPr>
          <w:instrText xml:space="preserve"> PAGEREF _Toc216716491 \h </w:instrText>
        </w:r>
        <w:r>
          <w:rPr>
            <w:webHidden/>
          </w:rPr>
        </w:r>
        <w:r>
          <w:rPr>
            <w:webHidden/>
          </w:rPr>
          <w:fldChar w:fldCharType="separate"/>
        </w:r>
        <w:r>
          <w:rPr>
            <w:webHidden/>
          </w:rPr>
          <w:t>8</w:t>
        </w:r>
        <w:r>
          <w:rPr>
            <w:webHidden/>
          </w:rPr>
          <w:fldChar w:fldCharType="end"/>
        </w:r>
      </w:hyperlink>
    </w:p>
    <w:p w14:paraId="7B57827B" w14:textId="1DD1970B" w:rsidR="00A65957" w:rsidRDefault="00A65957" w:rsidP="00A65957">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16492" w:history="1">
        <w:r w:rsidRPr="0016000C">
          <w:rPr>
            <w:rStyle w:val="Hipervnculo"/>
          </w:rPr>
          <w:t>8.1.1.</w:t>
        </w:r>
        <w:r>
          <w:rPr>
            <w:rFonts w:asciiTheme="minorHAnsi" w:eastAsiaTheme="minorEastAsia" w:hAnsiTheme="minorHAnsi" w:cstheme="minorBidi"/>
            <w:snapToGrid/>
            <w:color w:val="auto"/>
            <w:kern w:val="2"/>
            <w:sz w:val="24"/>
            <w:szCs w:val="24"/>
            <w:lang w:val="es-CR" w:eastAsia="es-CR"/>
            <w14:ligatures w14:val="standardContextual"/>
          </w:rPr>
          <w:tab/>
        </w:r>
        <w:r w:rsidRPr="0016000C">
          <w:rPr>
            <w:rStyle w:val="Hipervnculo"/>
          </w:rPr>
          <w:t>Primera etapa: admisión de solicitudes</w:t>
        </w:r>
        <w:r>
          <w:rPr>
            <w:webHidden/>
          </w:rPr>
          <w:tab/>
        </w:r>
        <w:r>
          <w:rPr>
            <w:webHidden/>
          </w:rPr>
          <w:fldChar w:fldCharType="begin"/>
        </w:r>
        <w:r>
          <w:rPr>
            <w:webHidden/>
          </w:rPr>
          <w:instrText xml:space="preserve"> PAGEREF _Toc216716492 \h </w:instrText>
        </w:r>
        <w:r>
          <w:rPr>
            <w:webHidden/>
          </w:rPr>
        </w:r>
        <w:r>
          <w:rPr>
            <w:webHidden/>
          </w:rPr>
          <w:fldChar w:fldCharType="separate"/>
        </w:r>
        <w:r>
          <w:rPr>
            <w:webHidden/>
          </w:rPr>
          <w:t>8</w:t>
        </w:r>
        <w:r>
          <w:rPr>
            <w:webHidden/>
          </w:rPr>
          <w:fldChar w:fldCharType="end"/>
        </w:r>
      </w:hyperlink>
    </w:p>
    <w:p w14:paraId="6735981A" w14:textId="603110A5" w:rsidR="00A65957" w:rsidRDefault="00A65957" w:rsidP="00A65957">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16493" w:history="1">
        <w:r w:rsidRPr="0016000C">
          <w:rPr>
            <w:rStyle w:val="Hipervnculo"/>
          </w:rPr>
          <w:t>8.1.2.</w:t>
        </w:r>
        <w:r>
          <w:rPr>
            <w:rFonts w:asciiTheme="minorHAnsi" w:eastAsiaTheme="minorEastAsia" w:hAnsiTheme="minorHAnsi" w:cstheme="minorBidi"/>
            <w:snapToGrid/>
            <w:color w:val="auto"/>
            <w:kern w:val="2"/>
            <w:sz w:val="24"/>
            <w:szCs w:val="24"/>
            <w:lang w:val="es-CR" w:eastAsia="es-CR"/>
            <w14:ligatures w14:val="standardContextual"/>
          </w:rPr>
          <w:tab/>
        </w:r>
        <w:r w:rsidRPr="0016000C">
          <w:rPr>
            <w:rStyle w:val="Hipervnculo"/>
          </w:rPr>
          <w:t>Segunda etapa: adaptación del software base y pruebas de laboratorio</w:t>
        </w:r>
        <w:r>
          <w:rPr>
            <w:webHidden/>
          </w:rPr>
          <w:tab/>
        </w:r>
        <w:r>
          <w:rPr>
            <w:webHidden/>
          </w:rPr>
          <w:fldChar w:fldCharType="begin"/>
        </w:r>
        <w:r>
          <w:rPr>
            <w:webHidden/>
          </w:rPr>
          <w:instrText xml:space="preserve"> PAGEREF _Toc216716493 \h </w:instrText>
        </w:r>
        <w:r>
          <w:rPr>
            <w:webHidden/>
          </w:rPr>
        </w:r>
        <w:r>
          <w:rPr>
            <w:webHidden/>
          </w:rPr>
          <w:fldChar w:fldCharType="separate"/>
        </w:r>
        <w:r>
          <w:rPr>
            <w:webHidden/>
          </w:rPr>
          <w:t>8</w:t>
        </w:r>
        <w:r>
          <w:rPr>
            <w:webHidden/>
          </w:rPr>
          <w:fldChar w:fldCharType="end"/>
        </w:r>
      </w:hyperlink>
    </w:p>
    <w:p w14:paraId="0E18FB2F" w14:textId="3C0CB4EA" w:rsidR="00A65957" w:rsidRDefault="00A65957" w:rsidP="00A65957">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16494" w:history="1">
        <w:r w:rsidRPr="0016000C">
          <w:rPr>
            <w:rStyle w:val="Hipervnculo"/>
          </w:rPr>
          <w:t>8.1.3.</w:t>
        </w:r>
        <w:r>
          <w:rPr>
            <w:rFonts w:asciiTheme="minorHAnsi" w:eastAsiaTheme="minorEastAsia" w:hAnsiTheme="minorHAnsi" w:cstheme="minorBidi"/>
            <w:snapToGrid/>
            <w:color w:val="auto"/>
            <w:kern w:val="2"/>
            <w:sz w:val="24"/>
            <w:szCs w:val="24"/>
            <w:lang w:val="es-CR" w:eastAsia="es-CR"/>
            <w14:ligatures w14:val="standardContextual"/>
          </w:rPr>
          <w:tab/>
        </w:r>
        <w:r w:rsidRPr="0016000C">
          <w:rPr>
            <w:rStyle w:val="Hipervnculo"/>
          </w:rPr>
          <w:t>Tercera etapa: pruebas en el ambiente de producción</w:t>
        </w:r>
        <w:r>
          <w:rPr>
            <w:webHidden/>
          </w:rPr>
          <w:tab/>
        </w:r>
        <w:r>
          <w:rPr>
            <w:webHidden/>
          </w:rPr>
          <w:fldChar w:fldCharType="begin"/>
        </w:r>
        <w:r>
          <w:rPr>
            <w:webHidden/>
          </w:rPr>
          <w:instrText xml:space="preserve"> PAGEREF _Toc216716494 \h </w:instrText>
        </w:r>
        <w:r>
          <w:rPr>
            <w:webHidden/>
          </w:rPr>
        </w:r>
        <w:r>
          <w:rPr>
            <w:webHidden/>
          </w:rPr>
          <w:fldChar w:fldCharType="separate"/>
        </w:r>
        <w:r>
          <w:rPr>
            <w:webHidden/>
          </w:rPr>
          <w:t>11</w:t>
        </w:r>
        <w:r>
          <w:rPr>
            <w:webHidden/>
          </w:rPr>
          <w:fldChar w:fldCharType="end"/>
        </w:r>
      </w:hyperlink>
    </w:p>
    <w:p w14:paraId="6F68F677" w14:textId="695181F8"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95" w:history="1">
        <w:r w:rsidRPr="0016000C">
          <w:rPr>
            <w:rStyle w:val="Hipervnculo"/>
          </w:rPr>
          <w:t>8.2.</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Notificación de resultados</w:t>
        </w:r>
        <w:r>
          <w:rPr>
            <w:webHidden/>
          </w:rPr>
          <w:tab/>
        </w:r>
        <w:r>
          <w:rPr>
            <w:webHidden/>
          </w:rPr>
          <w:fldChar w:fldCharType="begin"/>
        </w:r>
        <w:r>
          <w:rPr>
            <w:webHidden/>
          </w:rPr>
          <w:instrText xml:space="preserve"> PAGEREF _Toc216716495 \h </w:instrText>
        </w:r>
        <w:r>
          <w:rPr>
            <w:webHidden/>
          </w:rPr>
        </w:r>
        <w:r>
          <w:rPr>
            <w:webHidden/>
          </w:rPr>
          <w:fldChar w:fldCharType="separate"/>
        </w:r>
        <w:r>
          <w:rPr>
            <w:webHidden/>
          </w:rPr>
          <w:t>12</w:t>
        </w:r>
        <w:r>
          <w:rPr>
            <w:webHidden/>
          </w:rPr>
          <w:fldChar w:fldCharType="end"/>
        </w:r>
      </w:hyperlink>
    </w:p>
    <w:p w14:paraId="28C41C82" w14:textId="09C04C2F" w:rsidR="00A65957" w:rsidRDefault="00A65957" w:rsidP="00A65957">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16496" w:history="1">
        <w:r w:rsidRPr="0016000C">
          <w:rPr>
            <w:rStyle w:val="Hipervnculo"/>
          </w:rPr>
          <w:t>8.3.</w:t>
        </w:r>
        <w:r>
          <w:rPr>
            <w:rFonts w:asciiTheme="minorHAnsi" w:eastAsiaTheme="minorEastAsia" w:hAnsiTheme="minorHAnsi" w:cstheme="minorBidi"/>
            <w:snapToGrid/>
            <w:kern w:val="2"/>
            <w:sz w:val="24"/>
            <w:szCs w:val="24"/>
            <w:lang w:val="es-CR" w:eastAsia="es-CR"/>
            <w14:ligatures w14:val="standardContextual"/>
          </w:rPr>
          <w:tab/>
        </w:r>
        <w:r w:rsidRPr="0016000C">
          <w:rPr>
            <w:rStyle w:val="Hipervnculo"/>
          </w:rPr>
          <w:t>Vigencia de la homologación</w:t>
        </w:r>
        <w:r>
          <w:rPr>
            <w:webHidden/>
          </w:rPr>
          <w:tab/>
        </w:r>
        <w:r>
          <w:rPr>
            <w:webHidden/>
          </w:rPr>
          <w:fldChar w:fldCharType="begin"/>
        </w:r>
        <w:r>
          <w:rPr>
            <w:webHidden/>
          </w:rPr>
          <w:instrText xml:space="preserve"> PAGEREF _Toc216716496 \h </w:instrText>
        </w:r>
        <w:r>
          <w:rPr>
            <w:webHidden/>
          </w:rPr>
        </w:r>
        <w:r>
          <w:rPr>
            <w:webHidden/>
          </w:rPr>
          <w:fldChar w:fldCharType="separate"/>
        </w:r>
        <w:r>
          <w:rPr>
            <w:webHidden/>
          </w:rPr>
          <w:t>12</w:t>
        </w:r>
        <w:r>
          <w:rPr>
            <w:webHidden/>
          </w:rPr>
          <w:fldChar w:fldCharType="end"/>
        </w:r>
      </w:hyperlink>
    </w:p>
    <w:p w14:paraId="068662A6" w14:textId="32E1AD2C"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97" w:history="1">
        <w:r w:rsidRPr="0016000C">
          <w:rPr>
            <w:rStyle w:val="Hipervnculo"/>
            <w:noProof/>
            <w:lang w:val="es-CR"/>
          </w:rPr>
          <w:t>9.</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Vigencia de la norma</w:t>
        </w:r>
        <w:r>
          <w:rPr>
            <w:noProof/>
            <w:webHidden/>
          </w:rPr>
          <w:tab/>
        </w:r>
        <w:r>
          <w:rPr>
            <w:noProof/>
            <w:webHidden/>
          </w:rPr>
          <w:fldChar w:fldCharType="begin"/>
        </w:r>
        <w:r>
          <w:rPr>
            <w:noProof/>
            <w:webHidden/>
          </w:rPr>
          <w:instrText xml:space="preserve"> PAGEREF _Toc216716497 \h </w:instrText>
        </w:r>
        <w:r>
          <w:rPr>
            <w:noProof/>
            <w:webHidden/>
          </w:rPr>
        </w:r>
        <w:r>
          <w:rPr>
            <w:noProof/>
            <w:webHidden/>
          </w:rPr>
          <w:fldChar w:fldCharType="separate"/>
        </w:r>
        <w:r>
          <w:rPr>
            <w:noProof/>
            <w:webHidden/>
          </w:rPr>
          <w:t>12</w:t>
        </w:r>
        <w:r>
          <w:rPr>
            <w:noProof/>
            <w:webHidden/>
          </w:rPr>
          <w:fldChar w:fldCharType="end"/>
        </w:r>
      </w:hyperlink>
    </w:p>
    <w:p w14:paraId="6C832F5A" w14:textId="76231B60" w:rsidR="00A65957" w:rsidRDefault="00A65957" w:rsidP="00A65957">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16498" w:history="1">
        <w:r w:rsidRPr="0016000C">
          <w:rPr>
            <w:rStyle w:val="Hipervnculo"/>
            <w:noProof/>
            <w:lang w:val="es-CR"/>
          </w:rPr>
          <w:t>10.</w:t>
        </w:r>
        <w:r>
          <w:rPr>
            <w:rFonts w:asciiTheme="minorHAnsi" w:eastAsiaTheme="minorEastAsia" w:hAnsiTheme="minorHAnsi" w:cstheme="minorBidi"/>
            <w:b w:val="0"/>
            <w:noProof/>
            <w:snapToGrid/>
            <w:kern w:val="2"/>
            <w:sz w:val="24"/>
            <w:szCs w:val="24"/>
            <w:lang w:val="es-CR" w:eastAsia="es-CR"/>
            <w14:ligatures w14:val="standardContextual"/>
          </w:rPr>
          <w:tab/>
        </w:r>
        <w:r w:rsidRPr="0016000C">
          <w:rPr>
            <w:rStyle w:val="Hipervnculo"/>
            <w:noProof/>
          </w:rPr>
          <w:t>Anexos</w:t>
        </w:r>
        <w:r>
          <w:rPr>
            <w:noProof/>
            <w:webHidden/>
          </w:rPr>
          <w:tab/>
        </w:r>
        <w:r>
          <w:rPr>
            <w:noProof/>
            <w:webHidden/>
          </w:rPr>
          <w:fldChar w:fldCharType="begin"/>
        </w:r>
        <w:r>
          <w:rPr>
            <w:noProof/>
            <w:webHidden/>
          </w:rPr>
          <w:instrText xml:space="preserve"> PAGEREF _Toc216716498 \h </w:instrText>
        </w:r>
        <w:r>
          <w:rPr>
            <w:noProof/>
            <w:webHidden/>
          </w:rPr>
        </w:r>
        <w:r>
          <w:rPr>
            <w:noProof/>
            <w:webHidden/>
          </w:rPr>
          <w:fldChar w:fldCharType="separate"/>
        </w:r>
        <w:r>
          <w:rPr>
            <w:noProof/>
            <w:webHidden/>
          </w:rPr>
          <w:t>13</w:t>
        </w:r>
        <w:r>
          <w:rPr>
            <w:noProof/>
            <w:webHidden/>
          </w:rPr>
          <w:fldChar w:fldCharType="end"/>
        </w:r>
      </w:hyperlink>
    </w:p>
    <w:p w14:paraId="7C21CDC9" w14:textId="7FBC809C" w:rsidR="00D87748" w:rsidRPr="002A2D26" w:rsidRDefault="00D87748" w:rsidP="00A65957">
      <w:pPr>
        <w:pStyle w:val="TDC1"/>
        <w:spacing w:before="0" w:after="0" w:line="360" w:lineRule="auto"/>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4"/>
          <w:footerReference w:type="default" r:id="rId15"/>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76D6CE33" w14:textId="77777777" w:rsidR="00F87180" w:rsidRPr="00C23E00" w:rsidRDefault="00F87180" w:rsidP="00F87180">
      <w:pPr>
        <w:pStyle w:val="Ttulo1"/>
        <w:numPr>
          <w:ilvl w:val="0"/>
          <w:numId w:val="3"/>
        </w:numPr>
        <w:tabs>
          <w:tab w:val="clear" w:pos="340"/>
        </w:tabs>
        <w:spacing w:line="250" w:lineRule="auto"/>
        <w:ind w:left="425" w:hanging="431"/>
      </w:pPr>
      <w:bookmarkStart w:id="1" w:name="_Toc71180779"/>
      <w:bookmarkStart w:id="2" w:name="_Toc110533268"/>
      <w:bookmarkStart w:id="3" w:name="_Toc111654280"/>
      <w:bookmarkStart w:id="4" w:name="_Toc215998964"/>
      <w:bookmarkStart w:id="5" w:name="_Toc216716473"/>
      <w:r w:rsidRPr="00C23E00">
        <w:t>Introducción</w:t>
      </w:r>
      <w:bookmarkEnd w:id="1"/>
      <w:bookmarkEnd w:id="2"/>
      <w:bookmarkEnd w:id="3"/>
      <w:bookmarkEnd w:id="4"/>
      <w:bookmarkEnd w:id="5"/>
    </w:p>
    <w:p w14:paraId="29B16899" w14:textId="77777777" w:rsidR="00F87180" w:rsidRPr="002E152D" w:rsidRDefault="00F87180" w:rsidP="00F87180">
      <w:pPr>
        <w:spacing w:before="0" w:line="250" w:lineRule="auto"/>
      </w:pPr>
      <w:r w:rsidRPr="00C72D22">
        <w:t xml:space="preserve">La presente norma técnica establece </w:t>
      </w:r>
      <w:r>
        <w:t xml:space="preserve">y regula </w:t>
      </w:r>
      <w:r w:rsidRPr="00C72D22">
        <w:t xml:space="preserve">el proceso de homologación que deben cumplir los equipos de validación para operar </w:t>
      </w:r>
      <w:r>
        <w:t xml:space="preserve">en el </w:t>
      </w:r>
      <w:r w:rsidRPr="00C72D22">
        <w:t>Sistema Nacional de Pago Electrónico en el Transporte Público (SINPE</w:t>
      </w:r>
      <w:r w:rsidRPr="00C72D22">
        <w:noBreakHyphen/>
        <w:t>TP), con el fin de asegurar que satisfacen</w:t>
      </w:r>
      <w:r>
        <w:t xml:space="preserve"> </w:t>
      </w:r>
      <w:r w:rsidRPr="00C72D22">
        <w:t xml:space="preserve">estándares </w:t>
      </w:r>
      <w:r>
        <w:t xml:space="preserve">adecuados </w:t>
      </w:r>
      <w:r w:rsidRPr="00C72D22">
        <w:t>de seguridad</w:t>
      </w:r>
      <w:r>
        <w:t xml:space="preserve">, desempeño </w:t>
      </w:r>
      <w:r w:rsidRPr="00C72D22">
        <w:t xml:space="preserve">e interoperabilidad, y que cuentan con la capacidad de prestar un servicio de validación de alta calidad, con una experiencia de usuario </w:t>
      </w:r>
      <w:r>
        <w:t xml:space="preserve">agradable y </w:t>
      </w:r>
      <w:r w:rsidRPr="00C72D22">
        <w:t>homogénea.</w:t>
      </w:r>
    </w:p>
    <w:p w14:paraId="160688FB" w14:textId="77777777" w:rsidR="00F87180" w:rsidRPr="002E152D" w:rsidRDefault="00F87180" w:rsidP="00F87180">
      <w:pPr>
        <w:spacing w:before="0" w:line="250" w:lineRule="auto"/>
      </w:pPr>
      <w:r>
        <w:t xml:space="preserve">El proceso de </w:t>
      </w:r>
      <w:r w:rsidRPr="002E152D">
        <w:t xml:space="preserve">homologación comprende tres etapas: en la primera etapa </w:t>
      </w:r>
      <w:r>
        <w:t xml:space="preserve">el proveedor tecnológico </w:t>
      </w:r>
      <w:r w:rsidRPr="002E152D">
        <w:t>interesad</w:t>
      </w:r>
      <w:r>
        <w:t>o</w:t>
      </w:r>
      <w:r w:rsidRPr="002E152D">
        <w:t xml:space="preserve"> en homologar </w:t>
      </w:r>
      <w:r>
        <w:t xml:space="preserve">el </w:t>
      </w:r>
      <w:r w:rsidRPr="002E152D">
        <w:t xml:space="preserve">equipo de validación envía al BCCR una solicitud para participar en el proceso, adjuntando la documentación pertinente. Por su parte, el BCCR verifica que la solicitud cumpla con todos los requisitos dispuestos para la homologación. </w:t>
      </w:r>
    </w:p>
    <w:p w14:paraId="13C1BF08" w14:textId="77777777" w:rsidR="00F87180" w:rsidRPr="002E152D" w:rsidRDefault="00F87180" w:rsidP="00F87180">
      <w:pPr>
        <w:spacing w:before="0" w:line="250" w:lineRule="auto"/>
      </w:pPr>
      <w:r w:rsidRPr="002E152D">
        <w:t xml:space="preserve">La segunda etapa contempla </w:t>
      </w:r>
      <w:r>
        <w:t>la instalación y configuración de una aplicación (</w:t>
      </w:r>
      <w:r w:rsidRPr="00DD5F2E">
        <w:rPr>
          <w:i/>
          <w:iCs/>
        </w:rPr>
        <w:t>software</w:t>
      </w:r>
      <w:r>
        <w:t xml:space="preserve">) en el lector </w:t>
      </w:r>
      <w:r>
        <w:rPr>
          <w:lang w:val="es-ES_tradnl" w:eastAsia="es-ES"/>
        </w:rPr>
        <w:t>de dispositivos de pago</w:t>
      </w:r>
      <w:r>
        <w:t xml:space="preserve"> y otra en el validador, así como la ejecución de </w:t>
      </w:r>
      <w:r w:rsidRPr="002E152D">
        <w:t xml:space="preserve">una batería de pruebas de laboratorio con las </w:t>
      </w:r>
      <w:r>
        <w:t>que</w:t>
      </w:r>
      <w:r w:rsidRPr="002E152D">
        <w:t xml:space="preserve"> se verifica el cumplimiento de los requisitos técnicos necesarios para homologar </w:t>
      </w:r>
      <w:r>
        <w:t>ese</w:t>
      </w:r>
      <w:r w:rsidRPr="002E152D">
        <w:t xml:space="preserve"> equipo</w:t>
      </w:r>
      <w:r>
        <w:t xml:space="preserve"> tecnológico</w:t>
      </w:r>
      <w:r w:rsidRPr="002E152D">
        <w:t>.</w:t>
      </w:r>
    </w:p>
    <w:p w14:paraId="0ACA5214" w14:textId="77777777" w:rsidR="00F87180" w:rsidRPr="002E152D" w:rsidRDefault="00F87180" w:rsidP="00F87180">
      <w:pPr>
        <w:spacing w:before="0" w:line="250" w:lineRule="auto"/>
      </w:pPr>
      <w:r w:rsidRPr="002E152D">
        <w:t>En la tercera etapa se realizan pruebas en el ambiente de producción, con las cuales el BCCR evalúa el desempeño del equipo de validación operando en condiciones de trabajo reales.</w:t>
      </w:r>
      <w:r>
        <w:t xml:space="preserve"> Estas </w:t>
      </w:r>
      <w:r w:rsidRPr="002E152D">
        <w:t xml:space="preserve">pruebas se </w:t>
      </w:r>
      <w:r>
        <w:t xml:space="preserve">llevan a cabo </w:t>
      </w:r>
      <w:r w:rsidRPr="002E152D">
        <w:t xml:space="preserve">en </w:t>
      </w:r>
      <w:r>
        <w:t>al menos cinco</w:t>
      </w:r>
      <w:r w:rsidRPr="002E152D">
        <w:t xml:space="preserve"> </w:t>
      </w:r>
      <w:r>
        <w:t>unidades de transporte (autobuses),</w:t>
      </w:r>
      <w:r w:rsidRPr="002E152D">
        <w:t xml:space="preserve"> con el equipo en proceso de homologación funcionando </w:t>
      </w:r>
      <w:r>
        <w:t xml:space="preserve">en las unidades </w:t>
      </w:r>
      <w:r w:rsidRPr="002E152D">
        <w:t>durante un mes</w:t>
      </w:r>
      <w:r>
        <w:t xml:space="preserve"> en forma ininterrumpida, para valorar su desempeño en la plataforma tecnológica de SINPE-TP.</w:t>
      </w:r>
    </w:p>
    <w:p w14:paraId="0EBB7746" w14:textId="77777777" w:rsidR="00F87180" w:rsidRPr="002E152D" w:rsidRDefault="00F87180" w:rsidP="00F87180">
      <w:pPr>
        <w:spacing w:before="0" w:line="250" w:lineRule="auto"/>
      </w:pPr>
      <w:bookmarkStart w:id="6" w:name="_Hlk111376499"/>
      <w:r w:rsidRPr="002E152D">
        <w:t>Luego de finalizada la tercera etapa, el BCCR notifica los resultados del proceso de homologación al solicitante</w:t>
      </w:r>
      <w:r>
        <w:t xml:space="preserve">. Cuando </w:t>
      </w:r>
      <w:r w:rsidRPr="002E152D">
        <w:t xml:space="preserve">los resultados </w:t>
      </w:r>
      <w:r>
        <w:t xml:space="preserve">del proceso </w:t>
      </w:r>
      <w:r w:rsidRPr="002E152D">
        <w:t>son exitosos</w:t>
      </w:r>
      <w:r>
        <w:t>,</w:t>
      </w:r>
      <w:r w:rsidRPr="002E152D">
        <w:t xml:space="preserve"> el equipo de validación adquiere la condición de equipo homologado y el BCCR lo inscribe en el Registro del Servicio de Validación de SIN</w:t>
      </w:r>
      <w:r>
        <w:t>P</w:t>
      </w:r>
      <w:r w:rsidRPr="002E152D">
        <w:t>E</w:t>
      </w:r>
      <w:r w:rsidRPr="002E152D">
        <w:noBreakHyphen/>
        <w:t xml:space="preserve">TP, </w:t>
      </w:r>
      <w:r>
        <w:t xml:space="preserve">con el fin de </w:t>
      </w:r>
      <w:r w:rsidRPr="002E152D">
        <w:t>ponerlo a disposición de los operadores</w:t>
      </w:r>
      <w:r>
        <w:t xml:space="preserve"> de transporte</w:t>
      </w:r>
      <w:r w:rsidRPr="002E152D">
        <w:t>. Si los resultado</w:t>
      </w:r>
      <w:r>
        <w:t>s</w:t>
      </w:r>
      <w:r w:rsidRPr="002E152D">
        <w:t xml:space="preserve"> no son exitosos, el BCCR devuelve los equipos de validación al solicitante.</w:t>
      </w:r>
    </w:p>
    <w:bookmarkEnd w:id="6"/>
    <w:p w14:paraId="48DB8023" w14:textId="77777777" w:rsidR="00F87180" w:rsidRPr="002E152D" w:rsidRDefault="00F87180" w:rsidP="00F87180">
      <w:pPr>
        <w:spacing w:before="0" w:line="250" w:lineRule="auto"/>
      </w:pPr>
      <w:r w:rsidRPr="002E152D">
        <w:t xml:space="preserve">El equipo de validación mantiene la condición de equipo homologado siempre que el BCCR pueda verificar su funcionamiento continuo dentro del ecosistema de pagos de SINPE-TP. En la presente norma técnica se definen las condiciones mínimas para que el equipo </w:t>
      </w:r>
      <w:r>
        <w:t xml:space="preserve">conserve </w:t>
      </w:r>
      <w:r w:rsidRPr="002E152D">
        <w:t>dicha condición.</w:t>
      </w:r>
    </w:p>
    <w:p w14:paraId="27CF9209" w14:textId="77777777" w:rsidR="00F87180" w:rsidRPr="00F8209C" w:rsidRDefault="00F87180" w:rsidP="00F87180">
      <w:pPr>
        <w:spacing w:before="0" w:line="250" w:lineRule="auto"/>
      </w:pPr>
      <w:r w:rsidRPr="00F8209C">
        <w:t xml:space="preserve">El presente documento pertenece a la Serie de Normas </w:t>
      </w:r>
      <w:r>
        <w:t xml:space="preserve">Técnicas de </w:t>
      </w:r>
      <w:r w:rsidRPr="00F8209C">
        <w:t>SINPE</w:t>
      </w:r>
      <w:r>
        <w:t>-TP</w:t>
      </w:r>
      <w:r w:rsidRPr="00F8209C">
        <w:t xml:space="preserve"> y es parte del instrumental técnico del servicio</w:t>
      </w:r>
      <w:r>
        <w:t xml:space="preserve"> SINPE-TP</w:t>
      </w:r>
      <w:r w:rsidRPr="00F8209C">
        <w:t>.</w:t>
      </w:r>
    </w:p>
    <w:p w14:paraId="61223C82" w14:textId="77777777" w:rsidR="00F87180" w:rsidRDefault="00F87180" w:rsidP="00F87180">
      <w:pPr>
        <w:pStyle w:val="Ttulo1"/>
        <w:numPr>
          <w:ilvl w:val="0"/>
          <w:numId w:val="3"/>
        </w:numPr>
        <w:tabs>
          <w:tab w:val="clear" w:pos="340"/>
        </w:tabs>
        <w:spacing w:before="0" w:line="250" w:lineRule="auto"/>
        <w:ind w:left="425" w:hanging="431"/>
      </w:pPr>
      <w:bookmarkStart w:id="7" w:name="_Toc354130512"/>
      <w:bookmarkStart w:id="8" w:name="_Toc71180780"/>
      <w:bookmarkStart w:id="9" w:name="_Toc110533269"/>
      <w:bookmarkStart w:id="10" w:name="_Toc111654281"/>
      <w:bookmarkStart w:id="11" w:name="_Toc215998965"/>
      <w:bookmarkStart w:id="12" w:name="_Toc216716474"/>
      <w:r>
        <w:t>Alcance</w:t>
      </w:r>
      <w:bookmarkEnd w:id="7"/>
      <w:bookmarkEnd w:id="8"/>
      <w:bookmarkEnd w:id="9"/>
      <w:bookmarkEnd w:id="10"/>
      <w:bookmarkEnd w:id="11"/>
      <w:bookmarkEnd w:id="12"/>
    </w:p>
    <w:p w14:paraId="79782DE0" w14:textId="77777777" w:rsidR="00F87180" w:rsidRDefault="00F87180" w:rsidP="00F87180">
      <w:pPr>
        <w:spacing w:before="0" w:line="250" w:lineRule="auto"/>
      </w:pPr>
      <w:bookmarkStart w:id="13" w:name="_Toc354130513"/>
      <w:bookmarkStart w:id="14" w:name="_Toc71180781"/>
      <w:r w:rsidRPr="00415CF3">
        <w:t>Las disposiciones</w:t>
      </w:r>
      <w:r>
        <w:t xml:space="preserve">, requerimientos técnicos, estándares de funcionamiento y procedimientos operativos de </w:t>
      </w:r>
      <w:r w:rsidRPr="002E152D">
        <w:t xml:space="preserve">la presente norma técnica son de aplicación </w:t>
      </w:r>
      <w:r>
        <w:t xml:space="preserve">obligatoria para los equipos </w:t>
      </w:r>
      <w:r w:rsidRPr="002E152D">
        <w:t xml:space="preserve">de validación que </w:t>
      </w:r>
      <w:r>
        <w:t xml:space="preserve">se homologuen con el propósito de operar </w:t>
      </w:r>
      <w:r w:rsidRPr="002E152D">
        <w:t xml:space="preserve">en </w:t>
      </w:r>
      <w:r>
        <w:t xml:space="preserve">la </w:t>
      </w:r>
      <w:r w:rsidRPr="002E152D">
        <w:t xml:space="preserve">plataforma </w:t>
      </w:r>
      <w:r>
        <w:t xml:space="preserve">tecnológica </w:t>
      </w:r>
      <w:r w:rsidRPr="002E152D">
        <w:t>de SINPE-TP</w:t>
      </w:r>
      <w:r>
        <w:t>, así como para sus proveedores tecnológicos.</w:t>
      </w:r>
    </w:p>
    <w:p w14:paraId="1284E4BC" w14:textId="77777777" w:rsidR="00F87180" w:rsidRPr="002E152D" w:rsidRDefault="00F87180" w:rsidP="00F87180">
      <w:pPr>
        <w:spacing w:before="0" w:line="250" w:lineRule="auto"/>
      </w:pPr>
      <w:r>
        <w:t>El BCCR podrá ejecutar procesos de homologación abreviados para los equipos de validación que se utilicen en los servicios de tren urbano de pasajeros y peajes, de acuerdo con sus necesidades particulares.</w:t>
      </w:r>
    </w:p>
    <w:p w14:paraId="0F47CB9A" w14:textId="77777777" w:rsidR="00F87180" w:rsidRPr="002E152D" w:rsidRDefault="00F87180" w:rsidP="00F87180">
      <w:pPr>
        <w:pStyle w:val="Ttulo1"/>
        <w:numPr>
          <w:ilvl w:val="0"/>
          <w:numId w:val="3"/>
        </w:numPr>
        <w:tabs>
          <w:tab w:val="clear" w:pos="340"/>
        </w:tabs>
        <w:spacing w:before="0" w:line="250" w:lineRule="auto"/>
        <w:ind w:left="425" w:hanging="431"/>
      </w:pPr>
      <w:bookmarkStart w:id="15" w:name="_Toc215998966"/>
      <w:bookmarkStart w:id="16" w:name="_Toc216716475"/>
      <w:bookmarkEnd w:id="13"/>
      <w:bookmarkEnd w:id="14"/>
      <w:r>
        <w:t>Definiciones</w:t>
      </w:r>
      <w:bookmarkEnd w:id="15"/>
      <w:bookmarkEnd w:id="16"/>
    </w:p>
    <w:p w14:paraId="505A9B7A" w14:textId="77777777" w:rsidR="00F87180" w:rsidRPr="0049342F" w:rsidRDefault="00F87180" w:rsidP="00F87180">
      <w:pPr>
        <w:spacing w:before="0" w:line="250" w:lineRule="auto"/>
        <w:rPr>
          <w:rFonts w:cs="Arial"/>
        </w:rPr>
      </w:pPr>
      <w:r w:rsidRPr="0049342F">
        <w:rPr>
          <w:rFonts w:cs="Arial"/>
        </w:rPr>
        <w:t>Para los fines interpretativos de la presente norma técnica se entiende por:</w:t>
      </w:r>
    </w:p>
    <w:p w14:paraId="3F0B6A91" w14:textId="77777777" w:rsidR="00F87180" w:rsidRPr="00C17DA8" w:rsidRDefault="00F87180" w:rsidP="00F87180">
      <w:pPr>
        <w:pStyle w:val="ListaVietas"/>
        <w:tabs>
          <w:tab w:val="clear" w:pos="425"/>
        </w:tabs>
        <w:spacing w:before="0" w:line="250" w:lineRule="auto"/>
        <w:ind w:left="709" w:hanging="283"/>
        <w:rPr>
          <w:rFonts w:cs="Arial"/>
        </w:rPr>
      </w:pPr>
      <w:r w:rsidRPr="0049342F">
        <w:rPr>
          <w:rFonts w:cs="Arial"/>
        </w:rPr>
        <w:lastRenderedPageBreak/>
        <w:t xml:space="preserve">API: </w:t>
      </w:r>
      <w:r w:rsidRPr="0049342F">
        <w:rPr>
          <w:rFonts w:eastAsia="Calibri" w:cs="Arial"/>
        </w:rPr>
        <w:t>siglas de “</w:t>
      </w:r>
      <w:r w:rsidRPr="0049342F">
        <w:rPr>
          <w:rFonts w:eastAsia="Calibri" w:cs="Arial"/>
          <w:i/>
        </w:rPr>
        <w:t>Application Programming Interface</w:t>
      </w:r>
      <w:r w:rsidRPr="0049342F">
        <w:rPr>
          <w:rFonts w:eastAsia="Calibri" w:cs="Arial"/>
        </w:rPr>
        <w:t>” (Interfaz de programación de aplicaciones)</w:t>
      </w:r>
      <w:r>
        <w:rPr>
          <w:rFonts w:eastAsia="Calibri" w:cs="Arial"/>
        </w:rPr>
        <w:t xml:space="preserve">. Es </w:t>
      </w:r>
      <w:r w:rsidRPr="0049342F">
        <w:rPr>
          <w:rFonts w:eastAsia="Calibri" w:cs="Arial"/>
        </w:rPr>
        <w:t>un conjunto de funciones, reglas</w:t>
      </w:r>
      <w:r>
        <w:rPr>
          <w:rFonts w:eastAsia="Calibri" w:cs="Arial"/>
        </w:rPr>
        <w:t>,</w:t>
      </w:r>
      <w:r w:rsidRPr="0049342F">
        <w:rPr>
          <w:rFonts w:eastAsia="Calibri" w:cs="Arial"/>
        </w:rPr>
        <w:t xml:space="preserve"> códigos, procedimientos y especificaciones, que ofrecen una biblioteca de programación (como capa de abstracción) para que sea utilizada por otro programa informático con el fin </w:t>
      </w:r>
      <w:r>
        <w:rPr>
          <w:rFonts w:eastAsia="Calibri" w:cs="Arial"/>
        </w:rPr>
        <w:t>de establecer una comunicación</w:t>
      </w:r>
      <w:r w:rsidRPr="0049342F">
        <w:rPr>
          <w:rFonts w:eastAsia="Calibri" w:cs="Arial"/>
        </w:rPr>
        <w:t xml:space="preserve"> entre ellos.</w:t>
      </w:r>
    </w:p>
    <w:p w14:paraId="34040EF3" w14:textId="77777777" w:rsidR="00F87180" w:rsidRPr="005535FF" w:rsidRDefault="00F87180" w:rsidP="00F87180">
      <w:pPr>
        <w:pStyle w:val="ListaVietas"/>
        <w:tabs>
          <w:tab w:val="clear" w:pos="425"/>
        </w:tabs>
        <w:spacing w:before="0" w:line="250" w:lineRule="auto"/>
        <w:ind w:left="709" w:hanging="283"/>
        <w:rPr>
          <w:rFonts w:cs="Arial"/>
        </w:rPr>
      </w:pPr>
      <w:r w:rsidRPr="0049342F">
        <w:rPr>
          <w:rFonts w:cs="Arial"/>
        </w:rPr>
        <w:t xml:space="preserve">Aplicación: componente de </w:t>
      </w:r>
      <w:r w:rsidRPr="00C17DA8">
        <w:rPr>
          <w:rFonts w:cs="Arial"/>
          <w:i/>
          <w:iCs/>
        </w:rPr>
        <w:t>software</w:t>
      </w:r>
      <w:r w:rsidRPr="0049342F">
        <w:rPr>
          <w:rFonts w:cs="Arial"/>
        </w:rPr>
        <w:t xml:space="preserve"> desarrollado por el BCCR para </w:t>
      </w:r>
      <w:r>
        <w:rPr>
          <w:rFonts w:cs="Arial"/>
        </w:rPr>
        <w:t xml:space="preserve">instalarlo </w:t>
      </w:r>
      <w:r w:rsidRPr="0049342F">
        <w:rPr>
          <w:rFonts w:cs="Arial"/>
        </w:rPr>
        <w:t>en</w:t>
      </w:r>
      <w:r w:rsidRPr="005535FF">
        <w:rPr>
          <w:rFonts w:cs="Arial"/>
        </w:rPr>
        <w:t xml:space="preserve"> los lectores y validadores integrados a la plataforma de </w:t>
      </w:r>
      <w:r>
        <w:rPr>
          <w:rFonts w:cs="Arial"/>
        </w:rPr>
        <w:t xml:space="preserve">pagos de </w:t>
      </w:r>
      <w:r w:rsidRPr="005535FF">
        <w:rPr>
          <w:rFonts w:cs="Arial"/>
        </w:rPr>
        <w:t>SINPE-TP.</w:t>
      </w:r>
      <w:r>
        <w:rPr>
          <w:rFonts w:cs="Arial"/>
        </w:rPr>
        <w:t xml:space="preserve"> </w:t>
      </w:r>
      <w:r w:rsidRPr="005535FF">
        <w:rPr>
          <w:rFonts w:cs="Arial"/>
        </w:rPr>
        <w:t xml:space="preserve">Esta aplicación determina la experiencia del pago electrónico y controla la forma en que </w:t>
      </w:r>
      <w:r>
        <w:rPr>
          <w:rFonts w:cs="Arial"/>
        </w:rPr>
        <w:t xml:space="preserve">esos equipos tecnológicos </w:t>
      </w:r>
      <w:r w:rsidRPr="005535FF">
        <w:rPr>
          <w:rFonts w:cs="Arial"/>
        </w:rPr>
        <w:t>interactúan con SINPE-TP.</w:t>
      </w:r>
    </w:p>
    <w:p w14:paraId="1ABE44B1" w14:textId="77777777" w:rsidR="00F87180" w:rsidRPr="0048672B" w:rsidRDefault="00F87180" w:rsidP="00F87180">
      <w:pPr>
        <w:pStyle w:val="ListaVietas"/>
        <w:tabs>
          <w:tab w:val="clear" w:pos="425"/>
        </w:tabs>
        <w:spacing w:before="0" w:line="250" w:lineRule="auto"/>
        <w:ind w:left="709" w:hanging="283"/>
        <w:rPr>
          <w:rFonts w:cs="Arial"/>
        </w:rPr>
      </w:pPr>
      <w:r w:rsidRPr="005535FF">
        <w:rPr>
          <w:rFonts w:cs="Arial"/>
        </w:rPr>
        <w:t>Autobús:</w:t>
      </w:r>
      <w:r>
        <w:rPr>
          <w:rFonts w:cs="Arial"/>
        </w:rPr>
        <w:t xml:space="preserve"> </w:t>
      </w:r>
      <w:r w:rsidRPr="000A4856">
        <w:rPr>
          <w:rFonts w:cs="Arial"/>
        </w:rPr>
        <w:t xml:space="preserve">unidad de transporte </w:t>
      </w:r>
      <w:r>
        <w:rPr>
          <w:rFonts w:cs="Arial"/>
        </w:rPr>
        <w:t xml:space="preserve">terrestre </w:t>
      </w:r>
      <w:r w:rsidRPr="000A4856">
        <w:rPr>
          <w:rFonts w:cs="Arial"/>
        </w:rPr>
        <w:t>autorizada por el CTP para operar en una ruta regular del servicio de transporte público remunerado de personas.</w:t>
      </w:r>
    </w:p>
    <w:p w14:paraId="105DE790" w14:textId="77777777" w:rsidR="00F87180" w:rsidRDefault="00F87180" w:rsidP="00F87180">
      <w:pPr>
        <w:pStyle w:val="ListaVietas"/>
        <w:tabs>
          <w:tab w:val="clear" w:pos="425"/>
        </w:tabs>
        <w:spacing w:before="0" w:line="250" w:lineRule="auto"/>
        <w:ind w:left="709" w:hanging="283"/>
        <w:rPr>
          <w:rFonts w:cs="Arial"/>
        </w:rPr>
      </w:pPr>
      <w:r w:rsidRPr="000A7038">
        <w:rPr>
          <w:rFonts w:cs="Arial"/>
        </w:rPr>
        <w:t xml:space="preserve">BCCR: </w:t>
      </w:r>
      <w:r w:rsidRPr="00C96A73">
        <w:rPr>
          <w:rFonts w:cs="Arial"/>
        </w:rPr>
        <w:t>Banco Central de Costa Rica</w:t>
      </w:r>
      <w:r>
        <w:rPr>
          <w:rFonts w:cs="Arial"/>
        </w:rPr>
        <w:t>. Es</w:t>
      </w:r>
      <w:r w:rsidRPr="00C96A73">
        <w:rPr>
          <w:rFonts w:cs="Arial"/>
        </w:rPr>
        <w:t xml:space="preserve"> el ente rector del sistema de pagos costarricense, </w:t>
      </w:r>
      <w:r w:rsidRPr="0071524E">
        <w:rPr>
          <w:rFonts w:cs="Arial"/>
        </w:rPr>
        <w:t>el regulador del servicio SINPE−TP y el gestor de su plataforma de pagos</w:t>
      </w:r>
      <w:r w:rsidRPr="00C96A73">
        <w:rPr>
          <w:rFonts w:cs="Arial"/>
        </w:rPr>
        <w:t>.</w:t>
      </w:r>
    </w:p>
    <w:p w14:paraId="7D8927B2" w14:textId="77777777" w:rsidR="00F87180" w:rsidRPr="00607859" w:rsidRDefault="00F87180" w:rsidP="00F87180">
      <w:pPr>
        <w:pStyle w:val="ListaVietas"/>
        <w:tabs>
          <w:tab w:val="clear" w:pos="425"/>
        </w:tabs>
        <w:spacing w:before="0" w:line="250" w:lineRule="auto"/>
        <w:ind w:left="709" w:hanging="283"/>
        <w:rPr>
          <w:rFonts w:cs="Arial"/>
        </w:rPr>
      </w:pPr>
      <w:r w:rsidRPr="00607859">
        <w:rPr>
          <w:rFonts w:cs="Arial"/>
        </w:rPr>
        <w:t>C/C++: lenguaje multiplataforma de programación orientado a objetos. Tiene capacidades de programación híbridas porque admite encapsulación, herencia y polimorfismo.</w:t>
      </w:r>
    </w:p>
    <w:p w14:paraId="11C4D433" w14:textId="77777777" w:rsidR="00F87180" w:rsidRPr="00C17DA8" w:rsidRDefault="00F87180" w:rsidP="00F87180">
      <w:pPr>
        <w:pStyle w:val="ListaVietas"/>
        <w:tabs>
          <w:tab w:val="clear" w:pos="425"/>
        </w:tabs>
        <w:spacing w:before="0" w:line="250" w:lineRule="auto"/>
        <w:ind w:left="709" w:hanging="283"/>
        <w:rPr>
          <w:rFonts w:cs="Arial"/>
        </w:rPr>
      </w:pPr>
      <w:r w:rsidRPr="000A7038">
        <w:rPr>
          <w:rFonts w:cs="Arial"/>
        </w:rPr>
        <w:t xml:space="preserve">Certificación EMV L3: </w:t>
      </w:r>
      <w:r w:rsidRPr="00AA4D5B">
        <w:rPr>
          <w:rFonts w:cs="Arial"/>
        </w:rPr>
        <w:t xml:space="preserve">acreditación otorgada a una infraestructura de </w:t>
      </w:r>
      <w:r w:rsidRPr="00D8448E">
        <w:rPr>
          <w:rFonts w:cs="Arial"/>
        </w:rPr>
        <w:t>pagos que opera con tarjetas emitidas con el e</w:t>
      </w:r>
      <w:r w:rsidRPr="00C17DA8">
        <w:rPr>
          <w:rFonts w:cs="Arial"/>
        </w:rPr>
        <w:t>stándar EMV bajo las marcas de tarjetas</w:t>
      </w:r>
      <w:r>
        <w:rPr>
          <w:rFonts w:cs="Arial"/>
        </w:rPr>
        <w:t xml:space="preserve"> </w:t>
      </w:r>
      <w:r w:rsidRPr="00C17DA8">
        <w:rPr>
          <w:rFonts w:cs="Arial"/>
        </w:rPr>
        <w:t>como VISA, MasterCard o American Express, según la cual dicha infraestructura cumple integralmente con una serie de condiciones que garantizan la aceptación y el procesamiento de transacciones de extremo a extremo.</w:t>
      </w:r>
      <w:r>
        <w:rPr>
          <w:rFonts w:cs="Arial"/>
        </w:rPr>
        <w:t xml:space="preserve"> </w:t>
      </w:r>
      <w:r w:rsidRPr="00C17DA8">
        <w:rPr>
          <w:rFonts w:cs="Arial"/>
        </w:rPr>
        <w:t xml:space="preserve">La certificación es individual (por marca) para un sistema y adquirente, y cada marca de tarjetas </w:t>
      </w:r>
      <w:r>
        <w:rPr>
          <w:rFonts w:cs="Arial"/>
        </w:rPr>
        <w:t xml:space="preserve">cuenta con </w:t>
      </w:r>
      <w:r w:rsidRPr="00C17DA8">
        <w:rPr>
          <w:rFonts w:cs="Arial"/>
        </w:rPr>
        <w:t>sus propios requerimientos y guiones de pruebas.</w:t>
      </w:r>
    </w:p>
    <w:p w14:paraId="470D57CF" w14:textId="77777777" w:rsidR="00F87180" w:rsidRPr="005535FF" w:rsidRDefault="00F87180" w:rsidP="00F87180">
      <w:pPr>
        <w:pStyle w:val="ListaVietas"/>
        <w:tabs>
          <w:tab w:val="clear" w:pos="425"/>
        </w:tabs>
        <w:spacing w:before="0" w:line="250" w:lineRule="auto"/>
        <w:ind w:left="709" w:hanging="283"/>
        <w:rPr>
          <w:rFonts w:cs="Arial"/>
        </w:rPr>
      </w:pPr>
      <w:r w:rsidRPr="0049342F">
        <w:rPr>
          <w:rFonts w:cs="Arial"/>
        </w:rPr>
        <w:t>Contactless: pago sin contacto o pago por proximidad</w:t>
      </w:r>
      <w:r>
        <w:rPr>
          <w:rFonts w:cs="Arial"/>
        </w:rPr>
        <w:t>. Es</w:t>
      </w:r>
      <w:r w:rsidRPr="0049342F">
        <w:rPr>
          <w:rFonts w:cs="Arial"/>
        </w:rPr>
        <w:t xml:space="preserve"> un protocolo de comunicación que permite realizar pagos con tarjetas utilizando tecnología de identificación por radiofrecuencia (RFI</w:t>
      </w:r>
      <w:r>
        <w:rPr>
          <w:rFonts w:cs="Arial"/>
        </w:rPr>
        <w:t>D</w:t>
      </w:r>
      <w:r w:rsidRPr="0049342F">
        <w:rPr>
          <w:rFonts w:cs="Arial"/>
        </w:rPr>
        <w:t>, por sus siglas en inglés), cumpliendo con la norma ISO 14443, relacionada con las tarjetas inteligentes (</w:t>
      </w:r>
      <w:r w:rsidRPr="0049342F">
        <w:rPr>
          <w:rFonts w:cs="Arial"/>
          <w:i/>
          <w:iCs/>
        </w:rPr>
        <w:t>SmartCards</w:t>
      </w:r>
      <w:r w:rsidRPr="0049342F">
        <w:rPr>
          <w:rFonts w:cs="Arial"/>
        </w:rPr>
        <w:t>).</w:t>
      </w:r>
      <w:r>
        <w:rPr>
          <w:rFonts w:cs="Arial"/>
        </w:rPr>
        <w:t xml:space="preserve"> Por medio de </w:t>
      </w:r>
      <w:r w:rsidRPr="0049342F">
        <w:rPr>
          <w:rFonts w:cs="Arial"/>
        </w:rPr>
        <w:t xml:space="preserve">una antena incorporada </w:t>
      </w:r>
      <w:r>
        <w:rPr>
          <w:rFonts w:cs="Arial"/>
        </w:rPr>
        <w:t xml:space="preserve">en el dispositivo de lectura </w:t>
      </w:r>
      <w:r w:rsidRPr="0049342F">
        <w:rPr>
          <w:rFonts w:cs="Arial"/>
        </w:rPr>
        <w:t xml:space="preserve">y </w:t>
      </w:r>
      <w:r>
        <w:rPr>
          <w:rFonts w:cs="Arial"/>
        </w:rPr>
        <w:t>otra en el validador</w:t>
      </w:r>
      <w:r w:rsidRPr="0049342F">
        <w:rPr>
          <w:rFonts w:cs="Arial"/>
        </w:rPr>
        <w:t xml:space="preserve">, la comunicación ocurre cuando ambos objetos se encuentran a una distancia máxima de 5 centímetros, </w:t>
      </w:r>
      <w:r>
        <w:rPr>
          <w:rFonts w:cs="Arial"/>
        </w:rPr>
        <w:t xml:space="preserve">con lo cual se agiliza el registro de </w:t>
      </w:r>
      <w:r w:rsidRPr="0049342F">
        <w:rPr>
          <w:rFonts w:cs="Arial"/>
        </w:rPr>
        <w:t xml:space="preserve">las transacciones en </w:t>
      </w:r>
      <w:r>
        <w:rPr>
          <w:rFonts w:cs="Arial"/>
        </w:rPr>
        <w:t>la red de transporte público</w:t>
      </w:r>
      <w:r w:rsidRPr="0049342F">
        <w:rPr>
          <w:rFonts w:cs="Arial"/>
        </w:rPr>
        <w:t>.</w:t>
      </w:r>
    </w:p>
    <w:p w14:paraId="65EE6B46" w14:textId="77777777" w:rsidR="00F87180" w:rsidRPr="005535FF" w:rsidRDefault="00F87180" w:rsidP="00F87180">
      <w:pPr>
        <w:pStyle w:val="ListaVietas"/>
        <w:tabs>
          <w:tab w:val="clear" w:pos="425"/>
        </w:tabs>
        <w:spacing w:before="0" w:line="250" w:lineRule="auto"/>
        <w:ind w:left="709" w:hanging="283"/>
        <w:rPr>
          <w:rFonts w:cs="Arial"/>
        </w:rPr>
      </w:pPr>
      <w:r w:rsidRPr="0049342F">
        <w:rPr>
          <w:rFonts w:cs="Arial"/>
        </w:rPr>
        <w:t xml:space="preserve">CTP: </w:t>
      </w:r>
      <w:r w:rsidRPr="00C52FD8">
        <w:rPr>
          <w:rFonts w:cs="Arial"/>
        </w:rPr>
        <w:t>Consejo de Transporte Público</w:t>
      </w:r>
      <w:r>
        <w:rPr>
          <w:rFonts w:cs="Arial"/>
        </w:rPr>
        <w:t xml:space="preserve">. Es </w:t>
      </w:r>
      <w:r w:rsidRPr="00C52FD8">
        <w:rPr>
          <w:rFonts w:cs="Arial"/>
        </w:rPr>
        <w:t>un órgano de desconcentración máxima del MOPT, responsable de regular, planificar y supervisar la operación de los servicios de transporte en la modalidad autobús de ruta regular.</w:t>
      </w:r>
    </w:p>
    <w:p w14:paraId="06965CC9" w14:textId="77777777" w:rsidR="00F87180" w:rsidRPr="005535FF" w:rsidRDefault="00F87180" w:rsidP="00F87180">
      <w:pPr>
        <w:pStyle w:val="ListaVietas"/>
        <w:tabs>
          <w:tab w:val="clear" w:pos="425"/>
        </w:tabs>
        <w:spacing w:before="0" w:line="250" w:lineRule="auto"/>
        <w:ind w:left="709" w:hanging="283"/>
        <w:rPr>
          <w:rFonts w:cs="Arial"/>
        </w:rPr>
      </w:pPr>
      <w:r w:rsidRPr="005535FF">
        <w:rPr>
          <w:rFonts w:cs="Arial"/>
        </w:rPr>
        <w:t xml:space="preserve">Dispositivo de pago: </w:t>
      </w:r>
      <w:r>
        <w:t xml:space="preserve">instrumento de pago </w:t>
      </w:r>
      <w:r w:rsidRPr="00523F55">
        <w:rPr>
          <w:i/>
          <w:iCs/>
        </w:rPr>
        <w:t>EMV-Contactless</w:t>
      </w:r>
      <w:r>
        <w:t xml:space="preserve"> en sus diferentes presentaciones, tales como: tarjetas de débito, crédito o prepago, así como wearables y cualquier otro tipo de instrumento EMV emitido bajo una marca de tarjetas y vinculado a cuentas de débito, crédito o prepago, o cualquier otro tipo de cuenta de fondo de los clientes.</w:t>
      </w:r>
    </w:p>
    <w:p w14:paraId="51724444" w14:textId="77777777" w:rsidR="00F87180" w:rsidRPr="005535FF" w:rsidRDefault="00F87180" w:rsidP="00F87180">
      <w:pPr>
        <w:pStyle w:val="ListaVietas"/>
        <w:tabs>
          <w:tab w:val="clear" w:pos="425"/>
        </w:tabs>
        <w:spacing w:before="0" w:line="250" w:lineRule="auto"/>
        <w:ind w:left="709" w:hanging="283"/>
        <w:rPr>
          <w:rFonts w:cs="Arial"/>
        </w:rPr>
      </w:pPr>
      <w:r w:rsidRPr="0048672B">
        <w:rPr>
          <w:rFonts w:cs="Arial"/>
        </w:rPr>
        <w:t xml:space="preserve">Emisor: entidad financiera nacional o extranjera que emite y entrega dispositivos de pago </w:t>
      </w:r>
      <w:r w:rsidRPr="003866E3">
        <w:rPr>
          <w:rFonts w:cs="Arial"/>
          <w:i/>
          <w:iCs/>
        </w:rPr>
        <w:t>EMV</w:t>
      </w:r>
      <w:r w:rsidRPr="00523F55">
        <w:rPr>
          <w:rFonts w:cs="Arial"/>
          <w:i/>
          <w:iCs/>
        </w:rPr>
        <w:t>-</w:t>
      </w:r>
      <w:r w:rsidRPr="003866E3">
        <w:rPr>
          <w:rFonts w:cs="Arial"/>
          <w:i/>
          <w:iCs/>
        </w:rPr>
        <w:t>Contactless</w:t>
      </w:r>
      <w:r w:rsidRPr="0048672B">
        <w:rPr>
          <w:rFonts w:cs="Arial"/>
        </w:rPr>
        <w:t xml:space="preserve"> a sus clientes, con la capacidad de funcionar en la plataforma de pagos de SINPE</w:t>
      </w:r>
      <w:r w:rsidRPr="00E2154F">
        <w:rPr>
          <w:rFonts w:ascii="Cambria Math" w:hAnsi="Cambria Math" w:cs="Cambria Math"/>
        </w:rPr>
        <w:t>‑</w:t>
      </w:r>
      <w:r w:rsidRPr="005535FF">
        <w:rPr>
          <w:rFonts w:cs="Arial"/>
        </w:rPr>
        <w:t>TP.</w:t>
      </w:r>
    </w:p>
    <w:p w14:paraId="27B1B5DA" w14:textId="77777777" w:rsidR="00F87180" w:rsidRPr="005535FF" w:rsidRDefault="00F87180" w:rsidP="00F87180">
      <w:pPr>
        <w:pStyle w:val="ListaVietas"/>
        <w:tabs>
          <w:tab w:val="clear" w:pos="425"/>
        </w:tabs>
        <w:spacing w:before="0" w:line="250" w:lineRule="auto"/>
        <w:ind w:left="709" w:hanging="283"/>
        <w:rPr>
          <w:rFonts w:cs="Arial"/>
        </w:rPr>
      </w:pPr>
      <w:r w:rsidRPr="005535FF">
        <w:rPr>
          <w:rFonts w:cs="Arial"/>
        </w:rPr>
        <w:t xml:space="preserve">EMV: </w:t>
      </w:r>
      <w:r w:rsidRPr="00C70FA8">
        <w:rPr>
          <w:rFonts w:cs="Arial"/>
          <w:lang w:val="es-ES_tradnl"/>
        </w:rPr>
        <w:t xml:space="preserve">siglas de </w:t>
      </w:r>
      <w:r>
        <w:rPr>
          <w:rFonts w:cs="Arial"/>
          <w:lang w:val="es-ES_tradnl"/>
        </w:rPr>
        <w:t>“</w:t>
      </w:r>
      <w:r w:rsidRPr="00756514">
        <w:rPr>
          <w:rFonts w:eastAsia="Calibri"/>
        </w:rPr>
        <w:t>Europay-MasterCard-VISA</w:t>
      </w:r>
      <w:r>
        <w:rPr>
          <w:rFonts w:eastAsia="Calibri"/>
        </w:rPr>
        <w:t>”</w:t>
      </w:r>
      <w:r>
        <w:rPr>
          <w:rFonts w:cs="Arial"/>
          <w:lang w:val="es-ES_tradnl"/>
        </w:rPr>
        <w:t xml:space="preserve">. Es </w:t>
      </w:r>
      <w:r w:rsidRPr="00C70FA8">
        <w:rPr>
          <w:rFonts w:cs="Arial"/>
          <w:lang w:val="es-ES_tradnl"/>
        </w:rPr>
        <w:t xml:space="preserve">un estándar de interoperabilidad de </w:t>
      </w:r>
      <w:r>
        <w:rPr>
          <w:rFonts w:cs="Arial"/>
          <w:lang w:val="es-ES_tradnl"/>
        </w:rPr>
        <w:t xml:space="preserve">dispositivos de pago </w:t>
      </w:r>
      <w:r w:rsidRPr="00DF0E20">
        <w:rPr>
          <w:color w:val="000000"/>
        </w:rPr>
        <w:t>con soporte de circuito integrado</w:t>
      </w:r>
      <w:r>
        <w:rPr>
          <w:color w:val="000000"/>
        </w:rPr>
        <w:t xml:space="preserve"> </w:t>
      </w:r>
      <w:r w:rsidRPr="00DF0E20">
        <w:rPr>
          <w:color w:val="000000"/>
        </w:rPr>
        <w:t>IC</w:t>
      </w:r>
      <w:r w:rsidRPr="00C70FA8">
        <w:rPr>
          <w:rFonts w:cs="Arial"/>
          <w:lang w:val="es-ES_tradnl"/>
        </w:rPr>
        <w:t xml:space="preserve">, creado por la firma EMVCo para la autenticación de pagos </w:t>
      </w:r>
      <w:r>
        <w:rPr>
          <w:rFonts w:cs="Arial"/>
          <w:lang w:val="es-ES_tradnl"/>
        </w:rPr>
        <w:t xml:space="preserve">realizados con </w:t>
      </w:r>
      <w:r w:rsidRPr="00C70FA8">
        <w:rPr>
          <w:rFonts w:cs="Arial"/>
          <w:lang w:val="es-ES_tradnl"/>
        </w:rPr>
        <w:t>tarjetas de débito, crédito y prepago</w:t>
      </w:r>
      <w:r>
        <w:rPr>
          <w:rFonts w:cs="Arial"/>
          <w:lang w:val="es-ES_tradnl"/>
        </w:rPr>
        <w:t xml:space="preserve">, así como con sus accesorios o </w:t>
      </w:r>
      <w:r w:rsidRPr="001227A0">
        <w:rPr>
          <w:rFonts w:cs="Arial"/>
          <w:i/>
          <w:iCs/>
          <w:lang w:val="es-ES_tradnl"/>
        </w:rPr>
        <w:t>wearables</w:t>
      </w:r>
      <w:r>
        <w:rPr>
          <w:rFonts w:cs="Arial"/>
          <w:lang w:val="es-ES_tradnl"/>
        </w:rPr>
        <w:t xml:space="preserve"> vinculados</w:t>
      </w:r>
      <w:r w:rsidRPr="00C70FA8">
        <w:rPr>
          <w:rFonts w:cs="Arial"/>
          <w:lang w:val="es-ES_tradnl"/>
        </w:rPr>
        <w:t>. Mediante</w:t>
      </w:r>
      <w:r w:rsidRPr="00DB60C1">
        <w:rPr>
          <w:rFonts w:cs="Arial"/>
          <w:lang w:val="es-ES_tradnl"/>
        </w:rPr>
        <w:t xml:space="preserve"> el uso de un microprocesador criptográfico (chip), define las condiciones de la interacción entre las tarjetas y los </w:t>
      </w:r>
      <w:r>
        <w:rPr>
          <w:rFonts w:cs="Arial"/>
          <w:lang w:val="es-ES_tradnl"/>
        </w:rPr>
        <w:t xml:space="preserve">validadores </w:t>
      </w:r>
      <w:r w:rsidRPr="00DB60C1">
        <w:rPr>
          <w:rFonts w:cs="Arial"/>
          <w:lang w:val="es-ES_tradnl"/>
        </w:rPr>
        <w:t>para llevar a cabo las transacciones.</w:t>
      </w:r>
      <w:r>
        <w:rPr>
          <w:rFonts w:cs="Arial"/>
          <w:lang w:val="es-ES_tradnl"/>
        </w:rPr>
        <w:t xml:space="preserve"> </w:t>
      </w:r>
      <w:r w:rsidRPr="00DB60C1">
        <w:rPr>
          <w:rFonts w:cs="Arial"/>
          <w:lang w:val="es-ES_tradnl"/>
        </w:rPr>
        <w:t>Una parte de su tecnología está basada en la norma ISO/IEC 7816 para la identificación de tarjetas inteligentes</w:t>
      </w:r>
      <w:r w:rsidRPr="00380D25">
        <w:rPr>
          <w:rFonts w:cs="Arial"/>
          <w:lang w:val="es-ES_tradnl"/>
        </w:rPr>
        <w:t>.</w:t>
      </w:r>
      <w:r w:rsidRPr="005535FF" w:rsidDel="00380D25">
        <w:rPr>
          <w:rFonts w:cs="Arial"/>
        </w:rPr>
        <w:t xml:space="preserve"> </w:t>
      </w:r>
    </w:p>
    <w:p w14:paraId="679A3B2B" w14:textId="77777777" w:rsidR="00F87180" w:rsidRPr="00DD5F2E" w:rsidRDefault="00F87180" w:rsidP="00F87180">
      <w:pPr>
        <w:pStyle w:val="ListaVietas"/>
        <w:tabs>
          <w:tab w:val="clear" w:pos="425"/>
        </w:tabs>
        <w:spacing w:before="0" w:line="250" w:lineRule="auto"/>
        <w:ind w:left="709" w:hanging="283"/>
        <w:rPr>
          <w:rFonts w:cs="Arial"/>
        </w:rPr>
      </w:pPr>
      <w:r w:rsidRPr="00DD5F2E">
        <w:rPr>
          <w:rFonts w:cs="Arial"/>
        </w:rPr>
        <w:t>GPS</w:t>
      </w:r>
      <w:r>
        <w:rPr>
          <w:rFonts w:cs="Arial"/>
        </w:rPr>
        <w:t>:</w:t>
      </w:r>
      <w:r w:rsidRPr="00DD5F2E">
        <w:rPr>
          <w:rFonts w:cs="Arial"/>
        </w:rPr>
        <w:t xml:space="preserve"> </w:t>
      </w:r>
      <w:r>
        <w:rPr>
          <w:rFonts w:cs="Arial"/>
        </w:rPr>
        <w:t>siglas de “</w:t>
      </w:r>
      <w:r w:rsidRPr="00DD5F2E">
        <w:rPr>
          <w:rFonts w:cs="Arial"/>
          <w:i/>
          <w:iCs/>
        </w:rPr>
        <w:t>Global Positioning System</w:t>
      </w:r>
      <w:r>
        <w:rPr>
          <w:rFonts w:cs="Arial"/>
        </w:rPr>
        <w:t>” (S</w:t>
      </w:r>
      <w:r w:rsidRPr="00DD5F2E">
        <w:rPr>
          <w:rFonts w:cs="Arial"/>
        </w:rPr>
        <w:t xml:space="preserve">istema de </w:t>
      </w:r>
      <w:r>
        <w:rPr>
          <w:rFonts w:cs="Arial"/>
        </w:rPr>
        <w:t>P</w:t>
      </w:r>
      <w:r w:rsidRPr="00DD5F2E">
        <w:rPr>
          <w:rFonts w:cs="Arial"/>
        </w:rPr>
        <w:t xml:space="preserve">osicionamiento </w:t>
      </w:r>
      <w:r>
        <w:rPr>
          <w:rFonts w:cs="Arial"/>
        </w:rPr>
        <w:t>G</w:t>
      </w:r>
      <w:r w:rsidRPr="00DD5F2E">
        <w:rPr>
          <w:rFonts w:cs="Arial"/>
        </w:rPr>
        <w:t>lobal</w:t>
      </w:r>
      <w:r>
        <w:rPr>
          <w:rFonts w:cs="Arial"/>
        </w:rPr>
        <w:t xml:space="preserve">). Es </w:t>
      </w:r>
      <w:r w:rsidRPr="00DD5F2E">
        <w:rPr>
          <w:rFonts w:cs="Arial"/>
        </w:rPr>
        <w:t xml:space="preserve">un sistema que, por medio de una red de satélites en órbita sobre el planeta, permite determinar la ubicación de un objeto en cualquier parte de la superficie terrestre con una precisión de unos </w:t>
      </w:r>
      <w:r w:rsidRPr="00DD5F2E">
        <w:rPr>
          <w:rFonts w:cs="Arial"/>
        </w:rPr>
        <w:lastRenderedPageBreak/>
        <w:t xml:space="preserve">pocos metros o hasta </w:t>
      </w:r>
      <w:r>
        <w:rPr>
          <w:rFonts w:cs="Arial"/>
        </w:rPr>
        <w:t xml:space="preserve">de </w:t>
      </w:r>
      <w:r w:rsidRPr="00DD5F2E">
        <w:rPr>
          <w:rFonts w:cs="Arial"/>
        </w:rPr>
        <w:t>centímetros, dependiendo de la tecnología que se utilice para la medición.</w:t>
      </w:r>
    </w:p>
    <w:p w14:paraId="22DCCBB2" w14:textId="77777777" w:rsidR="00F87180" w:rsidRPr="00C54B44" w:rsidRDefault="00F87180" w:rsidP="00F87180">
      <w:pPr>
        <w:pStyle w:val="ListaVietas"/>
        <w:tabs>
          <w:tab w:val="clear" w:pos="425"/>
        </w:tabs>
        <w:spacing w:before="0" w:line="250" w:lineRule="auto"/>
        <w:ind w:left="709" w:hanging="283"/>
        <w:rPr>
          <w:rFonts w:cs="Arial"/>
        </w:rPr>
      </w:pPr>
      <w:r w:rsidRPr="00C54B44">
        <w:rPr>
          <w:rFonts w:cs="Arial"/>
        </w:rPr>
        <w:t>GSM</w:t>
      </w:r>
      <w:r>
        <w:rPr>
          <w:rFonts w:cs="Arial"/>
        </w:rPr>
        <w:t>: siglas de “</w:t>
      </w:r>
      <w:r w:rsidRPr="00C54B44">
        <w:rPr>
          <w:rFonts w:cs="Arial"/>
          <w:i/>
          <w:iCs/>
        </w:rPr>
        <w:t>Global System for Mobile Communications</w:t>
      </w:r>
      <w:r>
        <w:rPr>
          <w:rFonts w:cs="Arial"/>
        </w:rPr>
        <w:t>” (</w:t>
      </w:r>
      <w:r w:rsidRPr="00C54B44">
        <w:rPr>
          <w:rFonts w:cs="Arial"/>
        </w:rPr>
        <w:t>sistema global para las comunicaciones móviles</w:t>
      </w:r>
      <w:r>
        <w:rPr>
          <w:rFonts w:cs="Arial"/>
        </w:rPr>
        <w:t xml:space="preserve">). Es </w:t>
      </w:r>
      <w:r w:rsidRPr="00C54B44">
        <w:rPr>
          <w:rFonts w:cs="Arial"/>
        </w:rPr>
        <w:t>un estándar para la transmisión digital de voz y datos por medio de servicios de tecnología móvil.</w:t>
      </w:r>
    </w:p>
    <w:p w14:paraId="0B7F34CC" w14:textId="77777777" w:rsidR="00F87180" w:rsidRDefault="00F87180" w:rsidP="00F87180">
      <w:pPr>
        <w:pStyle w:val="ListaVietas"/>
        <w:tabs>
          <w:tab w:val="clear" w:pos="425"/>
        </w:tabs>
        <w:spacing w:before="0" w:line="250" w:lineRule="auto"/>
        <w:ind w:left="709" w:hanging="283"/>
        <w:rPr>
          <w:rFonts w:cs="Arial"/>
        </w:rPr>
      </w:pPr>
      <w:bookmarkStart w:id="17" w:name="_Hlk210665004"/>
      <w:r w:rsidRPr="00761262">
        <w:rPr>
          <w:rFonts w:cs="Arial"/>
        </w:rPr>
        <w:t>Incofer: Instituto Costarricense de Ferrocarriles</w:t>
      </w:r>
      <w:r>
        <w:rPr>
          <w:rFonts w:cs="Arial"/>
        </w:rPr>
        <w:t xml:space="preserve">. Es </w:t>
      </w:r>
      <w:r w:rsidRPr="00761262">
        <w:rPr>
          <w:rFonts w:cs="Arial"/>
        </w:rPr>
        <w:t>el ente gestor y operador del servicio de tren de pasajeros.</w:t>
      </w:r>
    </w:p>
    <w:p w14:paraId="2A193460" w14:textId="77777777" w:rsidR="00F87180" w:rsidRDefault="00F87180" w:rsidP="00F87180">
      <w:pPr>
        <w:pStyle w:val="ListaVietas"/>
        <w:tabs>
          <w:tab w:val="clear" w:pos="425"/>
        </w:tabs>
        <w:spacing w:before="0" w:line="250" w:lineRule="auto"/>
        <w:ind w:left="709" w:hanging="283"/>
        <w:rPr>
          <w:rFonts w:cs="Arial"/>
        </w:rPr>
      </w:pPr>
      <w:r w:rsidRPr="00AA4D5B">
        <w:rPr>
          <w:rFonts w:cs="Arial"/>
        </w:rPr>
        <w:t>Lector de dispositivos de</w:t>
      </w:r>
      <w:r w:rsidRPr="00D8448E">
        <w:rPr>
          <w:rFonts w:cs="Arial"/>
        </w:rPr>
        <w:t xml:space="preserve"> pago: equipo tecnológico con la capacidad de procesar pagos</w:t>
      </w:r>
      <w:r>
        <w:rPr>
          <w:rFonts w:cs="Arial"/>
        </w:rPr>
        <w:t xml:space="preserve"> </w:t>
      </w:r>
      <w:r w:rsidRPr="00D8448E">
        <w:rPr>
          <w:rFonts w:cs="Arial"/>
        </w:rPr>
        <w:t xml:space="preserve">con el estándar </w:t>
      </w:r>
      <w:r w:rsidRPr="00C17DA8">
        <w:rPr>
          <w:rFonts w:cs="Arial"/>
          <w:i/>
          <w:iCs/>
        </w:rPr>
        <w:t>EMV</w:t>
      </w:r>
      <w:r>
        <w:rPr>
          <w:rFonts w:cs="Arial"/>
          <w:i/>
          <w:iCs/>
        </w:rPr>
        <w:t>-</w:t>
      </w:r>
      <w:r w:rsidRPr="00C17DA8">
        <w:rPr>
          <w:rFonts w:cs="Arial"/>
          <w:i/>
          <w:iCs/>
        </w:rPr>
        <w:t>Contactless</w:t>
      </w:r>
      <w:r>
        <w:rPr>
          <w:rFonts w:cs="Arial"/>
        </w:rPr>
        <w:t xml:space="preserve"> (</w:t>
      </w:r>
      <w:r w:rsidRPr="00AA4D5B">
        <w:rPr>
          <w:rFonts w:cs="Arial"/>
        </w:rPr>
        <w:t xml:space="preserve">también conocido </w:t>
      </w:r>
      <w:r w:rsidRPr="00D8448E">
        <w:rPr>
          <w:rFonts w:cs="Arial"/>
        </w:rPr>
        <w:t>en el mercado como “Lector EMV”</w:t>
      </w:r>
      <w:r>
        <w:rPr>
          <w:rFonts w:cs="Arial"/>
        </w:rPr>
        <w:t>);</w:t>
      </w:r>
      <w:r w:rsidRPr="00D8448E">
        <w:rPr>
          <w:rFonts w:cs="Arial"/>
        </w:rPr>
        <w:t xml:space="preserve"> </w:t>
      </w:r>
      <w:r>
        <w:rPr>
          <w:rFonts w:cs="Arial"/>
        </w:rPr>
        <w:t xml:space="preserve">puede ser </w:t>
      </w:r>
      <w:r w:rsidRPr="00D8448E">
        <w:rPr>
          <w:rFonts w:cs="Arial"/>
        </w:rPr>
        <w:t xml:space="preserve">independiente </w:t>
      </w:r>
      <w:r>
        <w:rPr>
          <w:rFonts w:cs="Arial"/>
        </w:rPr>
        <w:t xml:space="preserve">o </w:t>
      </w:r>
      <w:r w:rsidRPr="00D8448E">
        <w:rPr>
          <w:rFonts w:cs="Arial"/>
        </w:rPr>
        <w:t xml:space="preserve">dependiente. </w:t>
      </w:r>
    </w:p>
    <w:p w14:paraId="23FB1E8B" w14:textId="77777777" w:rsidR="00F87180" w:rsidRPr="00C17DA8" w:rsidRDefault="00F87180" w:rsidP="00F87180">
      <w:pPr>
        <w:pStyle w:val="ListaVietas"/>
        <w:numPr>
          <w:ilvl w:val="0"/>
          <w:numId w:val="0"/>
        </w:numPr>
        <w:spacing w:before="0" w:line="250" w:lineRule="auto"/>
        <w:ind w:left="709"/>
        <w:rPr>
          <w:rFonts w:cs="Arial"/>
        </w:rPr>
      </w:pPr>
      <w:r w:rsidRPr="00D8448E">
        <w:rPr>
          <w:rFonts w:cs="Arial"/>
        </w:rPr>
        <w:t xml:space="preserve">Un lector </w:t>
      </w:r>
      <w:r>
        <w:rPr>
          <w:rFonts w:cs="Arial"/>
        </w:rPr>
        <w:t xml:space="preserve">es </w:t>
      </w:r>
      <w:r w:rsidRPr="00D8448E">
        <w:rPr>
          <w:rFonts w:cs="Arial"/>
        </w:rPr>
        <w:t xml:space="preserve">independiente </w:t>
      </w:r>
      <w:r>
        <w:rPr>
          <w:rFonts w:cs="Arial"/>
        </w:rPr>
        <w:t xml:space="preserve">cuando posee recursos propios con los que </w:t>
      </w:r>
      <w:r w:rsidRPr="00D8448E">
        <w:rPr>
          <w:rFonts w:cs="Arial"/>
        </w:rPr>
        <w:t xml:space="preserve">corre un </w:t>
      </w:r>
      <w:r w:rsidRPr="00C17DA8">
        <w:rPr>
          <w:rFonts w:cs="Arial"/>
        </w:rPr>
        <w:t xml:space="preserve">sistema operativo y ejecuta programas en él. </w:t>
      </w:r>
      <w:r>
        <w:rPr>
          <w:rFonts w:cs="Arial"/>
        </w:rPr>
        <w:t xml:space="preserve">En contraposición, el </w:t>
      </w:r>
      <w:r w:rsidRPr="00C17DA8">
        <w:rPr>
          <w:rFonts w:cs="Arial"/>
        </w:rPr>
        <w:t xml:space="preserve">lector </w:t>
      </w:r>
      <w:r>
        <w:rPr>
          <w:rFonts w:cs="Arial"/>
        </w:rPr>
        <w:t xml:space="preserve">es </w:t>
      </w:r>
      <w:r w:rsidRPr="00C17DA8">
        <w:rPr>
          <w:rFonts w:cs="Arial"/>
        </w:rPr>
        <w:t xml:space="preserve">dependiente </w:t>
      </w:r>
      <w:r>
        <w:rPr>
          <w:rFonts w:cs="Arial"/>
        </w:rPr>
        <w:t xml:space="preserve">cuando </w:t>
      </w:r>
      <w:r w:rsidRPr="00C17DA8">
        <w:rPr>
          <w:rFonts w:cs="Arial"/>
        </w:rPr>
        <w:t>requiere ser operado por un dispositivo externo como un validador o un computador, y no es posible ejecutar programas en él</w:t>
      </w:r>
      <w:r>
        <w:rPr>
          <w:rFonts w:cs="Arial"/>
        </w:rPr>
        <w:t xml:space="preserve"> de manera autónoma.</w:t>
      </w:r>
    </w:p>
    <w:bookmarkEnd w:id="17"/>
    <w:p w14:paraId="73CF81E6" w14:textId="77777777" w:rsidR="00F87180" w:rsidRPr="00AF35AE" w:rsidRDefault="00F87180" w:rsidP="00F87180">
      <w:pPr>
        <w:pStyle w:val="ListaVietas"/>
        <w:tabs>
          <w:tab w:val="clear" w:pos="425"/>
        </w:tabs>
        <w:spacing w:before="0" w:line="250" w:lineRule="auto"/>
        <w:ind w:left="709" w:hanging="283"/>
        <w:rPr>
          <w:rFonts w:cs="Arial"/>
        </w:rPr>
      </w:pPr>
      <w:r w:rsidRPr="00523F55">
        <w:rPr>
          <w:rFonts w:cs="Arial"/>
        </w:rPr>
        <w:t>Lista de denegación: registro de dispositivos de pago reportados por los emisores cuando presentan alguna condición temporal o permanente por la que no pueden ser admitidos o utilizados para el pago de viajes en SINPE−TP. Esta lista es administrada por el BCCR como un recurso para la gestión de riesgos.</w:t>
      </w:r>
    </w:p>
    <w:p w14:paraId="7AB758BA" w14:textId="77777777" w:rsidR="00F87180" w:rsidRPr="00AF35AE" w:rsidRDefault="00F87180" w:rsidP="00F87180">
      <w:pPr>
        <w:pStyle w:val="ListaVietas"/>
        <w:tabs>
          <w:tab w:val="clear" w:pos="425"/>
        </w:tabs>
        <w:spacing w:before="0" w:line="250" w:lineRule="auto"/>
        <w:ind w:left="709" w:hanging="283"/>
        <w:rPr>
          <w:rFonts w:cs="Arial"/>
        </w:rPr>
      </w:pPr>
      <w:r w:rsidRPr="00523F55">
        <w:rPr>
          <w:rFonts w:cs="Arial"/>
          <w:lang w:eastAsia="es-CR"/>
        </w:rPr>
        <w:t xml:space="preserve">Marca: acción de aproximar un dispositivo de pago al validador instalado en una unidad de transporte, para </w:t>
      </w:r>
      <w:r w:rsidRPr="00523F55">
        <w:rPr>
          <w:rFonts w:cs="Arial"/>
        </w:rPr>
        <w:t>validar</w:t>
      </w:r>
      <w:r w:rsidRPr="00523F55">
        <w:rPr>
          <w:rFonts w:cs="Arial"/>
          <w:lang w:eastAsia="es-CR"/>
        </w:rPr>
        <w:t xml:space="preserve"> el dispositivo de pago y generar la trama de información que es enviada al SINPE-TP para su procesamiento.</w:t>
      </w:r>
      <w:r>
        <w:rPr>
          <w:rFonts w:cs="Arial"/>
          <w:lang w:eastAsia="es-CR"/>
        </w:rPr>
        <w:t xml:space="preserve"> </w:t>
      </w:r>
      <w:r w:rsidRPr="00523F55">
        <w:rPr>
          <w:rFonts w:cs="Arial"/>
          <w:lang w:eastAsia="es-CR"/>
        </w:rPr>
        <w:t>En los documentos en idioma inglés a este término se le denomina “TAP” (</w:t>
      </w:r>
      <w:r w:rsidRPr="00523F55">
        <w:rPr>
          <w:rFonts w:cs="Arial"/>
          <w:i/>
          <w:iCs/>
          <w:lang w:eastAsia="es-CR"/>
        </w:rPr>
        <w:t>Transit Access Pass</w:t>
      </w:r>
      <w:r w:rsidRPr="00523F55">
        <w:rPr>
          <w:rFonts w:cs="Arial"/>
          <w:lang w:eastAsia="es-CR"/>
        </w:rPr>
        <w:t>).</w:t>
      </w:r>
    </w:p>
    <w:p w14:paraId="66D3C14B" w14:textId="77777777" w:rsidR="00F87180" w:rsidRDefault="00F87180" w:rsidP="00F87180">
      <w:pPr>
        <w:pStyle w:val="ListaVietas"/>
        <w:tabs>
          <w:tab w:val="clear" w:pos="425"/>
        </w:tabs>
        <w:spacing w:before="0" w:line="250" w:lineRule="auto"/>
        <w:ind w:left="709" w:hanging="283"/>
        <w:rPr>
          <w:rFonts w:cs="Arial"/>
        </w:rPr>
      </w:pPr>
      <w:r w:rsidRPr="008E5E8B">
        <w:rPr>
          <w:rFonts w:cs="Arial"/>
        </w:rPr>
        <w:t xml:space="preserve">Marca de tarjetas: empresa con operaciones </w:t>
      </w:r>
      <w:r>
        <w:rPr>
          <w:rFonts w:cs="Arial"/>
        </w:rPr>
        <w:t xml:space="preserve">en el ámbito </w:t>
      </w:r>
      <w:r w:rsidRPr="008E5E8B">
        <w:rPr>
          <w:rFonts w:cs="Arial"/>
        </w:rPr>
        <w:t>nacional o internacional que facilita su infraestructura tecnológica para registrar, transportar, procesar, almacenar, compensar o liquidar operaciones realizadas por medio del sistema de tarjetas de pago. En la presente norma técnica se refiere a las marcas VISA, MasterCard y American Express.</w:t>
      </w:r>
    </w:p>
    <w:p w14:paraId="64AB3F79" w14:textId="77777777" w:rsidR="00F87180" w:rsidRPr="00523F55" w:rsidRDefault="00F87180" w:rsidP="00F87180">
      <w:pPr>
        <w:pStyle w:val="ListaVietas"/>
        <w:tabs>
          <w:tab w:val="clear" w:pos="425"/>
        </w:tabs>
        <w:spacing w:before="0" w:line="250" w:lineRule="auto"/>
        <w:ind w:left="709" w:hanging="283"/>
        <w:rPr>
          <w:rFonts w:cs="Arial"/>
        </w:rPr>
      </w:pPr>
      <w:r w:rsidRPr="003B071C">
        <w:rPr>
          <w:rFonts w:cs="Arial"/>
        </w:rPr>
        <w:t>Operador de transporte: persona física o jurídica autorizada por el CTP para prestar el servicio de transporte público de pasajeros mediante la modalidad de autobús de ruta regular.</w:t>
      </w:r>
      <w:r>
        <w:rPr>
          <w:rFonts w:cs="Arial"/>
        </w:rPr>
        <w:t xml:space="preserve"> </w:t>
      </w:r>
      <w:r w:rsidRPr="00E14372">
        <w:rPr>
          <w:rFonts w:cs="Arial"/>
        </w:rPr>
        <w:t>La definición también contempla a Incofer y a los operadores de estaciones de peaje</w:t>
      </w:r>
      <w:r>
        <w:rPr>
          <w:rFonts w:cs="Arial"/>
        </w:rPr>
        <w:t>, en lo que les resulte aplicable</w:t>
      </w:r>
      <w:r w:rsidRPr="00E14372">
        <w:rPr>
          <w:rFonts w:cs="Arial"/>
        </w:rPr>
        <w:t>.</w:t>
      </w:r>
    </w:p>
    <w:p w14:paraId="18AEEE02" w14:textId="77777777" w:rsidR="00F87180" w:rsidRPr="00C17DA8" w:rsidRDefault="00F87180" w:rsidP="00F87180">
      <w:pPr>
        <w:pStyle w:val="ListaVietas"/>
        <w:tabs>
          <w:tab w:val="clear" w:pos="425"/>
        </w:tabs>
        <w:spacing w:before="0" w:line="250" w:lineRule="auto"/>
        <w:ind w:left="709" w:hanging="283"/>
        <w:rPr>
          <w:rFonts w:cs="Arial"/>
        </w:rPr>
      </w:pPr>
      <w:r w:rsidRPr="00C17DA8">
        <w:rPr>
          <w:rFonts w:cs="Arial"/>
        </w:rPr>
        <w:t xml:space="preserve">PCI DSS: </w:t>
      </w:r>
      <w:r w:rsidRPr="00547ED3">
        <w:rPr>
          <w:rFonts w:cs="Arial"/>
          <w:color w:val="000000"/>
          <w:lang w:eastAsia="es-CR"/>
        </w:rPr>
        <w:t xml:space="preserve">siglas de </w:t>
      </w:r>
      <w:r>
        <w:rPr>
          <w:rFonts w:cs="Arial"/>
          <w:color w:val="000000"/>
          <w:lang w:eastAsia="es-CR"/>
        </w:rPr>
        <w:t>“</w:t>
      </w:r>
      <w:r w:rsidRPr="00523F55">
        <w:rPr>
          <w:rFonts w:cs="Arial"/>
          <w:i/>
          <w:iCs/>
          <w:color w:val="000000"/>
          <w:lang w:eastAsia="es-CR"/>
        </w:rPr>
        <w:t>Payment Card Industry Data Security Standard</w:t>
      </w:r>
      <w:r>
        <w:rPr>
          <w:rFonts w:cs="Arial"/>
          <w:color w:val="000000"/>
          <w:lang w:eastAsia="es-CR"/>
        </w:rPr>
        <w:t>”</w:t>
      </w:r>
      <w:r w:rsidRPr="00547ED3">
        <w:rPr>
          <w:rFonts w:cs="Arial"/>
          <w:color w:val="000000"/>
          <w:lang w:eastAsia="es-CR"/>
        </w:rPr>
        <w:t xml:space="preserve"> (Estándar de Seguridad de Datos para la Industria de Tarjeta de Pago)</w:t>
      </w:r>
      <w:r>
        <w:rPr>
          <w:rFonts w:cs="Arial"/>
          <w:color w:val="000000"/>
          <w:lang w:eastAsia="es-CR"/>
        </w:rPr>
        <w:t xml:space="preserve">. Es </w:t>
      </w:r>
      <w:r w:rsidRPr="00547ED3">
        <w:rPr>
          <w:rFonts w:cs="Arial"/>
          <w:color w:val="000000"/>
          <w:lang w:eastAsia="es-CR"/>
        </w:rPr>
        <w:t xml:space="preserve">un estándar internacional </w:t>
      </w:r>
      <w:r w:rsidRPr="008B403F">
        <w:rPr>
          <w:rFonts w:cs="Arial"/>
          <w:color w:val="000000"/>
          <w:lang w:eastAsia="es-CR"/>
        </w:rPr>
        <w:t xml:space="preserve">de seguridad de datos </w:t>
      </w:r>
      <w:r>
        <w:rPr>
          <w:rFonts w:cs="Arial"/>
          <w:color w:val="000000"/>
          <w:lang w:eastAsia="es-CR"/>
        </w:rPr>
        <w:t xml:space="preserve">desarrollado </w:t>
      </w:r>
      <w:r w:rsidRPr="008B403F">
        <w:rPr>
          <w:rFonts w:cs="Arial"/>
          <w:color w:val="000000"/>
          <w:lang w:eastAsia="es-CR"/>
        </w:rPr>
        <w:t>para la industria de tarjetas de pago</w:t>
      </w:r>
      <w:r w:rsidRPr="00D8448E">
        <w:rPr>
          <w:rFonts w:cs="Arial"/>
        </w:rPr>
        <w:t>.</w:t>
      </w:r>
    </w:p>
    <w:p w14:paraId="09ED8F88" w14:textId="77777777" w:rsidR="00F87180" w:rsidRPr="008E5E8B" w:rsidRDefault="00F87180" w:rsidP="00F87180">
      <w:pPr>
        <w:pStyle w:val="ListaVietas"/>
        <w:tabs>
          <w:tab w:val="clear" w:pos="425"/>
        </w:tabs>
        <w:spacing w:before="0" w:line="250" w:lineRule="auto"/>
        <w:ind w:left="709" w:hanging="283"/>
        <w:rPr>
          <w:rFonts w:cs="Arial"/>
        </w:rPr>
      </w:pPr>
      <w:r w:rsidRPr="00D902BC">
        <w:rPr>
          <w:lang w:eastAsia="es-ES"/>
        </w:rPr>
        <w:t xml:space="preserve">Proveedor tecnológico: </w:t>
      </w:r>
      <w:r w:rsidRPr="00337D6A">
        <w:rPr>
          <w:rFonts w:cs="Arial"/>
        </w:rPr>
        <w:t xml:space="preserve">empresa autorizada por un fabricante de equipos de validación homologados </w:t>
      </w:r>
      <w:r>
        <w:rPr>
          <w:rFonts w:cs="Arial"/>
        </w:rPr>
        <w:t xml:space="preserve">por el BCCR, </w:t>
      </w:r>
      <w:r w:rsidRPr="00337D6A">
        <w:rPr>
          <w:rFonts w:cs="Arial"/>
        </w:rPr>
        <w:t>para ofrecer en el país dichos equipos a los operadores de transporte, así como servicios de soporte y mantenimiento</w:t>
      </w:r>
      <w:r>
        <w:rPr>
          <w:rFonts w:cs="Arial"/>
        </w:rPr>
        <w:t xml:space="preserve"> relacionados</w:t>
      </w:r>
      <w:r w:rsidRPr="00337D6A">
        <w:rPr>
          <w:rFonts w:cs="Arial"/>
        </w:rPr>
        <w:t>. También puede asesorar a los operadores de transporte en el funcionamiento del servicio de validación de SINPE−TP</w:t>
      </w:r>
      <w:r w:rsidRPr="00D902BC">
        <w:rPr>
          <w:lang w:eastAsia="es-ES"/>
        </w:rPr>
        <w:t>.</w:t>
      </w:r>
    </w:p>
    <w:p w14:paraId="79A80ED9" w14:textId="77777777" w:rsidR="00F87180" w:rsidRPr="008E5E8B" w:rsidRDefault="00F87180" w:rsidP="00F87180">
      <w:pPr>
        <w:pStyle w:val="ListaVietas"/>
        <w:tabs>
          <w:tab w:val="clear" w:pos="425"/>
        </w:tabs>
        <w:spacing w:before="0" w:line="250" w:lineRule="auto"/>
        <w:ind w:left="709" w:hanging="283"/>
      </w:pPr>
      <w:r w:rsidRPr="00B871D9">
        <w:rPr>
          <w:rFonts w:cs="Arial"/>
        </w:rPr>
        <w:t>Reglamento</w:t>
      </w:r>
      <w:r>
        <w:t xml:space="preserve"> de SINPE-TP: Reglamento del Sistema Nacional de Pago Electrónico en el Transporte Público, </w:t>
      </w:r>
      <w:r w:rsidRPr="00DD112F">
        <w:rPr>
          <w:rFonts w:cs="Arial"/>
        </w:rPr>
        <w:t>emitido por la Junta Directiva del BCCR</w:t>
      </w:r>
      <w:r>
        <w:rPr>
          <w:rFonts w:cs="Arial"/>
        </w:rPr>
        <w:t xml:space="preserve"> </w:t>
      </w:r>
      <w:r w:rsidRPr="00DD112F">
        <w:rPr>
          <w:rFonts w:cs="Arial"/>
        </w:rPr>
        <w:t>de conformidad con las potestades regulatorias que le confiere el artículo 69 de la ley 7558.</w:t>
      </w:r>
    </w:p>
    <w:p w14:paraId="3F4E8EBF" w14:textId="77777777" w:rsidR="00F87180" w:rsidRPr="00DD5F2E" w:rsidRDefault="00F87180" w:rsidP="00F87180">
      <w:pPr>
        <w:pStyle w:val="ListaVietas"/>
        <w:tabs>
          <w:tab w:val="clear" w:pos="425"/>
        </w:tabs>
        <w:spacing w:before="0" w:line="250" w:lineRule="auto"/>
        <w:ind w:left="709" w:hanging="283"/>
        <w:rPr>
          <w:rFonts w:cs="Arial"/>
        </w:rPr>
      </w:pPr>
      <w:r w:rsidRPr="004C26E7">
        <w:rPr>
          <w:rFonts w:cs="Arial"/>
        </w:rPr>
        <w:t>QR</w:t>
      </w:r>
      <w:r w:rsidRPr="00523F55">
        <w:rPr>
          <w:rFonts w:cs="Arial"/>
        </w:rPr>
        <w:t>: siglas de “</w:t>
      </w:r>
      <w:r w:rsidRPr="004C26E7">
        <w:rPr>
          <w:rFonts w:cs="Arial"/>
          <w:i/>
          <w:iCs/>
        </w:rPr>
        <w:t>Quick Response Code</w:t>
      </w:r>
      <w:r w:rsidRPr="00523F55">
        <w:rPr>
          <w:rFonts w:cs="Arial"/>
        </w:rPr>
        <w:t>”</w:t>
      </w:r>
      <w:r w:rsidRPr="004C26E7">
        <w:rPr>
          <w:rFonts w:cs="Arial"/>
        </w:rPr>
        <w:t xml:space="preserve"> (código de respuesta rápida). Es un código de barras</w:t>
      </w:r>
      <w:r w:rsidRPr="00DD5F2E">
        <w:rPr>
          <w:rFonts w:cs="Arial"/>
        </w:rPr>
        <w:t xml:space="preserve"> bidimensionales con forma cuadrada que puede transformar y almacenar </w:t>
      </w:r>
      <w:r>
        <w:rPr>
          <w:rFonts w:cs="Arial"/>
        </w:rPr>
        <w:t>información</w:t>
      </w:r>
      <w:r w:rsidRPr="00DD5F2E">
        <w:rPr>
          <w:rFonts w:cs="Arial"/>
        </w:rPr>
        <w:t xml:space="preserve"> en </w:t>
      </w:r>
      <w:r>
        <w:rPr>
          <w:rFonts w:cs="Arial"/>
        </w:rPr>
        <w:t xml:space="preserve">una matriz de datos con </w:t>
      </w:r>
      <w:r w:rsidRPr="00DD5F2E">
        <w:rPr>
          <w:rFonts w:cs="Arial"/>
        </w:rPr>
        <w:t>un formato codificado.</w:t>
      </w:r>
    </w:p>
    <w:p w14:paraId="43C70F3A" w14:textId="77777777" w:rsidR="00F87180" w:rsidRDefault="00F87180" w:rsidP="00F87180">
      <w:pPr>
        <w:pStyle w:val="ListaVietas"/>
        <w:tabs>
          <w:tab w:val="clear" w:pos="425"/>
        </w:tabs>
        <w:spacing w:before="0" w:line="250" w:lineRule="auto"/>
        <w:ind w:left="709" w:hanging="283"/>
      </w:pPr>
      <w:r w:rsidRPr="008E5E8B">
        <w:rPr>
          <w:rFonts w:cs="Arial"/>
        </w:rPr>
        <w:t xml:space="preserve">RFID </w:t>
      </w:r>
      <w:r>
        <w:rPr>
          <w:rFonts w:cs="Arial"/>
        </w:rPr>
        <w:t>Siglas de “</w:t>
      </w:r>
      <w:r w:rsidRPr="008E5E8B">
        <w:rPr>
          <w:rFonts w:cs="Arial"/>
          <w:i/>
          <w:iCs/>
        </w:rPr>
        <w:t>Radio Frecuency Identification</w:t>
      </w:r>
      <w:r>
        <w:rPr>
          <w:rFonts w:cs="Arial"/>
          <w:i/>
          <w:iCs/>
        </w:rPr>
        <w:t xml:space="preserve">” </w:t>
      </w:r>
      <w:r w:rsidRPr="00523F55">
        <w:rPr>
          <w:rFonts w:cs="Arial"/>
        </w:rPr>
        <w:t>(</w:t>
      </w:r>
      <w:r w:rsidRPr="008E5E8B">
        <w:rPr>
          <w:rFonts w:cs="Arial"/>
        </w:rPr>
        <w:t>identificación por radiofrecuencia</w:t>
      </w:r>
      <w:r>
        <w:rPr>
          <w:rFonts w:cs="Arial"/>
        </w:rPr>
        <w:t xml:space="preserve">). Es </w:t>
      </w:r>
      <w:r w:rsidRPr="008E5E8B">
        <w:rPr>
          <w:rFonts w:cs="Arial"/>
        </w:rPr>
        <w:t xml:space="preserve">un sistema de almacenamiento y recuperación de datos remoto que funciona mediante ondas de </w:t>
      </w:r>
      <w:r w:rsidRPr="008E5E8B">
        <w:rPr>
          <w:rFonts w:cs="Arial"/>
        </w:rPr>
        <w:lastRenderedPageBreak/>
        <w:t>radio, implementado con dispositivos como etiquetas y tarjetas. Su objetivo principal es la de transmitir la identidad de un objeto (con un código de identificación único para el objeto).</w:t>
      </w:r>
      <w:r>
        <w:t xml:space="preserve"> </w:t>
      </w:r>
    </w:p>
    <w:p w14:paraId="469FF5BE" w14:textId="77777777" w:rsidR="00F87180" w:rsidRPr="00D8448E" w:rsidRDefault="00F87180" w:rsidP="00F87180">
      <w:pPr>
        <w:pStyle w:val="ListaVietas"/>
        <w:tabs>
          <w:tab w:val="clear" w:pos="425"/>
        </w:tabs>
        <w:spacing w:before="0" w:line="250" w:lineRule="auto"/>
        <w:ind w:left="709" w:hanging="283"/>
        <w:rPr>
          <w:rFonts w:cs="Arial"/>
        </w:rPr>
      </w:pPr>
      <w:r w:rsidRPr="00C17DA8">
        <w:rPr>
          <w:rFonts w:cs="Arial"/>
        </w:rPr>
        <w:t>SDK</w:t>
      </w:r>
      <w:r>
        <w:rPr>
          <w:rFonts w:cs="Arial"/>
        </w:rPr>
        <w:t xml:space="preserve"> siglas de “</w:t>
      </w:r>
      <w:r w:rsidRPr="00C17DA8">
        <w:rPr>
          <w:rFonts w:cs="Arial"/>
          <w:i/>
          <w:iCs/>
        </w:rPr>
        <w:t>Software Development Kit</w:t>
      </w:r>
      <w:r>
        <w:rPr>
          <w:rFonts w:cs="Arial"/>
          <w:i/>
          <w:iCs/>
        </w:rPr>
        <w:t xml:space="preserve">” </w:t>
      </w:r>
      <w:r w:rsidRPr="00523F55">
        <w:rPr>
          <w:rFonts w:cs="Arial"/>
        </w:rPr>
        <w:t>(</w:t>
      </w:r>
      <w:r w:rsidRPr="008E5E8B">
        <w:rPr>
          <w:rFonts w:cs="Arial"/>
        </w:rPr>
        <w:t>kit de desarrollo de software</w:t>
      </w:r>
      <w:r w:rsidRPr="00523F55">
        <w:rPr>
          <w:rFonts w:cs="Arial"/>
        </w:rPr>
        <w:t>)</w:t>
      </w:r>
      <w:r>
        <w:rPr>
          <w:rFonts w:cs="Arial"/>
        </w:rPr>
        <w:t xml:space="preserve">. Es </w:t>
      </w:r>
      <w:r w:rsidRPr="00AA4D5B">
        <w:rPr>
          <w:rFonts w:cs="Arial"/>
        </w:rPr>
        <w:t xml:space="preserve">un conjunto de herramientas de desarrollo de </w:t>
      </w:r>
      <w:r w:rsidRPr="00C17DA8">
        <w:rPr>
          <w:rFonts w:cs="Arial"/>
          <w:i/>
          <w:iCs/>
        </w:rPr>
        <w:t>software</w:t>
      </w:r>
      <w:r w:rsidRPr="00AA4D5B">
        <w:rPr>
          <w:rFonts w:cs="Arial"/>
        </w:rPr>
        <w:t xml:space="preserve"> que le permite a un programador crear una </w:t>
      </w:r>
      <w:r>
        <w:rPr>
          <w:rFonts w:cs="Arial"/>
        </w:rPr>
        <w:t xml:space="preserve">aplicación informática </w:t>
      </w:r>
      <w:r w:rsidRPr="00AA4D5B">
        <w:rPr>
          <w:rFonts w:cs="Arial"/>
        </w:rPr>
        <w:t>(API) en un lenguaje concreto, o para una plataforma o</w:t>
      </w:r>
      <w:r w:rsidRPr="00D8448E">
        <w:rPr>
          <w:rFonts w:cs="Arial"/>
        </w:rPr>
        <w:t xml:space="preserve"> aplicación específica.</w:t>
      </w:r>
    </w:p>
    <w:p w14:paraId="01A3536B" w14:textId="77777777" w:rsidR="00F87180" w:rsidRPr="00C17DA8" w:rsidRDefault="00F87180" w:rsidP="00F87180">
      <w:pPr>
        <w:pStyle w:val="ListaVietas"/>
        <w:tabs>
          <w:tab w:val="clear" w:pos="425"/>
        </w:tabs>
        <w:spacing w:before="0" w:line="250" w:lineRule="auto"/>
        <w:ind w:left="709" w:hanging="283"/>
        <w:rPr>
          <w:rFonts w:cs="Arial"/>
        </w:rPr>
      </w:pPr>
      <w:r w:rsidRPr="00C17DA8">
        <w:rPr>
          <w:rFonts w:cs="Arial"/>
        </w:rPr>
        <w:t xml:space="preserve">SINPE: </w:t>
      </w:r>
      <w:r w:rsidRPr="002B479A">
        <w:rPr>
          <w:rFonts w:cs="Arial"/>
        </w:rPr>
        <w:t>acrónimo del Sistema Nacional de Pagos Electrónicos</w:t>
      </w:r>
      <w:r>
        <w:rPr>
          <w:rFonts w:cs="Arial"/>
        </w:rPr>
        <w:t xml:space="preserve">. Es </w:t>
      </w:r>
      <w:r w:rsidRPr="002B479A">
        <w:rPr>
          <w:rFonts w:cs="Arial"/>
        </w:rPr>
        <w:t>una plataforma de servicios financieros de pago para la movilización interbancaria de fondos, establecida, regulada y operada por el BCCR</w:t>
      </w:r>
      <w:r w:rsidRPr="00C17DA8">
        <w:rPr>
          <w:rFonts w:cs="Arial"/>
        </w:rPr>
        <w:t>.</w:t>
      </w:r>
    </w:p>
    <w:p w14:paraId="71C3D7BB" w14:textId="77777777" w:rsidR="00F87180" w:rsidRPr="00C17DA8" w:rsidRDefault="00F87180" w:rsidP="00F87180">
      <w:pPr>
        <w:pStyle w:val="ListaVietas"/>
        <w:tabs>
          <w:tab w:val="clear" w:pos="425"/>
        </w:tabs>
        <w:spacing w:before="0" w:line="250" w:lineRule="auto"/>
        <w:ind w:left="709" w:hanging="283"/>
        <w:rPr>
          <w:rFonts w:cs="Arial"/>
        </w:rPr>
      </w:pPr>
      <w:r w:rsidRPr="00C17DA8">
        <w:rPr>
          <w:rFonts w:cs="Arial"/>
        </w:rPr>
        <w:t xml:space="preserve">SINPE-TP: </w:t>
      </w:r>
      <w:r>
        <w:t xml:space="preserve">acrónimo del </w:t>
      </w:r>
      <w:r w:rsidRPr="00C17DA8">
        <w:rPr>
          <w:rFonts w:cs="Arial"/>
        </w:rPr>
        <w:t>Sistema Nacional de Pago Electrónico en el Transporte Público.</w:t>
      </w:r>
    </w:p>
    <w:p w14:paraId="0138130E" w14:textId="77777777" w:rsidR="00F87180" w:rsidRPr="00C17DA8" w:rsidRDefault="00F87180" w:rsidP="00F87180">
      <w:pPr>
        <w:pStyle w:val="ListaVietas"/>
        <w:tabs>
          <w:tab w:val="clear" w:pos="425"/>
        </w:tabs>
        <w:spacing w:before="0" w:line="250" w:lineRule="auto"/>
        <w:ind w:left="709" w:hanging="283"/>
        <w:rPr>
          <w:rFonts w:cs="Arial"/>
        </w:rPr>
      </w:pPr>
      <w:r w:rsidRPr="00BC566E">
        <w:rPr>
          <w:rFonts w:cs="Arial"/>
        </w:rPr>
        <w:t xml:space="preserve">Sistema Central de Recaudo (SCR): componente de </w:t>
      </w:r>
      <w:r w:rsidRPr="00523F55">
        <w:rPr>
          <w:rFonts w:cs="Arial"/>
          <w:i/>
          <w:iCs/>
        </w:rPr>
        <w:t>back office</w:t>
      </w:r>
      <w:r w:rsidRPr="00BC566E">
        <w:rPr>
          <w:rFonts w:cs="Arial"/>
        </w:rPr>
        <w:t xml:space="preserve"> de</w:t>
      </w:r>
      <w:r>
        <w:rPr>
          <w:rFonts w:cs="Arial"/>
        </w:rPr>
        <w:t>l</w:t>
      </w:r>
      <w:r w:rsidRPr="00BC566E">
        <w:rPr>
          <w:rFonts w:cs="Arial"/>
        </w:rPr>
        <w:t xml:space="preserve"> SINPE-TP que aplica las reglas de transporte en el procesamiento de pagos.</w:t>
      </w:r>
      <w:r>
        <w:rPr>
          <w:rFonts w:cs="Arial"/>
        </w:rPr>
        <w:t xml:space="preserve"> </w:t>
      </w:r>
      <w:r w:rsidRPr="00BC566E">
        <w:rPr>
          <w:rFonts w:cs="Arial"/>
        </w:rPr>
        <w:t>El SCR funciona integrado a la pasarela de transporte para aplicar las reglas de pagos agregados</w:t>
      </w:r>
      <w:r>
        <w:rPr>
          <w:rFonts w:cs="Arial"/>
        </w:rPr>
        <w:t>.</w:t>
      </w:r>
    </w:p>
    <w:p w14:paraId="5F3FB150" w14:textId="77777777" w:rsidR="00F87180" w:rsidRPr="00BC566E" w:rsidRDefault="00F87180" w:rsidP="00F87180">
      <w:pPr>
        <w:pStyle w:val="ListaVietas"/>
        <w:tabs>
          <w:tab w:val="clear" w:pos="425"/>
        </w:tabs>
        <w:spacing w:before="0" w:line="250" w:lineRule="auto"/>
        <w:ind w:left="709" w:hanging="283"/>
        <w:rPr>
          <w:rFonts w:cs="Arial"/>
        </w:rPr>
      </w:pPr>
      <w:r w:rsidRPr="00BC566E">
        <w:rPr>
          <w:rFonts w:cs="Arial"/>
        </w:rPr>
        <w:t xml:space="preserve">Software base: conjunto de instrucciones de programación sobre el cual se </w:t>
      </w:r>
      <w:r w:rsidRPr="00BC566E">
        <w:rPr>
          <w:rFonts w:cs="Arial"/>
          <w:lang w:val="es-ES_tradnl" w:eastAsia="es-ES"/>
        </w:rPr>
        <w:t>implementan</w:t>
      </w:r>
      <w:r w:rsidRPr="00BC566E">
        <w:rPr>
          <w:rFonts w:cs="Arial"/>
        </w:rPr>
        <w:t xml:space="preserve"> funciones complementarias que permiten hacer funcional los equipos de validación en el ecosistema de pagos de SINPE-TP, considerando las particularidades de los componentes del </w:t>
      </w:r>
      <w:r w:rsidRPr="00523F55">
        <w:rPr>
          <w:rFonts w:cs="Arial"/>
          <w:i/>
          <w:iCs/>
        </w:rPr>
        <w:t>hardware</w:t>
      </w:r>
      <w:r w:rsidRPr="00BC566E">
        <w:rPr>
          <w:rFonts w:cs="Arial"/>
        </w:rPr>
        <w:t xml:space="preserve"> y las interfaces provistas por el kit de desarrollo de </w:t>
      </w:r>
      <w:r w:rsidRPr="00BC566E">
        <w:rPr>
          <w:rFonts w:cs="Arial"/>
          <w:i/>
          <w:iCs/>
        </w:rPr>
        <w:t>software</w:t>
      </w:r>
      <w:r w:rsidRPr="00BC566E">
        <w:rPr>
          <w:rFonts w:cs="Arial"/>
        </w:rPr>
        <w:t xml:space="preserve"> (SDK).</w:t>
      </w:r>
    </w:p>
    <w:p w14:paraId="298230DE" w14:textId="77777777" w:rsidR="00F87180" w:rsidRDefault="00F87180" w:rsidP="00F87180">
      <w:pPr>
        <w:pStyle w:val="ListaVietas"/>
        <w:tabs>
          <w:tab w:val="clear" w:pos="425"/>
        </w:tabs>
        <w:spacing w:before="0" w:line="250" w:lineRule="auto"/>
        <w:ind w:left="709" w:hanging="283"/>
        <w:rPr>
          <w:rFonts w:cs="Arial"/>
        </w:rPr>
      </w:pPr>
      <w:r w:rsidRPr="00D8448E">
        <w:rPr>
          <w:rFonts w:cs="Arial"/>
        </w:rPr>
        <w:t xml:space="preserve">Solicitante: </w:t>
      </w:r>
      <w:r>
        <w:rPr>
          <w:rFonts w:cs="Arial"/>
        </w:rPr>
        <w:t xml:space="preserve">proveedor tecnológico </w:t>
      </w:r>
      <w:r w:rsidRPr="00D8448E">
        <w:rPr>
          <w:rFonts w:cs="Arial"/>
        </w:rPr>
        <w:t>que presenta ante el BCCR un determinado equipo de validación con el fin de que sea homologado de conformidad con la presente nor</w:t>
      </w:r>
      <w:r w:rsidRPr="00C17DA8">
        <w:rPr>
          <w:rFonts w:cs="Arial"/>
        </w:rPr>
        <w:t>ma técnica.</w:t>
      </w:r>
    </w:p>
    <w:p w14:paraId="02997BAF" w14:textId="77777777" w:rsidR="00F87180" w:rsidRPr="007B422A" w:rsidRDefault="00F87180" w:rsidP="00F87180">
      <w:pPr>
        <w:pStyle w:val="ListaVietas"/>
        <w:tabs>
          <w:tab w:val="clear" w:pos="425"/>
        </w:tabs>
        <w:spacing w:before="0" w:line="250" w:lineRule="auto"/>
        <w:ind w:left="709" w:hanging="283"/>
        <w:rPr>
          <w:rFonts w:cs="Arial"/>
        </w:rPr>
      </w:pPr>
      <w:r w:rsidRPr="007B422A">
        <w:rPr>
          <w:rFonts w:cs="Arial"/>
        </w:rPr>
        <w:t>SSH</w:t>
      </w:r>
      <w:r>
        <w:rPr>
          <w:rFonts w:cs="Arial"/>
        </w:rPr>
        <w:t>: siglas de “</w:t>
      </w:r>
      <w:r w:rsidRPr="007B422A">
        <w:rPr>
          <w:rFonts w:cs="Arial"/>
          <w:i/>
          <w:iCs/>
        </w:rPr>
        <w:t>Secure Shell</w:t>
      </w:r>
      <w:r>
        <w:rPr>
          <w:rFonts w:cs="Arial"/>
        </w:rPr>
        <w:t>”. Es un</w:t>
      </w:r>
      <w:r w:rsidRPr="007B422A">
        <w:rPr>
          <w:rFonts w:cs="Arial"/>
        </w:rPr>
        <w:t xml:space="preserve"> protocolo de comunicación y autenticación por internet que utiliza técnicas criptográficas para garantizar que todas las comunicaciones hacia y desde un servidor remoto sucedan de manera encriptada.</w:t>
      </w:r>
    </w:p>
    <w:p w14:paraId="552AA38B" w14:textId="77777777" w:rsidR="00F87180" w:rsidRDefault="00F87180" w:rsidP="00F87180">
      <w:pPr>
        <w:pStyle w:val="ListaVietas"/>
        <w:tabs>
          <w:tab w:val="clear" w:pos="425"/>
        </w:tabs>
        <w:spacing w:before="0" w:line="250" w:lineRule="auto"/>
        <w:ind w:left="709" w:hanging="283"/>
        <w:rPr>
          <w:rFonts w:cs="Arial"/>
        </w:rPr>
      </w:pPr>
      <w:bookmarkStart w:id="18" w:name="_Hlk214532564"/>
      <w:r w:rsidRPr="00CF263B">
        <w:t>Transacción</w:t>
      </w:r>
      <w:r w:rsidRPr="00CF263B">
        <w:rPr>
          <w:rFonts w:cs="Arial"/>
          <w:lang w:eastAsia="es-CR"/>
        </w:rPr>
        <w:t>: pago de la tarifa que realiza un pasajero con el uso del mecanismo de SINPE-TP en los servicios de transporte público</w:t>
      </w:r>
      <w:r>
        <w:rPr>
          <w:rFonts w:cs="Arial"/>
          <w:lang w:eastAsia="es-CR"/>
        </w:rPr>
        <w:t>.</w:t>
      </w:r>
    </w:p>
    <w:p w14:paraId="5FD0E376" w14:textId="77777777" w:rsidR="00F87180" w:rsidRDefault="00F87180" w:rsidP="00F87180">
      <w:pPr>
        <w:pStyle w:val="ListaVietas"/>
        <w:tabs>
          <w:tab w:val="clear" w:pos="425"/>
        </w:tabs>
        <w:spacing w:before="0" w:line="250" w:lineRule="auto"/>
        <w:ind w:left="709" w:hanging="283"/>
        <w:rPr>
          <w:rFonts w:cs="Arial"/>
        </w:rPr>
      </w:pPr>
      <w:r w:rsidRPr="00DB60C1">
        <w:t xml:space="preserve">Transporte público: servicio de transporte </w:t>
      </w:r>
      <w:r>
        <w:t>remunerado</w:t>
      </w:r>
      <w:r w:rsidRPr="00DB60C1">
        <w:t xml:space="preserve"> de </w:t>
      </w:r>
      <w:r>
        <w:t>person</w:t>
      </w:r>
      <w:r w:rsidRPr="008A0C76">
        <w:t xml:space="preserve">as en las modalidades </w:t>
      </w:r>
      <w:r w:rsidRPr="005A0112">
        <w:t>servicio de autobús de ruta regular y tren de pasajeros</w:t>
      </w:r>
      <w:r>
        <w:t>.</w:t>
      </w:r>
    </w:p>
    <w:p w14:paraId="6BB32026" w14:textId="77777777" w:rsidR="00F87180" w:rsidRPr="003667E3" w:rsidRDefault="00F87180" w:rsidP="00F87180">
      <w:pPr>
        <w:pStyle w:val="ListaVietas"/>
        <w:tabs>
          <w:tab w:val="clear" w:pos="425"/>
        </w:tabs>
        <w:spacing w:before="0" w:line="250" w:lineRule="auto"/>
        <w:ind w:left="709" w:hanging="283"/>
        <w:rPr>
          <w:rFonts w:cs="Arial"/>
        </w:rPr>
      </w:pPr>
      <w:bookmarkStart w:id="19" w:name="_Hlk214539368"/>
      <w:r w:rsidRPr="003667E3">
        <w:rPr>
          <w:rFonts w:cs="Arial"/>
        </w:rPr>
        <w:t xml:space="preserve">Validador: </w:t>
      </w:r>
      <w:bookmarkStart w:id="20" w:name="_Hlk214538032"/>
      <w:r w:rsidRPr="003667E3">
        <w:rPr>
          <w:rFonts w:cs="Arial"/>
        </w:rPr>
        <w:t>equipo de validación homologado por el BCCR, configurado y acoplado para operar en la plataforma tecnológica de SINPE-TP.</w:t>
      </w:r>
      <w:r w:rsidRPr="003667E3">
        <w:rPr>
          <w:rFonts w:cs="Arial"/>
          <w:lang w:eastAsia="es-CR"/>
        </w:rPr>
        <w:t xml:space="preserve"> Un validador está integrado por un lector independiente de dispositivos de pago </w:t>
      </w:r>
      <w:r w:rsidRPr="003667E3">
        <w:rPr>
          <w:rFonts w:cs="Arial"/>
          <w:i/>
          <w:iCs/>
          <w:lang w:eastAsia="es-CR"/>
        </w:rPr>
        <w:t>EMV-Contactless</w:t>
      </w:r>
      <w:r w:rsidRPr="003667E3">
        <w:rPr>
          <w:rFonts w:cs="Arial"/>
          <w:lang w:eastAsia="es-CR"/>
        </w:rPr>
        <w:t>, así como por elementos periféricos tales como pantalla, bocina, dispositivo GPS u otros, y es utilizado para registrar y enviar transacciones al Sistema Central de Recaudo</w:t>
      </w:r>
      <w:bookmarkEnd w:id="20"/>
      <w:r w:rsidRPr="003667E3">
        <w:rPr>
          <w:rFonts w:cs="Arial"/>
          <w:lang w:eastAsia="es-CR"/>
        </w:rPr>
        <w:t>. En rutas de tarifa fraccionada, el validador también integra una consola.</w:t>
      </w:r>
    </w:p>
    <w:bookmarkEnd w:id="19"/>
    <w:p w14:paraId="51E53C6D" w14:textId="77777777" w:rsidR="00F87180" w:rsidRPr="00C17DA8" w:rsidRDefault="00F87180" w:rsidP="00F87180">
      <w:pPr>
        <w:pStyle w:val="ListaVietas"/>
        <w:numPr>
          <w:ilvl w:val="0"/>
          <w:numId w:val="0"/>
        </w:numPr>
        <w:spacing w:before="0" w:line="250" w:lineRule="auto"/>
        <w:ind w:left="709"/>
        <w:rPr>
          <w:rFonts w:cs="Arial"/>
        </w:rPr>
      </w:pPr>
      <w:r w:rsidRPr="004D7401">
        <w:rPr>
          <w:rFonts w:cs="Arial"/>
          <w:lang w:eastAsia="es-CR"/>
        </w:rPr>
        <w:t>En la presente norma técnica en algunos casos se utiliza el término “validador” sin que necesariamente signifique integrado con un lector de dispositivos pago</w:t>
      </w:r>
      <w:r w:rsidRPr="00523F55">
        <w:rPr>
          <w:rFonts w:cs="Arial"/>
          <w:color w:val="000000"/>
          <w:lang w:eastAsia="es-CR"/>
        </w:rPr>
        <w:t>.</w:t>
      </w:r>
    </w:p>
    <w:bookmarkEnd w:id="18"/>
    <w:p w14:paraId="624C0DB8" w14:textId="77777777" w:rsidR="00F87180" w:rsidRPr="00C17DA8" w:rsidRDefault="00F87180" w:rsidP="00F87180">
      <w:pPr>
        <w:pStyle w:val="ListaVietas"/>
        <w:spacing w:before="0" w:line="250" w:lineRule="auto"/>
        <w:ind w:left="709" w:hanging="283"/>
        <w:rPr>
          <w:rFonts w:cs="Arial"/>
        </w:rPr>
      </w:pPr>
      <w:r w:rsidRPr="00C17DA8">
        <w:rPr>
          <w:rFonts w:cs="Arial"/>
        </w:rPr>
        <w:t xml:space="preserve">Validador de desarrollo: </w:t>
      </w:r>
      <w:r>
        <w:rPr>
          <w:rFonts w:cs="Arial"/>
        </w:rPr>
        <w:t xml:space="preserve">equipo de validación preparado con su </w:t>
      </w:r>
      <w:r w:rsidRPr="00C17DA8">
        <w:rPr>
          <w:rFonts w:cs="Arial"/>
        </w:rPr>
        <w:t xml:space="preserve">lector de dispositivos de pago y configurado para ser </w:t>
      </w:r>
      <w:r>
        <w:rPr>
          <w:rFonts w:cs="Arial"/>
        </w:rPr>
        <w:t xml:space="preserve">utilizado </w:t>
      </w:r>
      <w:r w:rsidRPr="00C17DA8">
        <w:rPr>
          <w:rFonts w:cs="Arial"/>
        </w:rPr>
        <w:t xml:space="preserve">por el BCCR </w:t>
      </w:r>
      <w:r>
        <w:rPr>
          <w:rFonts w:cs="Arial"/>
        </w:rPr>
        <w:t xml:space="preserve">con </w:t>
      </w:r>
      <w:r w:rsidRPr="00C17DA8">
        <w:rPr>
          <w:rFonts w:cs="Arial"/>
        </w:rPr>
        <w:t>el desarrollo de pruebas de laboratorio, conforme con el apartado 8.1.2 de la presente norma técnica.</w:t>
      </w:r>
    </w:p>
    <w:p w14:paraId="1AB729CE" w14:textId="77777777" w:rsidR="00F87180" w:rsidRPr="00C17DA8" w:rsidRDefault="00F87180" w:rsidP="00F87180">
      <w:pPr>
        <w:pStyle w:val="ListaVietas"/>
        <w:spacing w:before="0" w:line="250" w:lineRule="auto"/>
        <w:ind w:left="709" w:hanging="283"/>
        <w:rPr>
          <w:rFonts w:cs="Arial"/>
        </w:rPr>
      </w:pPr>
      <w:r w:rsidRPr="00C17DA8">
        <w:rPr>
          <w:rFonts w:cs="Arial"/>
        </w:rPr>
        <w:t xml:space="preserve">Validador de producción: </w:t>
      </w:r>
      <w:r>
        <w:rPr>
          <w:rFonts w:cs="Arial"/>
        </w:rPr>
        <w:t>equipo de validación preparado con su</w:t>
      </w:r>
      <w:r w:rsidRPr="00C17DA8">
        <w:rPr>
          <w:rFonts w:cs="Arial"/>
        </w:rPr>
        <w:t xml:space="preserve"> lector de dispositivos de pago</w:t>
      </w:r>
      <w:r w:rsidRPr="00C17DA8" w:rsidDel="007B3559">
        <w:rPr>
          <w:rFonts w:cs="Arial"/>
        </w:rPr>
        <w:t xml:space="preserve"> </w:t>
      </w:r>
      <w:r w:rsidRPr="00C17DA8">
        <w:rPr>
          <w:rFonts w:cs="Arial"/>
        </w:rPr>
        <w:t xml:space="preserve">y configurado para ser </w:t>
      </w:r>
      <w:r>
        <w:rPr>
          <w:rFonts w:cs="Arial"/>
        </w:rPr>
        <w:t xml:space="preserve">utilizado </w:t>
      </w:r>
      <w:r w:rsidRPr="00C17DA8">
        <w:rPr>
          <w:rFonts w:cs="Arial"/>
        </w:rPr>
        <w:t>por los operadores de transporte con la ejecución de pruebas de campo (en ambientes reales de trabajo y desde los autobuses), conforme con el apartado 8.1.3 de la presente norma técnica.</w:t>
      </w:r>
    </w:p>
    <w:p w14:paraId="7FCB9521" w14:textId="77777777" w:rsidR="00F87180" w:rsidRDefault="00F87180" w:rsidP="00F87180">
      <w:pPr>
        <w:pStyle w:val="ListaVietas"/>
        <w:spacing w:before="0" w:line="250" w:lineRule="auto"/>
        <w:ind w:left="709" w:hanging="283"/>
        <w:rPr>
          <w:rFonts w:cs="Arial"/>
        </w:rPr>
      </w:pPr>
      <w:r w:rsidRPr="00C17DA8">
        <w:rPr>
          <w:rFonts w:cs="Arial"/>
        </w:rPr>
        <w:t>Wearable: dispositivo tecnológico como teléfono celular, tableta, brazalete, reloj, anillo y cualquier otro objeto que pueda contener un microprocesador criptográfico con el estándar EMV y que cumple con las mismas funciones de una tarjeta de pago sin contacto.</w:t>
      </w:r>
    </w:p>
    <w:p w14:paraId="40251643" w14:textId="77777777" w:rsidR="00F87180" w:rsidRPr="004C3F4F" w:rsidRDefault="00F87180" w:rsidP="00F87180">
      <w:pPr>
        <w:pStyle w:val="ListaVietas"/>
        <w:spacing w:before="0" w:line="250" w:lineRule="auto"/>
        <w:ind w:left="709" w:hanging="283"/>
        <w:rPr>
          <w:rFonts w:cs="Arial"/>
        </w:rPr>
      </w:pPr>
      <w:r w:rsidRPr="00DD5F2E">
        <w:rPr>
          <w:rFonts w:cs="Arial"/>
        </w:rPr>
        <w:lastRenderedPageBreak/>
        <w:t>WAV</w:t>
      </w:r>
      <w:r>
        <w:rPr>
          <w:rFonts w:cs="Arial"/>
        </w:rPr>
        <w:t>: siglas de “</w:t>
      </w:r>
      <w:r w:rsidRPr="004C3F4F">
        <w:rPr>
          <w:rFonts w:cs="Arial"/>
          <w:i/>
          <w:iCs/>
        </w:rPr>
        <w:t>Waveform Audio File Format</w:t>
      </w:r>
      <w:r>
        <w:rPr>
          <w:rFonts w:cs="Arial"/>
        </w:rPr>
        <w:t>”. Es un</w:t>
      </w:r>
      <w:r w:rsidRPr="004C3F4F">
        <w:rPr>
          <w:rFonts w:cs="Arial"/>
        </w:rPr>
        <w:t xml:space="preserve"> formato de codificación de audio desarrollado por Microsoft e IBM, que permite almacenar flujos</w:t>
      </w:r>
      <w:r>
        <w:rPr>
          <w:rFonts w:cs="Arial"/>
        </w:rPr>
        <w:t xml:space="preserve"> </w:t>
      </w:r>
      <w:r w:rsidRPr="004C3F4F">
        <w:rPr>
          <w:rFonts w:cs="Arial"/>
        </w:rPr>
        <w:t>digitales de audio con o sin compresión de datos.</w:t>
      </w:r>
    </w:p>
    <w:p w14:paraId="69D3EB2B" w14:textId="77777777" w:rsidR="00F87180" w:rsidRPr="007B422A" w:rsidRDefault="00F87180" w:rsidP="00F87180">
      <w:pPr>
        <w:pStyle w:val="ListaVietas"/>
        <w:spacing w:before="0" w:line="250" w:lineRule="auto"/>
        <w:ind w:left="709" w:hanging="283"/>
        <w:rPr>
          <w:rFonts w:cs="Arial"/>
        </w:rPr>
      </w:pPr>
      <w:r w:rsidRPr="007B422A">
        <w:rPr>
          <w:rFonts w:cs="Arial"/>
        </w:rPr>
        <w:t>WiFi</w:t>
      </w:r>
      <w:r>
        <w:rPr>
          <w:rFonts w:cs="Arial"/>
        </w:rPr>
        <w:t>:</w:t>
      </w:r>
      <w:r w:rsidRPr="007B422A">
        <w:rPr>
          <w:rFonts w:cs="Arial"/>
        </w:rPr>
        <w:t xml:space="preserve"> </w:t>
      </w:r>
      <w:r>
        <w:rPr>
          <w:rFonts w:cs="Arial"/>
        </w:rPr>
        <w:t>siglas de “</w:t>
      </w:r>
      <w:r w:rsidRPr="007B422A">
        <w:rPr>
          <w:rFonts w:cs="Arial"/>
          <w:i/>
          <w:iCs/>
        </w:rPr>
        <w:t>Wireless Fidelity</w:t>
      </w:r>
      <w:r>
        <w:rPr>
          <w:rFonts w:cs="Arial"/>
          <w:i/>
          <w:iCs/>
        </w:rPr>
        <w:t>”.</w:t>
      </w:r>
      <w:r>
        <w:rPr>
          <w:rFonts w:cs="Arial"/>
        </w:rPr>
        <w:t xml:space="preserve"> Es una</w:t>
      </w:r>
      <w:r w:rsidRPr="007B422A">
        <w:rPr>
          <w:rFonts w:cs="Arial"/>
        </w:rPr>
        <w:t xml:space="preserve"> tecnología de redes inalámbricas que permite a los dispositivos electrónicos conectarse entre sí por medio de radiofrecuencia, o para acceder a recursos de la red internet.</w:t>
      </w:r>
    </w:p>
    <w:p w14:paraId="01F1C0DE" w14:textId="77777777" w:rsidR="00F87180" w:rsidRPr="002A1DEF" w:rsidRDefault="00F87180" w:rsidP="00F87180">
      <w:pPr>
        <w:pStyle w:val="Ttulo1"/>
        <w:numPr>
          <w:ilvl w:val="0"/>
          <w:numId w:val="3"/>
        </w:numPr>
        <w:tabs>
          <w:tab w:val="clear" w:pos="340"/>
        </w:tabs>
        <w:spacing w:line="250" w:lineRule="auto"/>
        <w:ind w:left="425" w:hanging="431"/>
      </w:pPr>
      <w:bookmarkStart w:id="21" w:name="_Toc133401762"/>
      <w:bookmarkStart w:id="22" w:name="_Toc133401763"/>
      <w:bookmarkStart w:id="23" w:name="_Toc133401764"/>
      <w:bookmarkStart w:id="24" w:name="_Toc215998967"/>
      <w:bookmarkStart w:id="25" w:name="_Toc216716476"/>
      <w:bookmarkEnd w:id="21"/>
      <w:bookmarkEnd w:id="22"/>
      <w:bookmarkEnd w:id="23"/>
      <w:r>
        <w:t>Regulación relacionada</w:t>
      </w:r>
      <w:bookmarkEnd w:id="24"/>
      <w:bookmarkEnd w:id="25"/>
    </w:p>
    <w:tbl>
      <w:tblPr>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20" w:firstRow="1" w:lastRow="0" w:firstColumn="0" w:lastColumn="0" w:noHBand="0" w:noVBand="0"/>
      </w:tblPr>
      <w:tblGrid>
        <w:gridCol w:w="1834"/>
        <w:gridCol w:w="6745"/>
      </w:tblGrid>
      <w:tr w:rsidR="00F87180" w:rsidRPr="00DA48E2" w14:paraId="0E75838A" w14:textId="77777777" w:rsidTr="00465509">
        <w:trPr>
          <w:cantSplit/>
          <w:tblHeader/>
        </w:trPr>
        <w:tc>
          <w:tcPr>
            <w:tcW w:w="1834" w:type="dxa"/>
            <w:shd w:val="clear" w:color="auto" w:fill="44546A"/>
            <w:vAlign w:val="center"/>
          </w:tcPr>
          <w:p w14:paraId="3280BBDF" w14:textId="77777777" w:rsidR="00F87180" w:rsidRPr="00DA48E2" w:rsidRDefault="00F87180" w:rsidP="00465509">
            <w:pPr>
              <w:pStyle w:val="TtuloTabla"/>
              <w:spacing w:before="60" w:after="60"/>
              <w:rPr>
                <w:rFonts w:ascii="Arial" w:hAnsi="Arial" w:cs="Arial"/>
                <w:color w:val="FFFFFF"/>
                <w:position w:val="-20"/>
                <w:sz w:val="20"/>
                <w:szCs w:val="20"/>
              </w:rPr>
            </w:pPr>
            <w:r w:rsidRPr="00DA48E2">
              <w:rPr>
                <w:rFonts w:ascii="Arial" w:hAnsi="Arial" w:cs="Arial"/>
                <w:color w:val="FFFFFF"/>
                <w:sz w:val="20"/>
                <w:szCs w:val="20"/>
              </w:rPr>
              <w:t>Referencia</w:t>
            </w:r>
          </w:p>
        </w:tc>
        <w:tc>
          <w:tcPr>
            <w:tcW w:w="6745" w:type="dxa"/>
            <w:shd w:val="clear" w:color="auto" w:fill="44546A"/>
            <w:vAlign w:val="center"/>
          </w:tcPr>
          <w:p w14:paraId="0FB42ED6" w14:textId="77777777" w:rsidR="00F87180" w:rsidRPr="00DA48E2" w:rsidRDefault="00F87180" w:rsidP="00465509">
            <w:pPr>
              <w:pStyle w:val="TtuloTabla"/>
              <w:spacing w:before="60" w:after="60"/>
              <w:rPr>
                <w:rFonts w:ascii="Arial" w:hAnsi="Arial" w:cs="Arial"/>
                <w:color w:val="FFFFFF"/>
                <w:position w:val="-20"/>
                <w:sz w:val="20"/>
                <w:szCs w:val="20"/>
              </w:rPr>
            </w:pPr>
            <w:r w:rsidRPr="00DA48E2">
              <w:rPr>
                <w:rFonts w:ascii="Arial" w:hAnsi="Arial" w:cs="Arial"/>
                <w:color w:val="FFFFFF"/>
                <w:position w:val="-20"/>
                <w:sz w:val="20"/>
                <w:szCs w:val="20"/>
              </w:rPr>
              <w:t xml:space="preserve">Nombre </w:t>
            </w:r>
            <w:r>
              <w:rPr>
                <w:rFonts w:ascii="Arial" w:hAnsi="Arial" w:cs="Arial"/>
                <w:color w:val="FFFFFF"/>
                <w:position w:val="-20"/>
                <w:sz w:val="20"/>
                <w:szCs w:val="20"/>
              </w:rPr>
              <w:t>del documento</w:t>
            </w:r>
          </w:p>
        </w:tc>
      </w:tr>
      <w:tr w:rsidR="00F87180" w:rsidRPr="00437774" w14:paraId="03FB2A34" w14:textId="77777777" w:rsidTr="00465509">
        <w:trPr>
          <w:cantSplit/>
        </w:trPr>
        <w:tc>
          <w:tcPr>
            <w:tcW w:w="1834" w:type="dxa"/>
            <w:shd w:val="clear" w:color="auto" w:fill="F2F2F2" w:themeFill="background1" w:themeFillShade="F2"/>
            <w:vAlign w:val="center"/>
          </w:tcPr>
          <w:p w14:paraId="4D43F6A9" w14:textId="77777777" w:rsidR="00F87180" w:rsidRPr="00437774" w:rsidRDefault="00F87180" w:rsidP="00465509">
            <w:pPr>
              <w:pStyle w:val="TextoTablaCentrado"/>
              <w:spacing w:before="20"/>
              <w:rPr>
                <w:rFonts w:ascii="Arial" w:hAnsi="Arial" w:cs="Arial"/>
                <w:position w:val="-20"/>
                <w:sz w:val="20"/>
                <w:szCs w:val="20"/>
              </w:rPr>
            </w:pPr>
            <w:r w:rsidRPr="00437774">
              <w:rPr>
                <w:rFonts w:ascii="Arial" w:hAnsi="Arial" w:cs="Arial"/>
                <w:position w:val="-20"/>
                <w:sz w:val="20"/>
                <w:szCs w:val="20"/>
              </w:rPr>
              <w:t>RS</w:t>
            </w:r>
            <w:r>
              <w:rPr>
                <w:rFonts w:ascii="Arial" w:hAnsi="Arial" w:cs="Arial"/>
                <w:position w:val="-20"/>
                <w:sz w:val="20"/>
                <w:szCs w:val="20"/>
              </w:rPr>
              <w:t>TP</w:t>
            </w:r>
          </w:p>
        </w:tc>
        <w:tc>
          <w:tcPr>
            <w:tcW w:w="6745" w:type="dxa"/>
            <w:shd w:val="clear" w:color="auto" w:fill="F2F2F2" w:themeFill="background1" w:themeFillShade="F2"/>
            <w:vAlign w:val="center"/>
          </w:tcPr>
          <w:p w14:paraId="435A8DB5" w14:textId="77777777" w:rsidR="00F87180" w:rsidRPr="00437774" w:rsidRDefault="00F87180" w:rsidP="00465509">
            <w:pPr>
              <w:pStyle w:val="TextoTablaJustificado"/>
              <w:spacing w:before="20"/>
              <w:rPr>
                <w:rFonts w:ascii="Arial" w:hAnsi="Arial" w:cs="Arial"/>
                <w:position w:val="-20"/>
                <w:sz w:val="20"/>
                <w:szCs w:val="20"/>
              </w:rPr>
            </w:pPr>
            <w:r w:rsidRPr="00437774">
              <w:rPr>
                <w:rFonts w:ascii="Arial" w:hAnsi="Arial" w:cs="Arial"/>
                <w:position w:val="-20"/>
                <w:sz w:val="20"/>
                <w:szCs w:val="20"/>
              </w:rPr>
              <w:t xml:space="preserve">Reglamento del Sistema </w:t>
            </w:r>
            <w:r>
              <w:rPr>
                <w:rFonts w:ascii="Arial" w:hAnsi="Arial" w:cs="Arial"/>
                <w:position w:val="-20"/>
                <w:sz w:val="20"/>
                <w:szCs w:val="20"/>
              </w:rPr>
              <w:t>Nacional de Pago Electrónico en el Transporte Público.</w:t>
            </w:r>
          </w:p>
        </w:tc>
      </w:tr>
      <w:tr w:rsidR="00F87180" w:rsidRPr="00437774" w14:paraId="0B80E1DD" w14:textId="77777777" w:rsidTr="00465509">
        <w:trPr>
          <w:cantSplit/>
        </w:trPr>
        <w:tc>
          <w:tcPr>
            <w:tcW w:w="1834" w:type="dxa"/>
            <w:shd w:val="clear" w:color="auto" w:fill="F2F2F2" w:themeFill="background1" w:themeFillShade="F2"/>
            <w:vAlign w:val="center"/>
          </w:tcPr>
          <w:p w14:paraId="558ED160" w14:textId="77777777" w:rsidR="00F87180" w:rsidRPr="00437774" w:rsidRDefault="00F87180" w:rsidP="00465509">
            <w:pPr>
              <w:pStyle w:val="TextoTablaCentrado"/>
              <w:spacing w:before="20"/>
              <w:rPr>
                <w:rFonts w:ascii="Arial" w:hAnsi="Arial" w:cs="Arial"/>
                <w:position w:val="-20"/>
                <w:sz w:val="20"/>
                <w:szCs w:val="20"/>
              </w:rPr>
            </w:pPr>
            <w:r w:rsidRPr="00437774">
              <w:rPr>
                <w:rFonts w:ascii="Arial" w:hAnsi="Arial" w:cs="Arial"/>
                <w:position w:val="-20"/>
                <w:sz w:val="20"/>
                <w:szCs w:val="20"/>
              </w:rPr>
              <w:t>RSP</w:t>
            </w:r>
          </w:p>
        </w:tc>
        <w:tc>
          <w:tcPr>
            <w:tcW w:w="6745" w:type="dxa"/>
            <w:shd w:val="clear" w:color="auto" w:fill="F2F2F2" w:themeFill="background1" w:themeFillShade="F2"/>
            <w:vAlign w:val="center"/>
          </w:tcPr>
          <w:p w14:paraId="63032A76" w14:textId="7DCE0EF1" w:rsidR="00F87180" w:rsidRPr="00437774" w:rsidRDefault="00F87180" w:rsidP="00465509">
            <w:pPr>
              <w:pStyle w:val="TextoTablaJustificado"/>
              <w:spacing w:before="20"/>
              <w:rPr>
                <w:rFonts w:ascii="Arial" w:hAnsi="Arial" w:cs="Arial"/>
                <w:position w:val="-20"/>
                <w:sz w:val="20"/>
                <w:szCs w:val="20"/>
              </w:rPr>
            </w:pPr>
            <w:r w:rsidRPr="00437774">
              <w:rPr>
                <w:rFonts w:ascii="Arial" w:hAnsi="Arial" w:cs="Arial"/>
                <w:position w:val="-20"/>
                <w:sz w:val="20"/>
                <w:szCs w:val="20"/>
              </w:rPr>
              <w:t>Reglamento del Sistema de Pagos</w:t>
            </w:r>
            <w:r w:rsidR="001777EA">
              <w:rPr>
                <w:rFonts w:ascii="Arial" w:hAnsi="Arial" w:cs="Arial"/>
                <w:position w:val="-20"/>
                <w:sz w:val="20"/>
                <w:szCs w:val="20"/>
              </w:rPr>
              <w:t>.</w:t>
            </w:r>
          </w:p>
        </w:tc>
      </w:tr>
      <w:tr w:rsidR="00F87180" w:rsidRPr="00437774" w14:paraId="385A67CA" w14:textId="77777777" w:rsidTr="00465509">
        <w:trPr>
          <w:cantSplit/>
        </w:trPr>
        <w:tc>
          <w:tcPr>
            <w:tcW w:w="1834" w:type="dxa"/>
            <w:shd w:val="clear" w:color="auto" w:fill="F2F2F2" w:themeFill="background1" w:themeFillShade="F2"/>
            <w:vAlign w:val="center"/>
          </w:tcPr>
          <w:p w14:paraId="6A658B76" w14:textId="77777777" w:rsidR="00F87180" w:rsidRPr="00437774" w:rsidRDefault="00F87180" w:rsidP="00465509">
            <w:pPr>
              <w:pStyle w:val="TextoTablaCentrado"/>
              <w:spacing w:before="20"/>
              <w:rPr>
                <w:rFonts w:ascii="Arial" w:hAnsi="Arial" w:cs="Arial"/>
                <w:position w:val="-20"/>
                <w:sz w:val="20"/>
                <w:szCs w:val="20"/>
              </w:rPr>
            </w:pPr>
            <w:r w:rsidRPr="00437774">
              <w:rPr>
                <w:rFonts w:ascii="Arial" w:hAnsi="Arial" w:cs="Arial"/>
                <w:position w:val="-20"/>
                <w:sz w:val="20"/>
                <w:szCs w:val="20"/>
              </w:rPr>
              <w:t>RS</w:t>
            </w:r>
            <w:r>
              <w:rPr>
                <w:rFonts w:ascii="Arial" w:hAnsi="Arial" w:cs="Arial"/>
                <w:position w:val="-20"/>
                <w:sz w:val="20"/>
                <w:szCs w:val="20"/>
              </w:rPr>
              <w:t>T</w:t>
            </w:r>
          </w:p>
        </w:tc>
        <w:tc>
          <w:tcPr>
            <w:tcW w:w="6745" w:type="dxa"/>
            <w:shd w:val="clear" w:color="auto" w:fill="F2F2F2" w:themeFill="background1" w:themeFillShade="F2"/>
            <w:vAlign w:val="center"/>
          </w:tcPr>
          <w:p w14:paraId="54A42633" w14:textId="65203D32" w:rsidR="00F87180" w:rsidRPr="00437774" w:rsidRDefault="00F87180" w:rsidP="00465509">
            <w:pPr>
              <w:pStyle w:val="TextoTablaJustificado"/>
              <w:spacing w:before="20"/>
              <w:rPr>
                <w:rFonts w:ascii="Arial" w:hAnsi="Arial" w:cs="Arial"/>
                <w:position w:val="-20"/>
                <w:sz w:val="20"/>
                <w:szCs w:val="20"/>
              </w:rPr>
            </w:pPr>
            <w:r w:rsidRPr="00437774">
              <w:rPr>
                <w:rFonts w:ascii="Arial" w:hAnsi="Arial" w:cs="Arial"/>
                <w:position w:val="-20"/>
                <w:sz w:val="20"/>
                <w:szCs w:val="20"/>
              </w:rPr>
              <w:t xml:space="preserve">Reglamento del Sistema de </w:t>
            </w:r>
            <w:r>
              <w:rPr>
                <w:rFonts w:ascii="Arial" w:hAnsi="Arial" w:cs="Arial"/>
                <w:position w:val="-20"/>
                <w:sz w:val="20"/>
                <w:szCs w:val="20"/>
              </w:rPr>
              <w:t>Tarjetas de Pago</w:t>
            </w:r>
            <w:r w:rsidR="001777EA">
              <w:rPr>
                <w:rFonts w:ascii="Arial" w:hAnsi="Arial" w:cs="Arial"/>
                <w:position w:val="-20"/>
                <w:sz w:val="20"/>
                <w:szCs w:val="20"/>
              </w:rPr>
              <w:t>.</w:t>
            </w:r>
          </w:p>
        </w:tc>
      </w:tr>
      <w:tr w:rsidR="00F87180" w:rsidRPr="00437774" w14:paraId="0C2ED3BA" w14:textId="77777777" w:rsidTr="00465509">
        <w:trPr>
          <w:cantSplit/>
        </w:trPr>
        <w:tc>
          <w:tcPr>
            <w:tcW w:w="1834" w:type="dxa"/>
            <w:shd w:val="clear" w:color="auto" w:fill="F2F2F2" w:themeFill="background1" w:themeFillShade="F2"/>
            <w:vAlign w:val="center"/>
          </w:tcPr>
          <w:p w14:paraId="7F4C947C" w14:textId="77777777" w:rsidR="00F87180" w:rsidRPr="00437774" w:rsidRDefault="00F87180" w:rsidP="00465509">
            <w:pPr>
              <w:pStyle w:val="TextoTablaCentrado"/>
              <w:spacing w:before="20"/>
              <w:rPr>
                <w:rFonts w:ascii="Arial" w:hAnsi="Arial" w:cs="Arial"/>
                <w:position w:val="-20"/>
                <w:sz w:val="20"/>
                <w:szCs w:val="20"/>
              </w:rPr>
            </w:pPr>
            <w:r>
              <w:rPr>
                <w:rFonts w:ascii="Arial" w:hAnsi="Arial" w:cs="Arial"/>
                <w:position w:val="-20"/>
                <w:sz w:val="20"/>
                <w:szCs w:val="20"/>
              </w:rPr>
              <w:t>NC-STP</w:t>
            </w:r>
          </w:p>
        </w:tc>
        <w:tc>
          <w:tcPr>
            <w:tcW w:w="6745" w:type="dxa"/>
            <w:shd w:val="clear" w:color="auto" w:fill="F2F2F2" w:themeFill="background1" w:themeFillShade="F2"/>
            <w:vAlign w:val="center"/>
          </w:tcPr>
          <w:p w14:paraId="37E94CA9" w14:textId="20D88B7F" w:rsidR="00F87180" w:rsidRPr="00437774" w:rsidRDefault="00F87180" w:rsidP="00465509">
            <w:pPr>
              <w:pStyle w:val="TextoTablaJustificado"/>
              <w:spacing w:before="20"/>
              <w:rPr>
                <w:rFonts w:ascii="Arial" w:hAnsi="Arial" w:cs="Arial"/>
                <w:position w:val="-20"/>
                <w:sz w:val="20"/>
                <w:szCs w:val="20"/>
              </w:rPr>
            </w:pPr>
            <w:r w:rsidRPr="00437774">
              <w:rPr>
                <w:rFonts w:ascii="Arial" w:hAnsi="Arial" w:cs="Arial"/>
                <w:sz w:val="20"/>
                <w:szCs w:val="20"/>
              </w:rPr>
              <w:t>Norma Complementaria SINPE-TP</w:t>
            </w:r>
            <w:r w:rsidR="001777EA">
              <w:rPr>
                <w:rFonts w:ascii="Arial" w:hAnsi="Arial" w:cs="Arial"/>
                <w:sz w:val="20"/>
                <w:szCs w:val="20"/>
              </w:rPr>
              <w:t>.</w:t>
            </w:r>
          </w:p>
        </w:tc>
      </w:tr>
      <w:tr w:rsidR="00F87180" w:rsidRPr="00437774" w14:paraId="1A7DE63D" w14:textId="77777777" w:rsidTr="00465509">
        <w:trPr>
          <w:cantSplit/>
        </w:trPr>
        <w:tc>
          <w:tcPr>
            <w:tcW w:w="1834" w:type="dxa"/>
            <w:shd w:val="clear" w:color="auto" w:fill="F2F2F2" w:themeFill="background1" w:themeFillShade="F2"/>
            <w:vAlign w:val="center"/>
          </w:tcPr>
          <w:p w14:paraId="7B7D425C" w14:textId="77777777" w:rsidR="00F87180" w:rsidRPr="00437774" w:rsidRDefault="00F87180" w:rsidP="00465509">
            <w:pPr>
              <w:pStyle w:val="TextoTablaCentrado"/>
              <w:spacing w:before="20"/>
              <w:rPr>
                <w:rFonts w:ascii="Arial" w:hAnsi="Arial" w:cs="Arial"/>
                <w:position w:val="-20"/>
                <w:sz w:val="20"/>
                <w:szCs w:val="20"/>
              </w:rPr>
            </w:pPr>
            <w:r>
              <w:rPr>
                <w:rFonts w:ascii="Arial" w:hAnsi="Arial" w:cs="Arial"/>
                <w:position w:val="-20"/>
                <w:sz w:val="20"/>
                <w:szCs w:val="20"/>
              </w:rPr>
              <w:t>NT-STP</w:t>
            </w:r>
          </w:p>
        </w:tc>
        <w:tc>
          <w:tcPr>
            <w:tcW w:w="6745" w:type="dxa"/>
            <w:shd w:val="clear" w:color="auto" w:fill="F2F2F2" w:themeFill="background1" w:themeFillShade="F2"/>
            <w:vAlign w:val="center"/>
          </w:tcPr>
          <w:p w14:paraId="0F67C1AE" w14:textId="2E6C42EE" w:rsidR="00F87180" w:rsidRPr="00BE69BA" w:rsidRDefault="00F87180" w:rsidP="00465509">
            <w:pPr>
              <w:pStyle w:val="TextoTablaJustificado"/>
              <w:spacing w:before="20"/>
              <w:rPr>
                <w:rFonts w:ascii="Arial" w:hAnsi="Arial" w:cs="Arial"/>
                <w:sz w:val="20"/>
                <w:szCs w:val="20"/>
              </w:rPr>
            </w:pPr>
            <w:r w:rsidRPr="00437774">
              <w:rPr>
                <w:rFonts w:ascii="Arial" w:hAnsi="Arial" w:cs="Arial"/>
                <w:sz w:val="20"/>
                <w:szCs w:val="20"/>
              </w:rPr>
              <w:t xml:space="preserve">Norma Técnica </w:t>
            </w:r>
            <w:r>
              <w:rPr>
                <w:rFonts w:ascii="Arial" w:hAnsi="Arial" w:cs="Arial"/>
                <w:sz w:val="20"/>
                <w:szCs w:val="20"/>
              </w:rPr>
              <w:t>–</w:t>
            </w:r>
            <w:r w:rsidRPr="00437774">
              <w:rPr>
                <w:rFonts w:ascii="Arial" w:hAnsi="Arial" w:cs="Arial"/>
                <w:sz w:val="20"/>
                <w:szCs w:val="20"/>
              </w:rPr>
              <w:t xml:space="preserve"> </w:t>
            </w:r>
            <w:r>
              <w:rPr>
                <w:rFonts w:ascii="Arial" w:hAnsi="Arial" w:cs="Arial"/>
                <w:sz w:val="20"/>
                <w:szCs w:val="20"/>
              </w:rPr>
              <w:t>Operación del S</w:t>
            </w:r>
            <w:r w:rsidRPr="00437774">
              <w:rPr>
                <w:rFonts w:ascii="Arial" w:hAnsi="Arial" w:cs="Arial"/>
                <w:sz w:val="20"/>
                <w:szCs w:val="20"/>
              </w:rPr>
              <w:t xml:space="preserve">ervicio de </w:t>
            </w:r>
            <w:r>
              <w:rPr>
                <w:rFonts w:ascii="Arial" w:hAnsi="Arial" w:cs="Arial"/>
                <w:sz w:val="20"/>
                <w:szCs w:val="20"/>
              </w:rPr>
              <w:t>V</w:t>
            </w:r>
            <w:r w:rsidRPr="00437774">
              <w:rPr>
                <w:rFonts w:ascii="Arial" w:hAnsi="Arial" w:cs="Arial"/>
                <w:sz w:val="20"/>
                <w:szCs w:val="20"/>
              </w:rPr>
              <w:t xml:space="preserve">alidación </w:t>
            </w:r>
            <w:r>
              <w:rPr>
                <w:rFonts w:ascii="Arial" w:hAnsi="Arial" w:cs="Arial"/>
                <w:sz w:val="20"/>
                <w:szCs w:val="20"/>
              </w:rPr>
              <w:t>de</w:t>
            </w:r>
            <w:r w:rsidRPr="00437774">
              <w:rPr>
                <w:rFonts w:ascii="Arial" w:hAnsi="Arial" w:cs="Arial"/>
                <w:sz w:val="20"/>
                <w:szCs w:val="20"/>
              </w:rPr>
              <w:t xml:space="preserve"> SINPE-TP</w:t>
            </w:r>
            <w:r w:rsidR="001777EA">
              <w:rPr>
                <w:rFonts w:ascii="Arial" w:hAnsi="Arial" w:cs="Arial"/>
                <w:sz w:val="20"/>
                <w:szCs w:val="20"/>
              </w:rPr>
              <w:t>.</w:t>
            </w:r>
          </w:p>
        </w:tc>
      </w:tr>
    </w:tbl>
    <w:p w14:paraId="6AF66436" w14:textId="77777777" w:rsidR="00F87180" w:rsidRDefault="00F87180" w:rsidP="00F87180">
      <w:pPr>
        <w:pStyle w:val="Ttulo1"/>
        <w:numPr>
          <w:ilvl w:val="0"/>
          <w:numId w:val="3"/>
        </w:numPr>
        <w:tabs>
          <w:tab w:val="clear" w:pos="340"/>
        </w:tabs>
        <w:spacing w:line="250" w:lineRule="auto"/>
        <w:ind w:left="425" w:hanging="431"/>
      </w:pPr>
      <w:bookmarkStart w:id="26" w:name="_Toc110533272"/>
      <w:bookmarkStart w:id="27" w:name="_Toc111654284"/>
      <w:bookmarkStart w:id="28" w:name="_Toc215998968"/>
      <w:bookmarkStart w:id="29" w:name="_Toc216716477"/>
      <w:r>
        <w:t>Naturaleza de la homologación</w:t>
      </w:r>
      <w:bookmarkEnd w:id="26"/>
      <w:bookmarkEnd w:id="27"/>
      <w:bookmarkEnd w:id="28"/>
      <w:bookmarkEnd w:id="29"/>
    </w:p>
    <w:p w14:paraId="096F5259" w14:textId="77777777" w:rsidR="00F87180" w:rsidRPr="002E152D" w:rsidRDefault="00F87180" w:rsidP="00F87180">
      <w:pPr>
        <w:spacing w:before="0" w:line="250" w:lineRule="auto"/>
      </w:pPr>
      <w:r w:rsidRPr="00415CF3">
        <w:t xml:space="preserve">La homologación es un proceso de </w:t>
      </w:r>
      <w:r>
        <w:t xml:space="preserve">verificación de especificaciones y ejecución de </w:t>
      </w:r>
      <w:r w:rsidRPr="00415CF3">
        <w:t xml:space="preserve">pruebas técnicas </w:t>
      </w:r>
      <w:r>
        <w:t>para comprobar el</w:t>
      </w:r>
      <w:r w:rsidRPr="00415CF3">
        <w:t xml:space="preserve"> funcionamiento </w:t>
      </w:r>
      <w:r w:rsidRPr="00907FBD">
        <w:t>que de</w:t>
      </w:r>
      <w:r w:rsidRPr="00866ACA">
        <w:t xml:space="preserve">be </w:t>
      </w:r>
      <w:r>
        <w:t>satisfacer</w:t>
      </w:r>
      <w:r w:rsidRPr="00866ACA">
        <w:t xml:space="preserve"> </w:t>
      </w:r>
      <w:r w:rsidRPr="002E152D">
        <w:t>un equipo de validación para operar en el ecosistema de pagos de SINPE</w:t>
      </w:r>
      <w:r w:rsidRPr="002E152D">
        <w:noBreakHyphen/>
        <w:t>TP.</w:t>
      </w:r>
      <w:r>
        <w:t xml:space="preserve"> </w:t>
      </w:r>
      <w:r w:rsidRPr="002E152D">
        <w:t>Por lo tanto,</w:t>
      </w:r>
      <w:r>
        <w:t xml:space="preserve"> y</w:t>
      </w:r>
      <w:r w:rsidRPr="00BA19E5">
        <w:t xml:space="preserve"> </w:t>
      </w:r>
      <w:r w:rsidRPr="002E152D">
        <w:t>de conformidad con las disposiciones de la presente norma técnica,</w:t>
      </w:r>
      <w:r>
        <w:t xml:space="preserve"> </w:t>
      </w:r>
      <w:r w:rsidRPr="002E152D">
        <w:t xml:space="preserve">solo los equipos que mantengan la </w:t>
      </w:r>
      <w:r>
        <w:t>acreditación</w:t>
      </w:r>
      <w:r w:rsidRPr="002E152D">
        <w:t xml:space="preserve"> de equipo homologado </w:t>
      </w:r>
      <w:r>
        <w:t xml:space="preserve">por el BCCR </w:t>
      </w:r>
      <w:r w:rsidRPr="002E152D">
        <w:t>pueden ser utilizados por los operadores</w:t>
      </w:r>
      <w:r>
        <w:t xml:space="preserve"> de transporte</w:t>
      </w:r>
      <w:r w:rsidRPr="002E152D">
        <w:t xml:space="preserve"> en sus </w:t>
      </w:r>
      <w:r>
        <w:t>autobuses</w:t>
      </w:r>
      <w:r w:rsidRPr="002E152D">
        <w:t xml:space="preserve"> para conectarse a la plataforma </w:t>
      </w:r>
      <w:r>
        <w:t xml:space="preserve">tecnológica </w:t>
      </w:r>
      <w:r w:rsidRPr="002E152D">
        <w:t xml:space="preserve">de SINPE-TP. </w:t>
      </w:r>
    </w:p>
    <w:p w14:paraId="0EB6D503" w14:textId="77777777" w:rsidR="00F87180" w:rsidRPr="002E152D" w:rsidRDefault="00F87180" w:rsidP="00F87180">
      <w:pPr>
        <w:pStyle w:val="Ttulo1"/>
        <w:numPr>
          <w:ilvl w:val="0"/>
          <w:numId w:val="3"/>
        </w:numPr>
        <w:tabs>
          <w:tab w:val="clear" w:pos="340"/>
        </w:tabs>
        <w:spacing w:line="250" w:lineRule="auto"/>
        <w:ind w:left="425" w:hanging="431"/>
      </w:pPr>
      <w:bookmarkStart w:id="30" w:name="_Toc110533273"/>
      <w:bookmarkStart w:id="31" w:name="_Toc111654285"/>
      <w:bookmarkStart w:id="32" w:name="_Toc215998969"/>
      <w:bookmarkStart w:id="33" w:name="_Toc216716478"/>
      <w:r w:rsidRPr="002E152D">
        <w:t>Consideraciones generales</w:t>
      </w:r>
      <w:bookmarkEnd w:id="30"/>
      <w:bookmarkEnd w:id="31"/>
      <w:bookmarkEnd w:id="32"/>
      <w:bookmarkEnd w:id="33"/>
    </w:p>
    <w:p w14:paraId="17167BCE" w14:textId="77777777" w:rsidR="00F87180" w:rsidRPr="002E152D" w:rsidRDefault="00F87180" w:rsidP="00F87180">
      <w:pPr>
        <w:spacing w:before="0" w:line="250" w:lineRule="auto"/>
      </w:pPr>
      <w:r w:rsidRPr="002E152D">
        <w:t xml:space="preserve">En </w:t>
      </w:r>
      <w:r>
        <w:t xml:space="preserve">este apartado </w:t>
      </w:r>
      <w:r w:rsidRPr="002E152D">
        <w:t xml:space="preserve">se presentan las </w:t>
      </w:r>
      <w:r>
        <w:t>condiciones</w:t>
      </w:r>
      <w:r w:rsidRPr="002E152D">
        <w:t xml:space="preserve"> de carácter general</w:t>
      </w:r>
      <w:r w:rsidRPr="00415CF3">
        <w:t xml:space="preserve"> que</w:t>
      </w:r>
      <w:r>
        <w:t xml:space="preserve"> </w:t>
      </w:r>
      <w:r w:rsidRPr="002E152D">
        <w:t xml:space="preserve">el </w:t>
      </w:r>
      <w:r w:rsidRPr="00415CF3">
        <w:t xml:space="preserve">solicitante </w:t>
      </w:r>
      <w:r w:rsidRPr="002E152D">
        <w:t xml:space="preserve">debe tener en cuenta </w:t>
      </w:r>
      <w:r>
        <w:t xml:space="preserve">sobre </w:t>
      </w:r>
      <w:r w:rsidRPr="002E152D">
        <w:t>el proceso de homologación.</w:t>
      </w:r>
    </w:p>
    <w:p w14:paraId="54984BA7" w14:textId="77777777" w:rsidR="00F87180" w:rsidRDefault="00F87180" w:rsidP="00F87180">
      <w:pPr>
        <w:pStyle w:val="Ttulo2"/>
        <w:numPr>
          <w:ilvl w:val="1"/>
          <w:numId w:val="3"/>
        </w:numPr>
        <w:tabs>
          <w:tab w:val="clear" w:pos="510"/>
        </w:tabs>
        <w:spacing w:line="250" w:lineRule="auto"/>
        <w:ind w:left="426" w:hanging="435"/>
      </w:pPr>
      <w:bookmarkStart w:id="34" w:name="_Toc110533274"/>
      <w:bookmarkStart w:id="35" w:name="_Toc111654286"/>
      <w:bookmarkStart w:id="36" w:name="_Toc215998970"/>
      <w:bookmarkStart w:id="37" w:name="_Toc216716479"/>
      <w:r>
        <w:t>Manejo de la información</w:t>
      </w:r>
      <w:bookmarkEnd w:id="34"/>
      <w:bookmarkEnd w:id="35"/>
      <w:bookmarkEnd w:id="36"/>
      <w:bookmarkEnd w:id="37"/>
    </w:p>
    <w:p w14:paraId="719B19E2" w14:textId="77777777" w:rsidR="00F87180" w:rsidRPr="00415CF3" w:rsidRDefault="00F87180" w:rsidP="00F87180">
      <w:pPr>
        <w:spacing w:before="0" w:line="250" w:lineRule="auto"/>
        <w:rPr>
          <w:lang w:val="es-ES_tradnl" w:eastAsia="es-ES"/>
        </w:rPr>
      </w:pPr>
      <w:r w:rsidRPr="00415CF3">
        <w:rPr>
          <w:lang w:val="es-ES_tradnl" w:eastAsia="es-ES"/>
        </w:rPr>
        <w:t xml:space="preserve">La información </w:t>
      </w:r>
      <w:r w:rsidRPr="00415CF3">
        <w:t xml:space="preserve">que suministre el solicitante </w:t>
      </w:r>
      <w:r w:rsidRPr="00907FBD">
        <w:t>para cumplir</w:t>
      </w:r>
      <w:r w:rsidRPr="00866ACA">
        <w:t xml:space="preserve"> con</w:t>
      </w:r>
      <w:r w:rsidRPr="002E152D">
        <w:t xml:space="preserve"> el proceso de homologación </w:t>
      </w:r>
      <w:r>
        <w:t xml:space="preserve">es </w:t>
      </w:r>
      <w:r w:rsidRPr="002E152D">
        <w:rPr>
          <w:lang w:val="es-ES_tradnl" w:eastAsia="es-ES"/>
        </w:rPr>
        <w:t xml:space="preserve">administrada por el BCCR única y exclusivamente para validar el cumplimiento de los requisitos </w:t>
      </w:r>
      <w:r w:rsidRPr="002E152D">
        <w:t xml:space="preserve">técnicos y de funcionamiento </w:t>
      </w:r>
      <w:r>
        <w:t>establecidos</w:t>
      </w:r>
      <w:r w:rsidRPr="002E152D">
        <w:t xml:space="preserve"> por </w:t>
      </w:r>
      <w:r w:rsidRPr="002E152D">
        <w:rPr>
          <w:lang w:val="es-ES_tradnl" w:eastAsia="es-ES"/>
        </w:rPr>
        <w:t>la presente norma técnica</w:t>
      </w:r>
      <w:r>
        <w:rPr>
          <w:lang w:val="es-ES_tradnl" w:eastAsia="es-ES"/>
        </w:rPr>
        <w:t>, así como para atender las necesidades que se deriven de la aplicación de sus demás disposiciones.</w:t>
      </w:r>
    </w:p>
    <w:p w14:paraId="663CF999" w14:textId="77777777" w:rsidR="00F87180" w:rsidRDefault="00F87180" w:rsidP="00F87180">
      <w:pPr>
        <w:pStyle w:val="Ttulo2"/>
        <w:numPr>
          <w:ilvl w:val="1"/>
          <w:numId w:val="3"/>
        </w:numPr>
        <w:tabs>
          <w:tab w:val="clear" w:pos="510"/>
        </w:tabs>
        <w:spacing w:line="250" w:lineRule="auto"/>
        <w:ind w:left="426" w:hanging="435"/>
      </w:pPr>
      <w:bookmarkStart w:id="38" w:name="_Toc110533275"/>
      <w:bookmarkStart w:id="39" w:name="_Toc111654287"/>
      <w:bookmarkStart w:id="40" w:name="_Toc215998971"/>
      <w:bookmarkStart w:id="41" w:name="_Toc216716480"/>
      <w:r>
        <w:t>Medio para el manejo documental</w:t>
      </w:r>
      <w:bookmarkEnd w:id="38"/>
      <w:bookmarkEnd w:id="39"/>
      <w:bookmarkEnd w:id="40"/>
      <w:bookmarkEnd w:id="41"/>
    </w:p>
    <w:p w14:paraId="4C403E38" w14:textId="77777777" w:rsidR="00F87180" w:rsidRPr="00CF49F7" w:rsidRDefault="00F87180" w:rsidP="00F87180">
      <w:pPr>
        <w:spacing w:before="0" w:line="250" w:lineRule="auto"/>
        <w:rPr>
          <w:color w:val="0070C0"/>
          <w:lang w:val="es-ES_tradnl" w:eastAsia="es-ES"/>
        </w:rPr>
      </w:pPr>
      <w:r w:rsidRPr="003C3740">
        <w:rPr>
          <w:lang w:val="es-ES_tradnl" w:eastAsia="es-ES"/>
        </w:rPr>
        <w:t xml:space="preserve">El BCCR </w:t>
      </w:r>
      <w:r>
        <w:rPr>
          <w:lang w:val="es-ES_tradnl" w:eastAsia="es-ES"/>
        </w:rPr>
        <w:t xml:space="preserve">recibe las </w:t>
      </w:r>
      <w:r w:rsidRPr="003C3740">
        <w:rPr>
          <w:lang w:val="es-ES_tradnl" w:eastAsia="es-ES"/>
        </w:rPr>
        <w:t xml:space="preserve">solicitudes </w:t>
      </w:r>
      <w:r>
        <w:rPr>
          <w:lang w:val="es-ES_tradnl" w:eastAsia="es-ES"/>
        </w:rPr>
        <w:t xml:space="preserve">de homologación </w:t>
      </w:r>
      <w:r w:rsidRPr="003C3740">
        <w:rPr>
          <w:lang w:val="es-ES_tradnl" w:eastAsia="es-ES"/>
        </w:rPr>
        <w:t xml:space="preserve">y </w:t>
      </w:r>
      <w:r>
        <w:rPr>
          <w:lang w:val="es-ES_tradnl" w:eastAsia="es-ES"/>
        </w:rPr>
        <w:t xml:space="preserve">su documentación anexa </w:t>
      </w:r>
      <w:r w:rsidRPr="003C3740">
        <w:rPr>
          <w:lang w:val="es-ES_tradnl" w:eastAsia="es-ES"/>
        </w:rPr>
        <w:t xml:space="preserve">únicamente en forma electrónica, mediante el </w:t>
      </w:r>
      <w:r>
        <w:rPr>
          <w:lang w:val="es-ES_tradnl" w:eastAsia="es-ES"/>
        </w:rPr>
        <w:t xml:space="preserve">siguiente </w:t>
      </w:r>
      <w:r w:rsidRPr="003C3740">
        <w:rPr>
          <w:lang w:val="es-ES_tradnl" w:eastAsia="es-ES"/>
        </w:rPr>
        <w:t>canal oficial dispuesto para las comunicaciones electrónicas</w:t>
      </w:r>
      <w:r>
        <w:rPr>
          <w:lang w:val="es-ES_tradnl" w:eastAsia="es-ES"/>
        </w:rPr>
        <w:t>:</w:t>
      </w:r>
      <w:r w:rsidRPr="003C3740">
        <w:rPr>
          <w:lang w:val="es-ES_tradnl" w:eastAsia="es-ES"/>
        </w:rPr>
        <w:t xml:space="preserve"> </w:t>
      </w:r>
      <w:hyperlink r:id="rId16" w:history="1">
        <w:r w:rsidRPr="00CF49F7">
          <w:rPr>
            <w:rStyle w:val="Hipervnculo"/>
            <w:color w:val="0070C0"/>
          </w:rPr>
          <w:t>proveedorsinpe-tp@bccr.fi.cr</w:t>
        </w:r>
      </w:hyperlink>
      <w:r w:rsidRPr="00CF49F7">
        <w:rPr>
          <w:color w:val="0070C0"/>
          <w:lang w:val="es-ES_tradnl" w:eastAsia="es-ES"/>
        </w:rPr>
        <w:t>.</w:t>
      </w:r>
    </w:p>
    <w:p w14:paraId="579FC9CD" w14:textId="77777777" w:rsidR="00F87180" w:rsidRPr="00C72D22" w:rsidRDefault="00F87180" w:rsidP="00F87180">
      <w:pPr>
        <w:spacing w:before="0" w:line="250" w:lineRule="auto"/>
        <w:rPr>
          <w:lang w:eastAsia="es-ES"/>
        </w:rPr>
      </w:pPr>
      <w:r w:rsidRPr="00C72D22">
        <w:rPr>
          <w:lang w:val="es-ES_tradnl" w:eastAsia="es-ES"/>
        </w:rPr>
        <w:t>Las entregas o presentaciones de documentación que se originen dentro del territorio nacional deben autenticarse con</w:t>
      </w:r>
      <w:r>
        <w:rPr>
          <w:lang w:val="es-ES_tradnl" w:eastAsia="es-ES"/>
        </w:rPr>
        <w:t xml:space="preserve"> la</w:t>
      </w:r>
      <w:r w:rsidRPr="00C72D22">
        <w:rPr>
          <w:lang w:val="es-ES_tradnl" w:eastAsia="es-ES"/>
        </w:rPr>
        <w:t xml:space="preserve"> firma digital</w:t>
      </w:r>
      <w:r w:rsidRPr="00C72D22">
        <w:t xml:space="preserve"> del representante legal del solicitante.</w:t>
      </w:r>
      <w:r>
        <w:t xml:space="preserve"> </w:t>
      </w:r>
      <w:r w:rsidRPr="00C72D22">
        <w:t>Dicha firma debe</w:t>
      </w:r>
      <w:r>
        <w:t xml:space="preserve">rá estar </w:t>
      </w:r>
      <w:r w:rsidRPr="00C72D22">
        <w:t>certificada en Costa Rica.</w:t>
      </w:r>
    </w:p>
    <w:p w14:paraId="280DA70C" w14:textId="77777777" w:rsidR="00F87180" w:rsidRDefault="00F87180" w:rsidP="00F87180">
      <w:pPr>
        <w:spacing w:before="0" w:line="250" w:lineRule="auto"/>
        <w:rPr>
          <w:lang w:val="es-ES_tradnl" w:eastAsia="es-ES"/>
        </w:rPr>
      </w:pPr>
      <w:r w:rsidRPr="00C72D22">
        <w:rPr>
          <w:lang w:val="es-ES_tradnl" w:eastAsia="es-ES"/>
        </w:rPr>
        <w:t>El BCCR se reserva el derecho de establecer las medidas que considere pertinentes para verificar la</w:t>
      </w:r>
      <w:r w:rsidRPr="002E152D">
        <w:rPr>
          <w:lang w:val="es-ES_tradnl" w:eastAsia="es-ES"/>
        </w:rPr>
        <w:t xml:space="preserve"> autenticidad de las comunicaciones y los documentos que presente el solicitante.</w:t>
      </w:r>
      <w:r>
        <w:rPr>
          <w:lang w:val="es-ES_tradnl" w:eastAsia="es-ES"/>
        </w:rPr>
        <w:t xml:space="preserve"> </w:t>
      </w:r>
      <w:r w:rsidRPr="002E152D">
        <w:rPr>
          <w:lang w:val="es-ES_tradnl" w:eastAsia="es-ES"/>
        </w:rPr>
        <w:t xml:space="preserve">Cualquier petición que </w:t>
      </w:r>
      <w:r>
        <w:rPr>
          <w:lang w:val="es-ES_tradnl" w:eastAsia="es-ES"/>
        </w:rPr>
        <w:t xml:space="preserve">realice </w:t>
      </w:r>
      <w:r w:rsidRPr="002E152D">
        <w:rPr>
          <w:lang w:val="es-ES_tradnl" w:eastAsia="es-ES"/>
        </w:rPr>
        <w:t xml:space="preserve">el BCCR </w:t>
      </w:r>
      <w:r>
        <w:rPr>
          <w:lang w:val="es-ES_tradnl" w:eastAsia="es-ES"/>
        </w:rPr>
        <w:t>al</w:t>
      </w:r>
      <w:r w:rsidRPr="002E152D">
        <w:rPr>
          <w:lang w:val="es-ES_tradnl" w:eastAsia="es-ES"/>
        </w:rPr>
        <w:t xml:space="preserve"> solicitante </w:t>
      </w:r>
      <w:r>
        <w:rPr>
          <w:lang w:val="es-ES_tradnl" w:eastAsia="es-ES"/>
        </w:rPr>
        <w:t>con ese propósito</w:t>
      </w:r>
      <w:r w:rsidRPr="002E152D">
        <w:rPr>
          <w:lang w:val="es-ES_tradnl" w:eastAsia="es-ES"/>
        </w:rPr>
        <w:t xml:space="preserve">, </w:t>
      </w:r>
      <w:r>
        <w:rPr>
          <w:lang w:val="es-ES_tradnl" w:eastAsia="es-ES"/>
        </w:rPr>
        <w:t xml:space="preserve">constituye </w:t>
      </w:r>
      <w:r w:rsidRPr="002E152D">
        <w:rPr>
          <w:lang w:val="es-ES_tradnl" w:eastAsia="es-ES"/>
        </w:rPr>
        <w:t>un requerimiento del proceso de homologación</w:t>
      </w:r>
      <w:r>
        <w:rPr>
          <w:lang w:val="es-ES_tradnl" w:eastAsia="es-ES"/>
        </w:rPr>
        <w:t xml:space="preserve"> que el </w:t>
      </w:r>
      <w:r w:rsidRPr="002E152D">
        <w:rPr>
          <w:lang w:val="es-ES_tradnl" w:eastAsia="es-ES"/>
        </w:rPr>
        <w:t xml:space="preserve">solicitante </w:t>
      </w:r>
      <w:r>
        <w:rPr>
          <w:lang w:val="es-ES_tradnl" w:eastAsia="es-ES"/>
        </w:rPr>
        <w:t xml:space="preserve">debe </w:t>
      </w:r>
      <w:r w:rsidRPr="002E152D">
        <w:rPr>
          <w:lang w:val="es-ES_tradnl" w:eastAsia="es-ES"/>
        </w:rPr>
        <w:t xml:space="preserve">atender en el tiempo y la forma </w:t>
      </w:r>
      <w:r>
        <w:rPr>
          <w:lang w:val="es-ES_tradnl" w:eastAsia="es-ES"/>
        </w:rPr>
        <w:t xml:space="preserve">en </w:t>
      </w:r>
      <w:r w:rsidRPr="002E152D">
        <w:rPr>
          <w:lang w:val="es-ES_tradnl" w:eastAsia="es-ES"/>
        </w:rPr>
        <w:t xml:space="preserve">que el BCCR </w:t>
      </w:r>
      <w:r>
        <w:rPr>
          <w:lang w:val="es-ES_tradnl" w:eastAsia="es-ES"/>
        </w:rPr>
        <w:t xml:space="preserve">lo </w:t>
      </w:r>
      <w:r w:rsidRPr="002E152D">
        <w:rPr>
          <w:lang w:val="es-ES_tradnl" w:eastAsia="es-ES"/>
        </w:rPr>
        <w:t>determine.</w:t>
      </w:r>
    </w:p>
    <w:p w14:paraId="2ECE4E94" w14:textId="77777777" w:rsidR="00F87180" w:rsidRPr="002E152D" w:rsidRDefault="00F87180" w:rsidP="00F87180">
      <w:pPr>
        <w:spacing w:before="0" w:line="250" w:lineRule="auto"/>
        <w:rPr>
          <w:lang w:val="es-ES_tradnl" w:eastAsia="es-ES"/>
        </w:rPr>
      </w:pPr>
    </w:p>
    <w:p w14:paraId="3BA947BA" w14:textId="77777777" w:rsidR="00F87180" w:rsidRPr="00270562" w:rsidRDefault="00F87180" w:rsidP="00F87180">
      <w:pPr>
        <w:pStyle w:val="Ttulo2"/>
        <w:numPr>
          <w:ilvl w:val="1"/>
          <w:numId w:val="3"/>
        </w:numPr>
        <w:tabs>
          <w:tab w:val="clear" w:pos="510"/>
        </w:tabs>
        <w:spacing w:line="250" w:lineRule="auto"/>
        <w:ind w:left="426" w:hanging="435"/>
      </w:pPr>
      <w:bookmarkStart w:id="42" w:name="_Toc111654288"/>
      <w:bookmarkStart w:id="43" w:name="_Toc215998972"/>
      <w:bookmarkStart w:id="44" w:name="_Toc216716481"/>
      <w:r>
        <w:t>Precondición para la homologación de equipos de validación</w:t>
      </w:r>
      <w:bookmarkEnd w:id="42"/>
      <w:bookmarkEnd w:id="43"/>
      <w:bookmarkEnd w:id="44"/>
      <w:r w:rsidRPr="00270562">
        <w:t xml:space="preserve"> </w:t>
      </w:r>
    </w:p>
    <w:p w14:paraId="68317ABE" w14:textId="77777777" w:rsidR="00F87180" w:rsidRPr="002E152D" w:rsidRDefault="00F87180" w:rsidP="00F87180">
      <w:pPr>
        <w:spacing w:before="0" w:line="250" w:lineRule="auto"/>
      </w:pPr>
      <w:r w:rsidRPr="00415CF3">
        <w:t>Con la solicitud de homologación, el solicitante debe</w:t>
      </w:r>
      <w:r w:rsidRPr="002E152D">
        <w:t xml:space="preserve"> presentar al BCCR evidencia documental </w:t>
      </w:r>
      <w:r>
        <w:t xml:space="preserve">con la que demuestre fehacientemente </w:t>
      </w:r>
      <w:r w:rsidRPr="002E152D">
        <w:t xml:space="preserve">que el lector </w:t>
      </w:r>
      <w:r>
        <w:t xml:space="preserve">independiente </w:t>
      </w:r>
      <w:r w:rsidRPr="002E152D">
        <w:t xml:space="preserve">que integra el validador objeto de la homologación, opera </w:t>
      </w:r>
      <w:r>
        <w:t xml:space="preserve">al menos con otros dos </w:t>
      </w:r>
      <w:r w:rsidRPr="002E152D">
        <w:t>modelos de validadores de diferentes fabricantes.</w:t>
      </w:r>
    </w:p>
    <w:p w14:paraId="4D3EB280" w14:textId="77777777" w:rsidR="00F87180" w:rsidRPr="002E152D" w:rsidRDefault="00F87180" w:rsidP="00F87180">
      <w:pPr>
        <w:pStyle w:val="Ttulo2"/>
        <w:numPr>
          <w:ilvl w:val="1"/>
          <w:numId w:val="3"/>
        </w:numPr>
        <w:tabs>
          <w:tab w:val="clear" w:pos="510"/>
        </w:tabs>
        <w:spacing w:line="250" w:lineRule="auto"/>
        <w:ind w:left="426" w:hanging="435"/>
      </w:pPr>
      <w:bookmarkStart w:id="45" w:name="_Toc110533276"/>
      <w:bookmarkStart w:id="46" w:name="_Toc111654289"/>
      <w:bookmarkStart w:id="47" w:name="_Toc215998973"/>
      <w:bookmarkStart w:id="48" w:name="_Toc216716482"/>
      <w:r w:rsidRPr="002E152D">
        <w:t>Formas para activar el proceso de homologación</w:t>
      </w:r>
      <w:bookmarkEnd w:id="45"/>
      <w:bookmarkEnd w:id="46"/>
      <w:bookmarkEnd w:id="47"/>
      <w:bookmarkEnd w:id="48"/>
      <w:r w:rsidRPr="002E152D">
        <w:t xml:space="preserve"> </w:t>
      </w:r>
    </w:p>
    <w:p w14:paraId="7952AC6B" w14:textId="77777777" w:rsidR="00F87180" w:rsidRPr="002E152D" w:rsidRDefault="00F87180" w:rsidP="00F87180">
      <w:pPr>
        <w:spacing w:before="0" w:line="250" w:lineRule="auto"/>
      </w:pPr>
      <w:r w:rsidRPr="002E152D">
        <w:t xml:space="preserve">El proceso de homologación puede ser activado </w:t>
      </w:r>
      <w:r>
        <w:t xml:space="preserve">mediante las siguientes </w:t>
      </w:r>
      <w:r w:rsidRPr="002E152D">
        <w:t>formas:</w:t>
      </w:r>
    </w:p>
    <w:p w14:paraId="73AD6F7E" w14:textId="77777777" w:rsidR="00F87180" w:rsidRPr="002E152D" w:rsidRDefault="00F87180" w:rsidP="00F87180">
      <w:pPr>
        <w:pStyle w:val="ListaNivel2"/>
        <w:numPr>
          <w:ilvl w:val="0"/>
          <w:numId w:val="15"/>
        </w:numPr>
        <w:spacing w:before="0" w:line="250" w:lineRule="auto"/>
      </w:pPr>
      <w:r>
        <w:t xml:space="preserve">Por el solicitante, con </w:t>
      </w:r>
      <w:r w:rsidRPr="002E152D">
        <w:t>la presentación de una solicitud de homologación</w:t>
      </w:r>
      <w:r>
        <w:t xml:space="preserve"> </w:t>
      </w:r>
      <w:r w:rsidRPr="002E152D">
        <w:t>en los términos dispuestos por la presente norma técnica</w:t>
      </w:r>
      <w:r>
        <w:t xml:space="preserve"> en el Anexo 01 (</w:t>
      </w:r>
      <w:r w:rsidRPr="00C17DA8">
        <w:rPr>
          <w:i/>
          <w:iCs/>
        </w:rPr>
        <w:t>“Solicitud de Homologación de Equipos de Validación para SINPE-TP”</w:t>
      </w:r>
      <w:r>
        <w:t>).</w:t>
      </w:r>
    </w:p>
    <w:p w14:paraId="5F9B20E5" w14:textId="77777777" w:rsidR="00F87180" w:rsidRPr="002E152D" w:rsidRDefault="00F87180" w:rsidP="00F87180">
      <w:pPr>
        <w:pStyle w:val="ListaNivel2"/>
        <w:numPr>
          <w:ilvl w:val="0"/>
          <w:numId w:val="15"/>
        </w:numPr>
        <w:spacing w:before="0" w:line="250" w:lineRule="auto"/>
      </w:pPr>
      <w:r w:rsidRPr="002E152D">
        <w:t>Por el BCCR, cuando identifique un equipo de validación susceptible de ser homologado para SINPE</w:t>
      </w:r>
      <w:r w:rsidRPr="002E152D">
        <w:noBreakHyphen/>
        <w:t xml:space="preserve">TP, en cuyo caso el equipo debe cumplir con los requerimientos técnicos y las pruebas establecidas por la presente norma técnica para el proceso de homologación. </w:t>
      </w:r>
    </w:p>
    <w:p w14:paraId="5D49CF3A" w14:textId="77777777" w:rsidR="00F87180" w:rsidRDefault="00F87180" w:rsidP="00F87180">
      <w:pPr>
        <w:pStyle w:val="Ttulo2"/>
        <w:numPr>
          <w:ilvl w:val="1"/>
          <w:numId w:val="3"/>
        </w:numPr>
        <w:tabs>
          <w:tab w:val="clear" w:pos="510"/>
        </w:tabs>
        <w:spacing w:line="250" w:lineRule="auto"/>
        <w:ind w:left="426" w:hanging="435"/>
      </w:pPr>
      <w:bookmarkStart w:id="49" w:name="_Toc110533277"/>
      <w:bookmarkStart w:id="50" w:name="_Toc111654290"/>
      <w:bookmarkStart w:id="51" w:name="_Toc215998974"/>
      <w:bookmarkStart w:id="52" w:name="_Toc216716483"/>
      <w:r>
        <w:t>Orden de prioridad para la atención de solicitudes</w:t>
      </w:r>
      <w:bookmarkEnd w:id="49"/>
      <w:bookmarkEnd w:id="50"/>
      <w:bookmarkEnd w:id="51"/>
      <w:bookmarkEnd w:id="52"/>
    </w:p>
    <w:p w14:paraId="739FBC55" w14:textId="77777777" w:rsidR="00F87180" w:rsidRPr="002E152D" w:rsidRDefault="00F87180" w:rsidP="00F87180">
      <w:pPr>
        <w:spacing w:before="0" w:line="250" w:lineRule="auto"/>
      </w:pPr>
      <w:bookmarkStart w:id="53" w:name="_Hlk111396973"/>
      <w:r w:rsidRPr="00415CF3">
        <w:t xml:space="preserve">El BCCR atenderá las </w:t>
      </w:r>
      <w:r w:rsidRPr="00907FBD">
        <w:t>s</w:t>
      </w:r>
      <w:r w:rsidRPr="00866ACA">
        <w:t>olicitudes de homologació</w:t>
      </w:r>
      <w:r w:rsidRPr="002E152D">
        <w:t xml:space="preserve">n de </w:t>
      </w:r>
      <w:r>
        <w:t xml:space="preserve">los </w:t>
      </w:r>
      <w:r w:rsidRPr="002E152D">
        <w:t xml:space="preserve">equipos de validación en el mismo orden cronológico en que son presentadas por los solicitantes, y de conformidad con </w:t>
      </w:r>
      <w:r>
        <w:t>la</w:t>
      </w:r>
      <w:r w:rsidRPr="002E152D">
        <w:t xml:space="preserve"> </w:t>
      </w:r>
      <w:r>
        <w:t xml:space="preserve">disponibilidad de </w:t>
      </w:r>
      <w:r w:rsidRPr="002E152D">
        <w:t xml:space="preserve">recursos internos </w:t>
      </w:r>
      <w:r>
        <w:t xml:space="preserve">para su </w:t>
      </w:r>
      <w:r w:rsidRPr="002E152D">
        <w:t>atención.</w:t>
      </w:r>
    </w:p>
    <w:p w14:paraId="52090808" w14:textId="77777777" w:rsidR="00F87180" w:rsidRDefault="00F87180" w:rsidP="00F87180">
      <w:pPr>
        <w:spacing w:before="0" w:line="250" w:lineRule="auto"/>
      </w:pPr>
      <w:r w:rsidRPr="00C72D22">
        <w:t xml:space="preserve">Dentro de ese orden, y por razones de eficiencia, </w:t>
      </w:r>
      <w:r>
        <w:t>tienen</w:t>
      </w:r>
      <w:r w:rsidRPr="00C72D22">
        <w:t xml:space="preserve"> prioridad los validadores que integren un lector </w:t>
      </w:r>
      <w:r>
        <w:t xml:space="preserve">de dispositivos de pago </w:t>
      </w:r>
      <w:r w:rsidRPr="00C72D22">
        <w:t>homologado previamente por el BCCR; ello con el fin de poner a disposición de los operadores</w:t>
      </w:r>
      <w:r>
        <w:t xml:space="preserve"> de transporte, </w:t>
      </w:r>
      <w:r w:rsidRPr="00C72D22">
        <w:t>en el menor tiempo, la mayor cantidad de opciones de validadores homologados.</w:t>
      </w:r>
    </w:p>
    <w:p w14:paraId="3F85FE30" w14:textId="77777777" w:rsidR="00F87180" w:rsidRPr="00C72D22" w:rsidRDefault="00F87180" w:rsidP="00F87180">
      <w:pPr>
        <w:pStyle w:val="Ttulo2"/>
        <w:numPr>
          <w:ilvl w:val="1"/>
          <w:numId w:val="3"/>
        </w:numPr>
        <w:tabs>
          <w:tab w:val="clear" w:pos="510"/>
        </w:tabs>
        <w:spacing w:line="250" w:lineRule="auto"/>
        <w:ind w:left="426" w:hanging="435"/>
      </w:pPr>
      <w:bookmarkStart w:id="54" w:name="_Toc134440388"/>
      <w:bookmarkStart w:id="55" w:name="_Toc110533278"/>
      <w:bookmarkStart w:id="56" w:name="_Toc111654291"/>
      <w:bookmarkStart w:id="57" w:name="_Toc215998975"/>
      <w:bookmarkStart w:id="58" w:name="_Toc216716484"/>
      <w:bookmarkEnd w:id="53"/>
      <w:bookmarkEnd w:id="54"/>
      <w:r w:rsidRPr="00C72D22">
        <w:t xml:space="preserve">Búsqueda de operadores </w:t>
      </w:r>
      <w:r>
        <w:t xml:space="preserve">de transporte </w:t>
      </w:r>
      <w:r w:rsidRPr="00C72D22">
        <w:t>para las pruebas de campo</w:t>
      </w:r>
      <w:bookmarkEnd w:id="55"/>
      <w:bookmarkEnd w:id="56"/>
      <w:bookmarkEnd w:id="57"/>
      <w:bookmarkEnd w:id="58"/>
    </w:p>
    <w:p w14:paraId="127544C4" w14:textId="77777777" w:rsidR="00F87180" w:rsidRDefault="00F87180" w:rsidP="00F87180">
      <w:pPr>
        <w:spacing w:before="0" w:line="250" w:lineRule="auto"/>
        <w:rPr>
          <w:lang w:val="es-ES_tradnl" w:eastAsia="es-ES"/>
        </w:rPr>
      </w:pPr>
      <w:r w:rsidRPr="00C72D22">
        <w:rPr>
          <w:lang w:val="es-ES_tradnl" w:eastAsia="es-ES"/>
        </w:rPr>
        <w:t xml:space="preserve">Es responsabilidad del solicitante conseguir </w:t>
      </w:r>
      <w:r>
        <w:rPr>
          <w:lang w:val="es-ES_tradnl" w:eastAsia="es-ES"/>
        </w:rPr>
        <w:t xml:space="preserve">una ruta de transporte operada por </w:t>
      </w:r>
      <w:r w:rsidRPr="00C72D22">
        <w:rPr>
          <w:lang w:val="es-ES_tradnl" w:eastAsia="es-ES"/>
        </w:rPr>
        <w:t xml:space="preserve">al menos cinco </w:t>
      </w:r>
      <w:r>
        <w:rPr>
          <w:lang w:val="es-ES_tradnl" w:eastAsia="es-ES"/>
        </w:rPr>
        <w:t xml:space="preserve">autobuses en la que se puedan realizar </w:t>
      </w:r>
      <w:r w:rsidRPr="00C72D22">
        <w:rPr>
          <w:lang w:val="es-ES_tradnl" w:eastAsia="es-ES"/>
        </w:rPr>
        <w:t>las</w:t>
      </w:r>
      <w:r w:rsidRPr="00571DF0">
        <w:rPr>
          <w:lang w:val="es-ES_tradnl" w:eastAsia="es-ES"/>
        </w:rPr>
        <w:t xml:space="preserve"> pruebas en producción de los equipos de validación </w:t>
      </w:r>
      <w:r>
        <w:rPr>
          <w:lang w:val="es-ES_tradnl" w:eastAsia="es-ES"/>
        </w:rPr>
        <w:t xml:space="preserve">que se encuentran en el </w:t>
      </w:r>
      <w:r w:rsidRPr="00571DF0">
        <w:rPr>
          <w:lang w:val="es-ES_tradnl" w:eastAsia="es-ES"/>
        </w:rPr>
        <w:t>proceso de homologación</w:t>
      </w:r>
      <w:r>
        <w:rPr>
          <w:lang w:val="es-ES_tradnl" w:eastAsia="es-ES"/>
        </w:rPr>
        <w:t xml:space="preserve">, como requerimiento para </w:t>
      </w:r>
      <w:r w:rsidRPr="00571DF0">
        <w:rPr>
          <w:lang w:val="es-ES_tradnl" w:eastAsia="es-ES"/>
        </w:rPr>
        <w:t>cada tipo y modelo de equipo de validación por homologar.</w:t>
      </w:r>
    </w:p>
    <w:p w14:paraId="37DBD810" w14:textId="77777777" w:rsidR="00F87180" w:rsidRDefault="00F87180" w:rsidP="00F87180">
      <w:pPr>
        <w:spacing w:before="0" w:line="250" w:lineRule="auto"/>
        <w:rPr>
          <w:lang w:val="es-ES_tradnl" w:eastAsia="es-ES"/>
        </w:rPr>
      </w:pPr>
      <w:r>
        <w:rPr>
          <w:lang w:val="es-ES_tradnl" w:eastAsia="es-ES"/>
        </w:rPr>
        <w:t xml:space="preserve">Para cumplir con las pruebas en producción, el </w:t>
      </w:r>
      <w:r w:rsidRPr="00571DF0">
        <w:rPr>
          <w:lang w:val="es-ES_tradnl" w:eastAsia="es-ES"/>
        </w:rPr>
        <w:t>BCCR podrá apoyar</w:t>
      </w:r>
      <w:r>
        <w:rPr>
          <w:lang w:val="es-ES_tradnl" w:eastAsia="es-ES"/>
        </w:rPr>
        <w:t xml:space="preserve"> al solicitante</w:t>
      </w:r>
      <w:r w:rsidRPr="00571DF0">
        <w:rPr>
          <w:lang w:val="es-ES_tradnl" w:eastAsia="es-ES"/>
        </w:rPr>
        <w:t xml:space="preserve"> en la búsqueda de operadores</w:t>
      </w:r>
      <w:r>
        <w:t xml:space="preserve"> de transporte </w:t>
      </w:r>
      <w:r>
        <w:rPr>
          <w:lang w:val="es-ES_tradnl" w:eastAsia="es-ES"/>
        </w:rPr>
        <w:t>dispuestos a</w:t>
      </w:r>
      <w:r w:rsidRPr="00571DF0">
        <w:rPr>
          <w:lang w:val="es-ES_tradnl" w:eastAsia="es-ES"/>
        </w:rPr>
        <w:t xml:space="preserve"> facilitar sus </w:t>
      </w:r>
      <w:r>
        <w:rPr>
          <w:lang w:val="es-ES_tradnl" w:eastAsia="es-ES"/>
        </w:rPr>
        <w:t>autobuses</w:t>
      </w:r>
      <w:r w:rsidRPr="00571DF0">
        <w:rPr>
          <w:lang w:val="es-ES_tradnl" w:eastAsia="es-ES"/>
        </w:rPr>
        <w:t xml:space="preserve"> con </w:t>
      </w:r>
      <w:r>
        <w:rPr>
          <w:lang w:val="es-ES_tradnl" w:eastAsia="es-ES"/>
        </w:rPr>
        <w:t>estos</w:t>
      </w:r>
      <w:r w:rsidRPr="00571DF0">
        <w:rPr>
          <w:lang w:val="es-ES_tradnl" w:eastAsia="es-ES"/>
        </w:rPr>
        <w:t xml:space="preserve"> propósitos.</w:t>
      </w:r>
    </w:p>
    <w:p w14:paraId="07FCB4E2" w14:textId="77777777" w:rsidR="00F87180" w:rsidRPr="002C5EFB" w:rsidRDefault="00F87180" w:rsidP="00F87180">
      <w:pPr>
        <w:spacing w:before="0" w:line="250" w:lineRule="auto"/>
        <w:rPr>
          <w:lang w:val="es-ES_tradnl" w:eastAsia="es-ES"/>
        </w:rPr>
      </w:pPr>
      <w:r w:rsidRPr="002C5EFB">
        <w:rPr>
          <w:lang w:val="es-ES_tradnl" w:eastAsia="es-ES"/>
        </w:rPr>
        <w:t>El solicitante debe tramitar con los operadores</w:t>
      </w:r>
      <w:r>
        <w:t xml:space="preserve"> de transporte </w:t>
      </w:r>
      <w:r w:rsidRPr="002C5EFB">
        <w:rPr>
          <w:lang w:val="es-ES_tradnl" w:eastAsia="es-ES"/>
        </w:rPr>
        <w:t xml:space="preserve">las autorizaciones </w:t>
      </w:r>
      <w:r>
        <w:rPr>
          <w:lang w:val="es-ES_tradnl" w:eastAsia="es-ES"/>
        </w:rPr>
        <w:t>necesarias</w:t>
      </w:r>
      <w:r w:rsidRPr="002C5EFB">
        <w:rPr>
          <w:lang w:val="es-ES_tradnl" w:eastAsia="es-ES"/>
        </w:rPr>
        <w:t xml:space="preserve"> para realizar la instalación de los equipos de validación en l</w:t>
      </w:r>
      <w:r>
        <w:rPr>
          <w:lang w:val="es-ES_tradnl" w:eastAsia="es-ES"/>
        </w:rPr>
        <w:t>o</w:t>
      </w:r>
      <w:r w:rsidRPr="002C5EFB">
        <w:rPr>
          <w:lang w:val="es-ES_tradnl" w:eastAsia="es-ES"/>
        </w:rPr>
        <w:t xml:space="preserve">s </w:t>
      </w:r>
      <w:r>
        <w:rPr>
          <w:lang w:val="es-ES_tradnl" w:eastAsia="es-ES"/>
        </w:rPr>
        <w:t>autobuses</w:t>
      </w:r>
      <w:r w:rsidRPr="002C5EFB">
        <w:rPr>
          <w:lang w:val="es-ES_tradnl" w:eastAsia="es-ES"/>
        </w:rPr>
        <w:t xml:space="preserve"> seleccionad</w:t>
      </w:r>
      <w:r>
        <w:rPr>
          <w:lang w:val="es-ES_tradnl" w:eastAsia="es-ES"/>
        </w:rPr>
        <w:t>o</w:t>
      </w:r>
      <w:r w:rsidRPr="002C5EFB">
        <w:rPr>
          <w:lang w:val="es-ES_tradnl" w:eastAsia="es-ES"/>
        </w:rPr>
        <w:t>s para las pruebas</w:t>
      </w:r>
      <w:r>
        <w:rPr>
          <w:lang w:val="es-ES_tradnl" w:eastAsia="es-ES"/>
        </w:rPr>
        <w:t xml:space="preserve"> de campo</w:t>
      </w:r>
      <w:r w:rsidRPr="002C5EFB">
        <w:rPr>
          <w:lang w:val="es-ES_tradnl" w:eastAsia="es-ES"/>
        </w:rPr>
        <w:t>, así como para que los operadores</w:t>
      </w:r>
      <w:r>
        <w:t xml:space="preserve"> </w:t>
      </w:r>
      <w:r w:rsidRPr="002C5EFB">
        <w:rPr>
          <w:lang w:val="es-ES_tradnl" w:eastAsia="es-ES"/>
        </w:rPr>
        <w:t xml:space="preserve">faciliten el apoyo técnico y administrativo necesario para su ejecución, de conformidad con el Anexo </w:t>
      </w:r>
      <w:r>
        <w:rPr>
          <w:lang w:val="es-ES_tradnl" w:eastAsia="es-ES"/>
        </w:rPr>
        <w:t>0</w:t>
      </w:r>
      <w:r w:rsidRPr="002C5EFB">
        <w:rPr>
          <w:lang w:val="es-ES_tradnl" w:eastAsia="es-ES"/>
        </w:rPr>
        <w:t>3</w:t>
      </w:r>
      <w:r>
        <w:rPr>
          <w:lang w:val="es-ES_tradnl" w:eastAsia="es-ES"/>
        </w:rPr>
        <w:t xml:space="preserve"> de la presente norma técnica (</w:t>
      </w:r>
      <w:r w:rsidRPr="00C17DA8">
        <w:rPr>
          <w:i/>
          <w:iCs/>
          <w:lang w:val="es-ES_tradnl" w:eastAsia="es-ES"/>
        </w:rPr>
        <w:t>“Acuerdo para la Instalación de Equipos de Validación en Producción”</w:t>
      </w:r>
      <w:r>
        <w:rPr>
          <w:lang w:val="es-ES_tradnl" w:eastAsia="es-ES"/>
        </w:rPr>
        <w:t>).</w:t>
      </w:r>
    </w:p>
    <w:p w14:paraId="04B3F821" w14:textId="77777777" w:rsidR="00F87180" w:rsidRDefault="00F87180" w:rsidP="00F87180">
      <w:pPr>
        <w:spacing w:before="0" w:line="250" w:lineRule="auto"/>
        <w:rPr>
          <w:lang w:val="es-ES_tradnl" w:eastAsia="es-ES"/>
        </w:rPr>
      </w:pPr>
      <w:r w:rsidRPr="002C5EFB">
        <w:rPr>
          <w:lang w:val="es-ES_tradnl" w:eastAsia="es-ES"/>
        </w:rPr>
        <w:t>Los costos relacionados con la instalación</w:t>
      </w:r>
      <w:r>
        <w:rPr>
          <w:lang w:val="es-ES_tradnl" w:eastAsia="es-ES"/>
        </w:rPr>
        <w:t xml:space="preserve">, operación y mantenimiento </w:t>
      </w:r>
      <w:r w:rsidRPr="002C5EFB">
        <w:rPr>
          <w:lang w:val="es-ES_tradnl" w:eastAsia="es-ES"/>
        </w:rPr>
        <w:t xml:space="preserve">de los equipos </w:t>
      </w:r>
      <w:r>
        <w:rPr>
          <w:lang w:val="es-ES_tradnl" w:eastAsia="es-ES"/>
        </w:rPr>
        <w:t xml:space="preserve">de validación </w:t>
      </w:r>
      <w:r w:rsidRPr="002C5EFB">
        <w:rPr>
          <w:lang w:val="es-ES_tradnl" w:eastAsia="es-ES"/>
        </w:rPr>
        <w:t xml:space="preserve">deben ser cubiertos </w:t>
      </w:r>
      <w:r>
        <w:rPr>
          <w:lang w:val="es-ES_tradnl" w:eastAsia="es-ES"/>
        </w:rPr>
        <w:t xml:space="preserve">en su totalidad </w:t>
      </w:r>
      <w:r w:rsidRPr="002C5EFB">
        <w:rPr>
          <w:lang w:val="es-ES_tradnl" w:eastAsia="es-ES"/>
        </w:rPr>
        <w:t>por el solicitante.</w:t>
      </w:r>
    </w:p>
    <w:p w14:paraId="0742BC0B" w14:textId="77777777" w:rsidR="00F87180" w:rsidRPr="002C5EFB" w:rsidRDefault="00F87180" w:rsidP="00F87180">
      <w:pPr>
        <w:spacing w:before="0" w:line="250" w:lineRule="auto"/>
        <w:rPr>
          <w:lang w:val="es-ES_tradnl" w:eastAsia="es-ES"/>
        </w:rPr>
      </w:pPr>
      <w:r w:rsidRPr="002C5EFB">
        <w:rPr>
          <w:lang w:val="es-ES_tradnl" w:eastAsia="es-ES"/>
        </w:rPr>
        <w:t xml:space="preserve">Luego de </w:t>
      </w:r>
      <w:r>
        <w:rPr>
          <w:lang w:val="es-ES_tradnl" w:eastAsia="es-ES"/>
        </w:rPr>
        <w:t>concluidas</w:t>
      </w:r>
      <w:r w:rsidRPr="002C5EFB">
        <w:rPr>
          <w:lang w:val="es-ES_tradnl" w:eastAsia="es-ES"/>
        </w:rPr>
        <w:t xml:space="preserve"> las pruebas en producción, el destino final </w:t>
      </w:r>
      <w:r>
        <w:rPr>
          <w:lang w:val="es-ES_tradnl" w:eastAsia="es-ES"/>
        </w:rPr>
        <w:t xml:space="preserve">de </w:t>
      </w:r>
      <w:r w:rsidRPr="002C5EFB">
        <w:rPr>
          <w:lang w:val="es-ES_tradnl" w:eastAsia="es-ES"/>
        </w:rPr>
        <w:t>los equipos de validación</w:t>
      </w:r>
      <w:r>
        <w:rPr>
          <w:lang w:val="es-ES_tradnl" w:eastAsia="es-ES"/>
        </w:rPr>
        <w:t xml:space="preserve"> será </w:t>
      </w:r>
      <w:r w:rsidRPr="002C5EFB">
        <w:rPr>
          <w:lang w:val="es-ES_tradnl" w:eastAsia="es-ES"/>
        </w:rPr>
        <w:t>resuelto entre el solicitante y el operador</w:t>
      </w:r>
      <w:r>
        <w:rPr>
          <w:lang w:val="es-ES_tradnl" w:eastAsia="es-ES"/>
        </w:rPr>
        <w:t xml:space="preserve"> de transporte</w:t>
      </w:r>
      <w:r w:rsidRPr="002C5EFB">
        <w:rPr>
          <w:lang w:val="es-ES_tradnl" w:eastAsia="es-ES"/>
        </w:rPr>
        <w:t>.</w:t>
      </w:r>
    </w:p>
    <w:p w14:paraId="2634B25D" w14:textId="77777777" w:rsidR="00F87180" w:rsidRDefault="00F87180" w:rsidP="00F87180">
      <w:pPr>
        <w:pStyle w:val="Ttulo2"/>
        <w:numPr>
          <w:ilvl w:val="1"/>
          <w:numId w:val="3"/>
        </w:numPr>
        <w:tabs>
          <w:tab w:val="clear" w:pos="510"/>
        </w:tabs>
        <w:spacing w:line="250" w:lineRule="auto"/>
        <w:ind w:left="426" w:hanging="435"/>
      </w:pPr>
      <w:bookmarkStart w:id="59" w:name="_Toc110533279"/>
      <w:bookmarkStart w:id="60" w:name="_Toc111221032"/>
      <w:bookmarkStart w:id="61" w:name="_Toc111653841"/>
      <w:bookmarkStart w:id="62" w:name="_Toc111654292"/>
      <w:bookmarkStart w:id="63" w:name="_Toc215998976"/>
      <w:bookmarkStart w:id="64" w:name="_Toc216716485"/>
      <w:r>
        <w:t xml:space="preserve">Direcciones oficiales para </w:t>
      </w:r>
      <w:bookmarkEnd w:id="59"/>
      <w:bookmarkEnd w:id="60"/>
      <w:bookmarkEnd w:id="61"/>
      <w:r>
        <w:t>comunicaciones y correspondencia</w:t>
      </w:r>
      <w:bookmarkEnd w:id="62"/>
      <w:bookmarkEnd w:id="63"/>
      <w:bookmarkEnd w:id="64"/>
    </w:p>
    <w:p w14:paraId="4EAB4E62" w14:textId="77777777" w:rsidR="00F87180" w:rsidRPr="002E152D" w:rsidRDefault="00F87180" w:rsidP="00F87180">
      <w:pPr>
        <w:spacing w:before="0" w:line="250" w:lineRule="auto"/>
        <w:rPr>
          <w:lang w:val="es-ES_tradnl" w:eastAsia="es-ES"/>
        </w:rPr>
      </w:pPr>
      <w:r w:rsidRPr="004C26E7">
        <w:rPr>
          <w:lang w:val="es-ES_tradnl" w:eastAsia="es-ES"/>
        </w:rPr>
        <w:t>La División Sistemas de Pago del BCCR mantiene a disposición del solicitante la dirección de correo</w:t>
      </w:r>
      <w:r>
        <w:rPr>
          <w:lang w:val="es-ES_tradnl" w:eastAsia="es-ES"/>
        </w:rPr>
        <w:t xml:space="preserve"> electrónico </w:t>
      </w:r>
      <w:hyperlink r:id="rId17" w:history="1">
        <w:r w:rsidRPr="00CC7410">
          <w:rPr>
            <w:rStyle w:val="Hipervnculo"/>
            <w:color w:val="0070C0"/>
          </w:rPr>
          <w:t>proveedorsinpe-tp@bccr.fi.cr</w:t>
        </w:r>
      </w:hyperlink>
      <w:r w:rsidRPr="00D73146">
        <w:rPr>
          <w:i/>
          <w:iCs/>
          <w:u w:val="single"/>
          <w:lang w:val="es-ES_tradnl" w:eastAsia="es-ES"/>
        </w:rPr>
        <w:t>,</w:t>
      </w:r>
      <w:r>
        <w:rPr>
          <w:lang w:val="es-ES_tradnl" w:eastAsia="es-ES"/>
        </w:rPr>
        <w:t xml:space="preserve"> por medio de la cual gestiona las comunicaciones y correspondencia </w:t>
      </w:r>
      <w:r w:rsidRPr="00D73146">
        <w:rPr>
          <w:lang w:val="es-ES_tradnl" w:eastAsia="es-ES"/>
        </w:rPr>
        <w:t>relacionada</w:t>
      </w:r>
      <w:r>
        <w:rPr>
          <w:lang w:val="es-ES_tradnl" w:eastAsia="es-ES"/>
        </w:rPr>
        <w:t>s</w:t>
      </w:r>
      <w:r w:rsidRPr="00D73146">
        <w:rPr>
          <w:lang w:val="es-ES_tradnl" w:eastAsia="es-ES"/>
        </w:rPr>
        <w:t xml:space="preserve"> con el proceso de </w:t>
      </w:r>
      <w:r>
        <w:rPr>
          <w:lang w:val="es-ES_tradnl" w:eastAsia="es-ES"/>
        </w:rPr>
        <w:t>homologación</w:t>
      </w:r>
      <w:r w:rsidRPr="00D73146">
        <w:rPr>
          <w:lang w:val="es-ES_tradnl" w:eastAsia="es-ES"/>
        </w:rPr>
        <w:t xml:space="preserve">, </w:t>
      </w:r>
      <w:r>
        <w:rPr>
          <w:lang w:val="es-ES_tradnl" w:eastAsia="es-ES"/>
        </w:rPr>
        <w:t xml:space="preserve">a efectos </w:t>
      </w:r>
      <w:r w:rsidRPr="00D73146">
        <w:rPr>
          <w:lang w:val="es-ES_tradnl" w:eastAsia="es-ES"/>
        </w:rPr>
        <w:t>de que l</w:t>
      </w:r>
      <w:r w:rsidRPr="002E152D">
        <w:rPr>
          <w:lang w:val="es-ES_tradnl" w:eastAsia="es-ES"/>
        </w:rPr>
        <w:t xml:space="preserve">as interacciones con el solicitante puedan desarrollarse </w:t>
      </w:r>
      <w:r>
        <w:rPr>
          <w:lang w:val="es-ES_tradnl" w:eastAsia="es-ES"/>
        </w:rPr>
        <w:t xml:space="preserve">conforme con lo programado </w:t>
      </w:r>
      <w:r w:rsidRPr="002E152D">
        <w:rPr>
          <w:lang w:val="es-ES_tradnl" w:eastAsia="es-ES"/>
        </w:rPr>
        <w:t>y con efectividad.</w:t>
      </w:r>
    </w:p>
    <w:p w14:paraId="1CEAF313" w14:textId="77777777" w:rsidR="00F87180" w:rsidRPr="002E152D" w:rsidRDefault="00F87180" w:rsidP="00F87180">
      <w:pPr>
        <w:spacing w:before="0" w:line="250" w:lineRule="auto"/>
      </w:pPr>
      <w:r w:rsidRPr="002E152D">
        <w:rPr>
          <w:lang w:val="es-ES_tradnl" w:eastAsia="es-ES"/>
        </w:rPr>
        <w:lastRenderedPageBreak/>
        <w:t xml:space="preserve">Por su parte, el solicitante debe suministrar al BCCR una dirección de correo electrónico mediante la cual el BCCR le notifique y comunique los diferentes actos administrativos que involucra el proceso de </w:t>
      </w:r>
      <w:r w:rsidRPr="002E152D">
        <w:t>homologación.</w:t>
      </w:r>
    </w:p>
    <w:p w14:paraId="7C7BE1D6" w14:textId="77777777" w:rsidR="00F87180" w:rsidRDefault="00F87180" w:rsidP="00F87180">
      <w:pPr>
        <w:pStyle w:val="Ttulo2"/>
        <w:numPr>
          <w:ilvl w:val="1"/>
          <w:numId w:val="3"/>
        </w:numPr>
        <w:tabs>
          <w:tab w:val="clear" w:pos="510"/>
        </w:tabs>
        <w:spacing w:line="250" w:lineRule="auto"/>
        <w:ind w:left="426" w:hanging="435"/>
      </w:pPr>
      <w:bookmarkStart w:id="65" w:name="_Toc110533280"/>
      <w:bookmarkStart w:id="66" w:name="_Toc111654293"/>
      <w:bookmarkStart w:id="67" w:name="_Toc215998977"/>
      <w:bookmarkStart w:id="68" w:name="_Toc216716486"/>
      <w:r>
        <w:t>Registro de equipos de validación homologados</w:t>
      </w:r>
      <w:bookmarkEnd w:id="65"/>
      <w:bookmarkEnd w:id="66"/>
      <w:bookmarkEnd w:id="67"/>
      <w:bookmarkEnd w:id="68"/>
    </w:p>
    <w:p w14:paraId="3793C8F3" w14:textId="77777777" w:rsidR="00F87180" w:rsidRDefault="00F87180" w:rsidP="00F87180">
      <w:pPr>
        <w:spacing w:before="0" w:line="250" w:lineRule="auto"/>
      </w:pPr>
      <w:r>
        <w:t xml:space="preserve">El BCCR publicará en el Registro del Sistema de Validación de SINPE-TP un resumen de las especificaciones técnicas de los equipos de validación homologados, con el fin de que pueda ser consultado por los operadores </w:t>
      </w:r>
      <w:bookmarkStart w:id="69" w:name="_heading=h.2bn6wsx" w:colFirst="0" w:colLast="0"/>
      <w:bookmarkEnd w:id="69"/>
      <w:r>
        <w:t xml:space="preserve">de transporte. </w:t>
      </w:r>
      <w:r w:rsidRPr="00FA7904">
        <w:t>Dicho registro es de acceso público y su consulta est</w:t>
      </w:r>
      <w:r>
        <w:t>ará</w:t>
      </w:r>
      <w:r w:rsidRPr="00FA7904">
        <w:t xml:space="preserve"> disponible </w:t>
      </w:r>
      <w:r>
        <w:t>en</w:t>
      </w:r>
      <w:r w:rsidRPr="00FA7904">
        <w:t xml:space="preserve"> la siguiente dirección </w:t>
      </w:r>
      <w:r>
        <w:t>de internet</w:t>
      </w:r>
      <w:r w:rsidRPr="00FA7904">
        <w:t>:</w:t>
      </w:r>
      <w:r>
        <w:t xml:space="preserve"> </w:t>
      </w:r>
      <w:hyperlink r:id="rId18" w:history="1">
        <w:r w:rsidRPr="00523F55">
          <w:rPr>
            <w:rStyle w:val="Hipervnculo"/>
          </w:rPr>
          <w:t>https://www.bccr.fi.cr/sistema-de-pagos/servicios-público-general/transporte-público</w:t>
        </w:r>
      </w:hyperlink>
      <w:r>
        <w:t>.</w:t>
      </w:r>
    </w:p>
    <w:p w14:paraId="3B90F602" w14:textId="77777777" w:rsidR="00F87180" w:rsidRPr="00E83FF7" w:rsidRDefault="00F87180" w:rsidP="00F87180">
      <w:pPr>
        <w:pStyle w:val="Ttulo2"/>
        <w:numPr>
          <w:ilvl w:val="1"/>
          <w:numId w:val="3"/>
        </w:numPr>
        <w:tabs>
          <w:tab w:val="clear" w:pos="510"/>
        </w:tabs>
        <w:spacing w:line="250" w:lineRule="auto"/>
        <w:ind w:left="426" w:hanging="435"/>
      </w:pPr>
      <w:bookmarkStart w:id="70" w:name="_Toc215998978"/>
      <w:bookmarkStart w:id="71" w:name="_Toc216716487"/>
      <w:r>
        <w:t xml:space="preserve">Aspectos de diseño y </w:t>
      </w:r>
      <w:r w:rsidRPr="00E83FF7">
        <w:t>apariencia</w:t>
      </w:r>
      <w:bookmarkEnd w:id="70"/>
      <w:bookmarkEnd w:id="71"/>
    </w:p>
    <w:p w14:paraId="433A7B80" w14:textId="77777777" w:rsidR="00F87180" w:rsidRPr="00E83FF7" w:rsidRDefault="00F87180" w:rsidP="00F87180">
      <w:pPr>
        <w:pStyle w:val="ListaNivel3"/>
        <w:numPr>
          <w:ilvl w:val="0"/>
          <w:numId w:val="0"/>
        </w:numPr>
        <w:spacing w:line="250" w:lineRule="auto"/>
        <w:rPr>
          <w:rFonts w:cs="Arial"/>
          <w:szCs w:val="18"/>
        </w:rPr>
      </w:pPr>
      <w:r w:rsidRPr="00523F55">
        <w:rPr>
          <w:rFonts w:cs="Arial"/>
          <w:szCs w:val="18"/>
        </w:rPr>
        <w:t xml:space="preserve">Los equipos de validación </w:t>
      </w:r>
      <w:r w:rsidRPr="00E83FF7">
        <w:rPr>
          <w:rFonts w:cs="Arial"/>
          <w:szCs w:val="18"/>
        </w:rPr>
        <w:t>de SINPE-TP debe</w:t>
      </w:r>
      <w:r w:rsidRPr="00523F55">
        <w:rPr>
          <w:rFonts w:cs="Arial"/>
          <w:szCs w:val="18"/>
        </w:rPr>
        <w:t>n</w:t>
      </w:r>
      <w:r w:rsidRPr="00E83FF7">
        <w:rPr>
          <w:rFonts w:cs="Arial"/>
          <w:szCs w:val="18"/>
        </w:rPr>
        <w:t xml:space="preserve"> mantener una apariencia estándar con el fin de facilitar a los usuarios su identificación dentro de las unidades de transporte y no contener en su parte exterior información que pueda generar confusión sobre su interoperabilidad. Por tal razón, los validadores deben cumplir con las siguientes condiciones:</w:t>
      </w:r>
    </w:p>
    <w:p w14:paraId="35A0AFFF" w14:textId="77777777" w:rsidR="00F87180" w:rsidRPr="00015B1E" w:rsidRDefault="00F87180" w:rsidP="00F87180">
      <w:pPr>
        <w:pStyle w:val="Prrafodelista"/>
        <w:numPr>
          <w:ilvl w:val="0"/>
          <w:numId w:val="26"/>
        </w:numPr>
        <w:spacing w:line="250" w:lineRule="auto"/>
        <w:ind w:left="714" w:hanging="357"/>
        <w:contextualSpacing w:val="0"/>
        <w:jc w:val="both"/>
        <w:rPr>
          <w:rFonts w:cs="Arial"/>
          <w:szCs w:val="18"/>
        </w:rPr>
      </w:pPr>
      <w:r w:rsidRPr="00E83FF7">
        <w:rPr>
          <w:rFonts w:ascii="Arial" w:hAnsi="Arial" w:cs="Arial"/>
          <w:sz w:val="20"/>
          <w:szCs w:val="18"/>
        </w:rPr>
        <w:t xml:space="preserve">El diseño </w:t>
      </w:r>
      <w:r>
        <w:rPr>
          <w:rFonts w:ascii="Arial" w:hAnsi="Arial" w:cs="Arial"/>
          <w:sz w:val="20"/>
          <w:szCs w:val="18"/>
        </w:rPr>
        <w:t xml:space="preserve">exterior de la </w:t>
      </w:r>
      <w:r w:rsidRPr="00E83FF7">
        <w:rPr>
          <w:rFonts w:ascii="Arial" w:hAnsi="Arial" w:cs="Arial"/>
          <w:sz w:val="20"/>
          <w:szCs w:val="18"/>
        </w:rPr>
        <w:t xml:space="preserve">carcasa debe ser </w:t>
      </w:r>
      <w:r>
        <w:rPr>
          <w:rFonts w:ascii="Arial" w:hAnsi="Arial" w:cs="Arial"/>
          <w:sz w:val="20"/>
          <w:szCs w:val="18"/>
        </w:rPr>
        <w:t>en color amarillo, en todas sus partes</w:t>
      </w:r>
      <w:r w:rsidRPr="000D2B6E">
        <w:rPr>
          <w:rFonts w:ascii="Arial" w:hAnsi="Arial" w:cs="Arial"/>
          <w:sz w:val="20"/>
          <w:szCs w:val="18"/>
        </w:rPr>
        <w:t>.</w:t>
      </w:r>
    </w:p>
    <w:p w14:paraId="708CA2F3" w14:textId="77777777" w:rsidR="00F87180" w:rsidRPr="000D2B6E" w:rsidRDefault="00F87180" w:rsidP="00F87180">
      <w:pPr>
        <w:pStyle w:val="Prrafodelista"/>
        <w:numPr>
          <w:ilvl w:val="0"/>
          <w:numId w:val="26"/>
        </w:numPr>
        <w:spacing w:line="250" w:lineRule="auto"/>
        <w:ind w:left="714" w:hanging="357"/>
        <w:contextualSpacing w:val="0"/>
        <w:jc w:val="both"/>
        <w:rPr>
          <w:rFonts w:cs="Arial"/>
          <w:szCs w:val="18"/>
        </w:rPr>
      </w:pPr>
      <w:r w:rsidRPr="00523F55">
        <w:rPr>
          <w:rFonts w:ascii="Arial" w:hAnsi="Arial" w:cs="Arial"/>
          <w:sz w:val="20"/>
          <w:szCs w:val="18"/>
        </w:rPr>
        <w:t>El validador no debe tener ningún tipo de publicidad o de identificación de marcas comerciales expuestas sobre su carcasa.</w:t>
      </w:r>
    </w:p>
    <w:p w14:paraId="5E5431E5" w14:textId="77777777" w:rsidR="00F87180" w:rsidRPr="000D2B6E" w:rsidRDefault="00F87180" w:rsidP="00F87180">
      <w:pPr>
        <w:pStyle w:val="Ttulo2"/>
        <w:numPr>
          <w:ilvl w:val="1"/>
          <w:numId w:val="3"/>
        </w:numPr>
        <w:tabs>
          <w:tab w:val="clear" w:pos="510"/>
        </w:tabs>
        <w:spacing w:line="250" w:lineRule="auto"/>
        <w:ind w:left="426" w:hanging="435"/>
      </w:pPr>
      <w:bookmarkStart w:id="72" w:name="_Toc215998979"/>
      <w:bookmarkStart w:id="73" w:name="_Toc216716488"/>
      <w:r w:rsidRPr="000D2B6E">
        <w:t>Soporte técnico y administrativo</w:t>
      </w:r>
      <w:bookmarkEnd w:id="72"/>
      <w:bookmarkEnd w:id="73"/>
    </w:p>
    <w:p w14:paraId="5F0B1480" w14:textId="77777777" w:rsidR="00F87180" w:rsidRPr="000D2B6E" w:rsidRDefault="00F87180" w:rsidP="00F87180">
      <w:pPr>
        <w:pStyle w:val="ListaNivel3"/>
        <w:numPr>
          <w:ilvl w:val="0"/>
          <w:numId w:val="0"/>
        </w:numPr>
        <w:spacing w:line="250" w:lineRule="auto"/>
        <w:rPr>
          <w:lang w:val="es-ES_tradnl"/>
        </w:rPr>
      </w:pPr>
      <w:r w:rsidRPr="000D2B6E">
        <w:t xml:space="preserve">El solicitante </w:t>
      </w:r>
      <w:r w:rsidRPr="000D2B6E">
        <w:rPr>
          <w:lang w:val="es-ES_tradnl"/>
        </w:rPr>
        <w:t xml:space="preserve">debe proveer el soporte técnico y administrativo que el BCCR le requiera para asegurar el proceso de homologación de los equipos de validación, y designar una contraparte técnica encargada de coordinar los trabajos </w:t>
      </w:r>
      <w:r w:rsidRPr="00523F55">
        <w:rPr>
          <w:lang w:val="es-ES_tradnl"/>
        </w:rPr>
        <w:t xml:space="preserve">de homologación </w:t>
      </w:r>
      <w:r w:rsidRPr="000D2B6E">
        <w:rPr>
          <w:lang w:val="es-ES_tradnl"/>
        </w:rPr>
        <w:t>con el BCCR.</w:t>
      </w:r>
    </w:p>
    <w:p w14:paraId="471E6B6F" w14:textId="77777777" w:rsidR="00F87180" w:rsidRPr="000D2B6E" w:rsidRDefault="00F87180" w:rsidP="00F87180">
      <w:pPr>
        <w:pStyle w:val="ListaNivel3"/>
        <w:numPr>
          <w:ilvl w:val="0"/>
          <w:numId w:val="0"/>
        </w:numPr>
        <w:spacing w:line="250" w:lineRule="auto"/>
        <w:rPr>
          <w:lang w:val="es-ES_tradnl"/>
        </w:rPr>
      </w:pPr>
      <w:r w:rsidRPr="000D2B6E">
        <w:rPr>
          <w:lang w:val="es-ES_tradnl"/>
        </w:rPr>
        <w:t>El soporte técnico podrá incluir actividades como las siguientes:</w:t>
      </w:r>
    </w:p>
    <w:p w14:paraId="750C619B" w14:textId="77777777" w:rsidR="00F87180" w:rsidRPr="000D2B6E" w:rsidRDefault="00F87180" w:rsidP="00F87180">
      <w:pPr>
        <w:pStyle w:val="ListaNivel3"/>
        <w:numPr>
          <w:ilvl w:val="0"/>
          <w:numId w:val="27"/>
        </w:numPr>
        <w:spacing w:line="250" w:lineRule="auto"/>
        <w:rPr>
          <w:lang w:val="es-ES_tradnl"/>
        </w:rPr>
      </w:pPr>
      <w:r w:rsidRPr="000D2B6E">
        <w:rPr>
          <w:lang w:val="es-ES_tradnl"/>
        </w:rPr>
        <w:t>El suministro de prototipos funcionalidades para atender requerimientos específicos del proceso de homologación.</w:t>
      </w:r>
    </w:p>
    <w:p w14:paraId="770960CE" w14:textId="77777777" w:rsidR="00F87180" w:rsidRPr="000D2B6E" w:rsidRDefault="00F87180" w:rsidP="00F87180">
      <w:pPr>
        <w:pStyle w:val="ListaNivel3"/>
        <w:numPr>
          <w:ilvl w:val="0"/>
          <w:numId w:val="27"/>
        </w:numPr>
        <w:spacing w:line="250" w:lineRule="auto"/>
        <w:rPr>
          <w:lang w:val="es-ES_tradnl"/>
        </w:rPr>
      </w:pPr>
      <w:r w:rsidRPr="000D2B6E">
        <w:rPr>
          <w:lang w:val="es-ES_tradnl"/>
        </w:rPr>
        <w:t>La participación en sesiones de programación en pares ("</w:t>
      </w:r>
      <w:r w:rsidRPr="000D2B6E">
        <w:rPr>
          <w:i/>
          <w:iCs/>
        </w:rPr>
        <w:t>pair programming</w:t>
      </w:r>
      <w:r w:rsidRPr="000D2B6E">
        <w:rPr>
          <w:lang w:val="es-ES_tradnl"/>
        </w:rPr>
        <w:t>”) con su personal experto y los ingenieros del BCCR, para acelerar el proceso de desarrollo y pruebas del proceso de homologación.</w:t>
      </w:r>
    </w:p>
    <w:p w14:paraId="3DD3B573" w14:textId="77777777" w:rsidR="00F87180" w:rsidRPr="000D2B6E" w:rsidRDefault="00F87180" w:rsidP="00F87180">
      <w:pPr>
        <w:pStyle w:val="ListaNivel3"/>
        <w:numPr>
          <w:ilvl w:val="0"/>
          <w:numId w:val="27"/>
        </w:numPr>
        <w:spacing w:line="250" w:lineRule="auto"/>
        <w:rPr>
          <w:lang w:val="es-ES_tradnl"/>
        </w:rPr>
      </w:pPr>
      <w:r w:rsidRPr="000D2B6E">
        <w:rPr>
          <w:lang w:val="es-ES_tradnl"/>
        </w:rPr>
        <w:t xml:space="preserve">Realizar visita y proveer acompañamiento técnico en las instalaciones del BCCR o directamente del solicitante, para la generación de desarrollos y la realización de pruebas del </w:t>
      </w:r>
      <w:r w:rsidRPr="000D2B6E">
        <w:rPr>
          <w:i/>
          <w:iCs/>
          <w:lang w:val="es-ES_tradnl"/>
        </w:rPr>
        <w:t>software</w:t>
      </w:r>
      <w:r w:rsidRPr="000D2B6E">
        <w:rPr>
          <w:lang w:val="es-ES_tradnl"/>
        </w:rPr>
        <w:t xml:space="preserve"> del validador.</w:t>
      </w:r>
    </w:p>
    <w:p w14:paraId="7DE4C4EE" w14:textId="77777777" w:rsidR="00F87180" w:rsidRPr="000D2B6E" w:rsidRDefault="00F87180" w:rsidP="00F87180">
      <w:pPr>
        <w:spacing w:before="0" w:line="250" w:lineRule="auto"/>
        <w:rPr>
          <w:szCs w:val="20"/>
        </w:rPr>
      </w:pPr>
      <w:bookmarkStart w:id="74" w:name="_Hlk190759318"/>
      <w:r w:rsidRPr="000D2B6E">
        <w:rPr>
          <w:szCs w:val="20"/>
        </w:rPr>
        <w:t>El solicitante también deberá facilitar o proveer acompañamiento técnico al BCCR mientras que sus equipos de validación cuenten con la acreditación de validador homologado, durante su integración con la infraestructura tecnológica de SINPE-TP o con los nuevos desarrollos que impulse el BCCR para esa infraestructura.</w:t>
      </w:r>
    </w:p>
    <w:p w14:paraId="4C63DB97" w14:textId="77777777" w:rsidR="00F87180" w:rsidRPr="00523F55" w:rsidRDefault="00F87180" w:rsidP="00F87180">
      <w:pPr>
        <w:spacing w:before="0" w:line="250" w:lineRule="auto"/>
      </w:pPr>
      <w:r w:rsidRPr="000D2B6E">
        <w:rPr>
          <w:szCs w:val="20"/>
        </w:rPr>
        <w:t>El incumplimiento de esta responsabilidad por parte del proveedor tecnológico podrá dar lugar a la pérdida de la homologación de sus equipos.</w:t>
      </w:r>
      <w:bookmarkEnd w:id="74"/>
    </w:p>
    <w:p w14:paraId="2DEC16E2" w14:textId="77777777" w:rsidR="00F87180" w:rsidRDefault="00F87180" w:rsidP="00F87180">
      <w:pPr>
        <w:pStyle w:val="Ttulo1"/>
        <w:numPr>
          <w:ilvl w:val="0"/>
          <w:numId w:val="3"/>
        </w:numPr>
        <w:tabs>
          <w:tab w:val="clear" w:pos="340"/>
        </w:tabs>
        <w:spacing w:before="0" w:line="250" w:lineRule="auto"/>
        <w:ind w:left="425" w:hanging="431"/>
      </w:pPr>
      <w:bookmarkStart w:id="75" w:name="_Toc110533281"/>
      <w:bookmarkStart w:id="76" w:name="_Toc111654294"/>
      <w:bookmarkStart w:id="77" w:name="_Toc215998980"/>
      <w:bookmarkStart w:id="78" w:name="_Toc216716489"/>
      <w:r>
        <w:t xml:space="preserve">Requisitos técnicos para la homologación de </w:t>
      </w:r>
      <w:bookmarkEnd w:id="75"/>
      <w:bookmarkEnd w:id="76"/>
      <w:r>
        <w:t>equipos de validación</w:t>
      </w:r>
      <w:bookmarkEnd w:id="77"/>
      <w:bookmarkEnd w:id="78"/>
    </w:p>
    <w:p w14:paraId="5536AC93" w14:textId="77777777" w:rsidR="00F87180" w:rsidRDefault="00F87180" w:rsidP="00F87180">
      <w:pPr>
        <w:spacing w:before="0" w:line="250" w:lineRule="auto"/>
        <w:rPr>
          <w:szCs w:val="20"/>
        </w:rPr>
      </w:pPr>
      <w:r w:rsidRPr="00415CF3">
        <w:rPr>
          <w:szCs w:val="20"/>
        </w:rPr>
        <w:t>Lo</w:t>
      </w:r>
      <w:r w:rsidRPr="00415CF3">
        <w:rPr>
          <w:szCs w:val="20"/>
          <w:lang w:val="es-ES_tradnl" w:eastAsia="es-ES"/>
        </w:rPr>
        <w:t>s requisitos técnicos que debe</w:t>
      </w:r>
      <w:r w:rsidRPr="00907FBD">
        <w:rPr>
          <w:szCs w:val="20"/>
        </w:rPr>
        <w:t xml:space="preserve">n </w:t>
      </w:r>
      <w:r w:rsidRPr="00866ACA">
        <w:rPr>
          <w:szCs w:val="20"/>
        </w:rPr>
        <w:t>s</w:t>
      </w:r>
      <w:r w:rsidRPr="002E152D">
        <w:rPr>
          <w:szCs w:val="20"/>
        </w:rPr>
        <w:t xml:space="preserve">atisfacer los equipos de validación por homologar se encuentran detallados en el Anexo </w:t>
      </w:r>
      <w:r>
        <w:rPr>
          <w:szCs w:val="20"/>
        </w:rPr>
        <w:t>0</w:t>
      </w:r>
      <w:r w:rsidRPr="002E152D">
        <w:rPr>
          <w:szCs w:val="20"/>
        </w:rPr>
        <w:t>2</w:t>
      </w:r>
      <w:r>
        <w:rPr>
          <w:szCs w:val="20"/>
        </w:rPr>
        <w:t xml:space="preserve"> (</w:t>
      </w:r>
      <w:r w:rsidRPr="00C17DA8">
        <w:rPr>
          <w:i/>
          <w:iCs/>
          <w:szCs w:val="20"/>
        </w:rPr>
        <w:t>“Requisitos Técnicos para Equipos de Validación de SINPE-TP”</w:t>
      </w:r>
      <w:r>
        <w:rPr>
          <w:szCs w:val="20"/>
        </w:rPr>
        <w:t xml:space="preserve">); por lo tanto, con la solicitud de homologación </w:t>
      </w:r>
      <w:r w:rsidRPr="002E152D">
        <w:rPr>
          <w:szCs w:val="20"/>
        </w:rPr>
        <w:t xml:space="preserve">que presente </w:t>
      </w:r>
      <w:r>
        <w:rPr>
          <w:szCs w:val="20"/>
        </w:rPr>
        <w:t>ante el</w:t>
      </w:r>
      <w:r w:rsidRPr="002E152D">
        <w:rPr>
          <w:szCs w:val="20"/>
        </w:rPr>
        <w:t xml:space="preserve"> BCCR</w:t>
      </w:r>
      <w:r>
        <w:rPr>
          <w:szCs w:val="20"/>
        </w:rPr>
        <w:t xml:space="preserve">, el solicitante </w:t>
      </w:r>
      <w:r w:rsidRPr="002E152D">
        <w:rPr>
          <w:szCs w:val="20"/>
        </w:rPr>
        <w:t xml:space="preserve">debe verificar previamente que </w:t>
      </w:r>
      <w:r>
        <w:rPr>
          <w:szCs w:val="20"/>
        </w:rPr>
        <w:t>los</w:t>
      </w:r>
      <w:r w:rsidRPr="002E152D">
        <w:rPr>
          <w:szCs w:val="20"/>
        </w:rPr>
        <w:t xml:space="preserve"> equipos de validación por homologar cumpl</w:t>
      </w:r>
      <w:r>
        <w:rPr>
          <w:szCs w:val="20"/>
        </w:rPr>
        <w:t>a</w:t>
      </w:r>
      <w:r w:rsidRPr="002E152D">
        <w:rPr>
          <w:szCs w:val="20"/>
        </w:rPr>
        <w:t>n con los requerimientos técnicos contenidos en dicho anexo.</w:t>
      </w:r>
    </w:p>
    <w:p w14:paraId="2D876064" w14:textId="77777777" w:rsidR="00F87180" w:rsidRPr="002E152D" w:rsidRDefault="00F87180" w:rsidP="00F87180">
      <w:pPr>
        <w:pStyle w:val="Ttulo1"/>
        <w:numPr>
          <w:ilvl w:val="0"/>
          <w:numId w:val="3"/>
        </w:numPr>
        <w:tabs>
          <w:tab w:val="clear" w:pos="340"/>
        </w:tabs>
        <w:spacing w:line="250" w:lineRule="auto"/>
        <w:ind w:left="425" w:hanging="431"/>
      </w:pPr>
      <w:bookmarkStart w:id="79" w:name="_Toc134215875"/>
      <w:bookmarkStart w:id="80" w:name="_Toc110533282"/>
      <w:bookmarkStart w:id="81" w:name="_Toc111654295"/>
      <w:bookmarkStart w:id="82" w:name="_Toc215998981"/>
      <w:bookmarkStart w:id="83" w:name="_Toc216716490"/>
      <w:bookmarkEnd w:id="79"/>
      <w:r w:rsidRPr="002E152D">
        <w:lastRenderedPageBreak/>
        <w:t>Proceso de homologación de equipos de validación</w:t>
      </w:r>
      <w:bookmarkEnd w:id="80"/>
      <w:bookmarkEnd w:id="81"/>
      <w:bookmarkEnd w:id="82"/>
      <w:bookmarkEnd w:id="83"/>
    </w:p>
    <w:p w14:paraId="3D899FC4" w14:textId="77777777" w:rsidR="00F87180" w:rsidRPr="002E152D" w:rsidRDefault="00F87180" w:rsidP="00F87180">
      <w:pPr>
        <w:pStyle w:val="Ttulo2"/>
        <w:numPr>
          <w:ilvl w:val="1"/>
          <w:numId w:val="3"/>
        </w:numPr>
        <w:tabs>
          <w:tab w:val="clear" w:pos="510"/>
        </w:tabs>
        <w:spacing w:line="250" w:lineRule="auto"/>
        <w:ind w:left="426" w:hanging="435"/>
      </w:pPr>
      <w:bookmarkStart w:id="84" w:name="_Toc110533283"/>
      <w:bookmarkStart w:id="85" w:name="_Ref110533383"/>
      <w:bookmarkStart w:id="86" w:name="_Toc111654296"/>
      <w:bookmarkStart w:id="87" w:name="_Toc215998982"/>
      <w:bookmarkStart w:id="88" w:name="_Toc216716491"/>
      <w:r w:rsidRPr="002E152D">
        <w:t>Etapas del proceso</w:t>
      </w:r>
      <w:bookmarkEnd w:id="84"/>
      <w:bookmarkEnd w:id="85"/>
      <w:r w:rsidRPr="002E152D">
        <w:t xml:space="preserve"> de homologación</w:t>
      </w:r>
      <w:bookmarkEnd w:id="86"/>
      <w:bookmarkEnd w:id="87"/>
      <w:bookmarkEnd w:id="88"/>
    </w:p>
    <w:p w14:paraId="63C2E7F6" w14:textId="77777777" w:rsidR="00F87180" w:rsidRDefault="00F87180" w:rsidP="00F87180">
      <w:pPr>
        <w:spacing w:before="0" w:line="250" w:lineRule="auto"/>
        <w:rPr>
          <w:lang w:val="es-ES_tradnl" w:eastAsia="es-ES"/>
        </w:rPr>
      </w:pPr>
      <w:bookmarkStart w:id="89" w:name="_Hlk111489113"/>
      <w:r w:rsidRPr="00074E67">
        <w:rPr>
          <w:lang w:val="es-ES_tradnl" w:eastAsia="es-ES"/>
        </w:rPr>
        <w:t xml:space="preserve">El proceso de homologación se compone de </w:t>
      </w:r>
      <w:r>
        <w:rPr>
          <w:lang w:val="es-ES_tradnl" w:eastAsia="es-ES"/>
        </w:rPr>
        <w:t xml:space="preserve">las siguientes </w:t>
      </w:r>
      <w:r w:rsidRPr="00074E67">
        <w:rPr>
          <w:lang w:val="es-ES_tradnl" w:eastAsia="es-ES"/>
        </w:rPr>
        <w:t>tres etapas:</w:t>
      </w:r>
    </w:p>
    <w:p w14:paraId="4749A654" w14:textId="77777777" w:rsidR="00F87180" w:rsidRPr="00523F55" w:rsidRDefault="00F87180" w:rsidP="00F87180">
      <w:pPr>
        <w:pStyle w:val="ListaNivel3"/>
        <w:numPr>
          <w:ilvl w:val="0"/>
          <w:numId w:val="28"/>
        </w:numPr>
        <w:spacing w:line="250" w:lineRule="auto"/>
        <w:rPr>
          <w:lang w:val="es-ES_tradnl"/>
        </w:rPr>
      </w:pPr>
      <w:r w:rsidRPr="00523F55">
        <w:rPr>
          <w:lang w:val="es-ES_tradnl"/>
        </w:rPr>
        <w:t>Admisión de solicitudes.</w:t>
      </w:r>
    </w:p>
    <w:p w14:paraId="6F7EB5CF" w14:textId="77777777" w:rsidR="00F87180" w:rsidRPr="00523F55" w:rsidRDefault="00F87180" w:rsidP="00F87180">
      <w:pPr>
        <w:pStyle w:val="ListaNivel3"/>
        <w:numPr>
          <w:ilvl w:val="0"/>
          <w:numId w:val="28"/>
        </w:numPr>
        <w:spacing w:line="250" w:lineRule="auto"/>
        <w:rPr>
          <w:lang w:val="es-ES_tradnl"/>
        </w:rPr>
      </w:pPr>
      <w:r>
        <w:t xml:space="preserve">Adaptación del software base y pruebas </w:t>
      </w:r>
      <w:r w:rsidRPr="00523F55">
        <w:rPr>
          <w:lang w:val="es-ES_tradnl"/>
        </w:rPr>
        <w:t>de laboratorio.</w:t>
      </w:r>
    </w:p>
    <w:p w14:paraId="6B11C979" w14:textId="77777777" w:rsidR="00F87180" w:rsidRPr="007F0FDA" w:rsidRDefault="00F87180" w:rsidP="00F87180">
      <w:pPr>
        <w:pStyle w:val="ListaNivel3"/>
        <w:numPr>
          <w:ilvl w:val="0"/>
          <w:numId w:val="28"/>
        </w:numPr>
        <w:spacing w:line="250" w:lineRule="auto"/>
        <w:rPr>
          <w:lang w:val="es-ES_tradnl"/>
        </w:rPr>
      </w:pPr>
      <w:r>
        <w:t>P</w:t>
      </w:r>
      <w:r w:rsidRPr="00074E67">
        <w:t xml:space="preserve">ruebas en </w:t>
      </w:r>
      <w:r>
        <w:t xml:space="preserve">el ambiente de </w:t>
      </w:r>
      <w:r w:rsidRPr="00523F55">
        <w:rPr>
          <w:lang w:val="es-ES_tradnl"/>
        </w:rPr>
        <w:t>producción.</w:t>
      </w:r>
    </w:p>
    <w:bookmarkEnd w:id="89"/>
    <w:p w14:paraId="246B09CA" w14:textId="77777777" w:rsidR="00F87180" w:rsidRPr="002E152D" w:rsidRDefault="00F87180" w:rsidP="00F87180">
      <w:pPr>
        <w:spacing w:before="0" w:line="250" w:lineRule="auto"/>
      </w:pPr>
      <w:r w:rsidRPr="002E152D">
        <w:t xml:space="preserve">Las pruebas de laboratorio </w:t>
      </w:r>
      <w:r>
        <w:t>pueden</w:t>
      </w:r>
      <w:r w:rsidRPr="002E152D">
        <w:t xml:space="preserve"> practicarse sobre un equipo de validación solo después de que </w:t>
      </w:r>
      <w:r>
        <w:t xml:space="preserve">la solicitud de homologación respectiva </w:t>
      </w:r>
      <w:r w:rsidRPr="002E152D">
        <w:t>haya superado la etapa de admisión.</w:t>
      </w:r>
      <w:r>
        <w:t xml:space="preserve"> </w:t>
      </w:r>
      <w:r w:rsidRPr="002E152D">
        <w:t xml:space="preserve">Por su parte, las pruebas en el ambiente de producción </w:t>
      </w:r>
      <w:r>
        <w:t>pueden</w:t>
      </w:r>
      <w:r w:rsidRPr="002E152D">
        <w:t xml:space="preserve"> realizarse solo si el equipo supera </w:t>
      </w:r>
      <w:r>
        <w:t xml:space="preserve">la adaptación del </w:t>
      </w:r>
      <w:r w:rsidRPr="00523F55">
        <w:rPr>
          <w:i/>
          <w:iCs/>
        </w:rPr>
        <w:t>software</w:t>
      </w:r>
      <w:r>
        <w:t xml:space="preserve"> base y </w:t>
      </w:r>
      <w:r w:rsidRPr="002E152D">
        <w:t>las pruebas de laboratorio.</w:t>
      </w:r>
    </w:p>
    <w:p w14:paraId="39635456" w14:textId="77777777" w:rsidR="00F87180" w:rsidRDefault="00F87180" w:rsidP="00F87180">
      <w:pPr>
        <w:pStyle w:val="Ttulo3"/>
        <w:numPr>
          <w:ilvl w:val="2"/>
          <w:numId w:val="3"/>
        </w:numPr>
        <w:tabs>
          <w:tab w:val="clear" w:pos="624"/>
        </w:tabs>
        <w:spacing w:line="250" w:lineRule="auto"/>
        <w:ind w:left="709" w:hanging="720"/>
      </w:pPr>
      <w:bookmarkStart w:id="90" w:name="_Toc107255159"/>
      <w:bookmarkStart w:id="91" w:name="_Ref110248950"/>
      <w:bookmarkStart w:id="92" w:name="_Toc110533284"/>
      <w:bookmarkStart w:id="93" w:name="_Toc111654297"/>
      <w:bookmarkStart w:id="94" w:name="_Toc215998983"/>
      <w:bookmarkStart w:id="95" w:name="_Toc216716492"/>
      <w:r w:rsidRPr="001175A1">
        <w:t xml:space="preserve">Primera etapa: </w:t>
      </w:r>
      <w:bookmarkEnd w:id="90"/>
      <w:bookmarkEnd w:id="91"/>
      <w:bookmarkEnd w:id="92"/>
      <w:r>
        <w:t>admisión de solicitudes</w:t>
      </w:r>
      <w:bookmarkEnd w:id="93"/>
      <w:bookmarkEnd w:id="94"/>
      <w:bookmarkEnd w:id="95"/>
    </w:p>
    <w:p w14:paraId="32A74BCC" w14:textId="77777777" w:rsidR="00F87180" w:rsidRPr="002E152D" w:rsidRDefault="00F87180" w:rsidP="00F87180">
      <w:pPr>
        <w:spacing w:before="0" w:line="250" w:lineRule="auto"/>
      </w:pPr>
      <w:r w:rsidRPr="00415CF3">
        <w:t>En esta etapa, e</w:t>
      </w:r>
      <w:r w:rsidRPr="00907FBD">
        <w:t xml:space="preserve">l BCCR </w:t>
      </w:r>
      <w:r w:rsidRPr="00866ACA">
        <w:t>verifica que</w:t>
      </w:r>
      <w:r w:rsidRPr="002E152D">
        <w:t xml:space="preserve"> las solicitudes cumplan con todos los requisitos de forma </w:t>
      </w:r>
      <w:r>
        <w:t xml:space="preserve">y contenido </w:t>
      </w:r>
      <w:r w:rsidRPr="002E152D">
        <w:t>que debe presentar el solicitante para participar en el proceso de homologación.</w:t>
      </w:r>
    </w:p>
    <w:p w14:paraId="5713A1CE" w14:textId="77777777" w:rsidR="00F87180" w:rsidRPr="00C72D22" w:rsidRDefault="00F87180" w:rsidP="00F87180">
      <w:pPr>
        <w:spacing w:before="0" w:line="250" w:lineRule="auto"/>
      </w:pPr>
      <w:r w:rsidRPr="00C72D22">
        <w:t xml:space="preserve">Las solicitudes deben presentarse de conformidad con el Anexo </w:t>
      </w:r>
      <w:r>
        <w:t>0</w:t>
      </w:r>
      <w:r w:rsidRPr="00C72D22">
        <w:t xml:space="preserve">1 y adjuntar la información requerida en el Anexo </w:t>
      </w:r>
      <w:r>
        <w:t>0</w:t>
      </w:r>
      <w:r w:rsidRPr="00C72D22">
        <w:t xml:space="preserve">2 y Anexo </w:t>
      </w:r>
      <w:r>
        <w:t>0</w:t>
      </w:r>
      <w:r w:rsidRPr="00C72D22">
        <w:t>3, todos de la presente norma técnica.</w:t>
      </w:r>
      <w:r>
        <w:t xml:space="preserve"> </w:t>
      </w:r>
      <w:r w:rsidRPr="00C72D22">
        <w:t>En el caso de que la solicitud omita un requisito que en criterio del BCCR puede ser corregido durante la primera etapa, el BCCR podrá dar al solicitante la oportunidad de subsanarlo.</w:t>
      </w:r>
    </w:p>
    <w:p w14:paraId="27334DBB" w14:textId="77777777" w:rsidR="00F87180" w:rsidRPr="00C72D22" w:rsidRDefault="00F87180" w:rsidP="00F87180">
      <w:pPr>
        <w:spacing w:before="0" w:line="250" w:lineRule="auto"/>
      </w:pPr>
      <w:r w:rsidRPr="00C72D22">
        <w:t>Si la solicitud reúne las condiciones dispuestas por la presente norma técnica, el BCCR envía una carta de aprobación al solicitante</w:t>
      </w:r>
      <w:r>
        <w:t xml:space="preserve"> y </w:t>
      </w:r>
      <w:r w:rsidRPr="00C72D22">
        <w:t xml:space="preserve">le requiere la presentación de </w:t>
      </w:r>
      <w:r>
        <w:t>cuatro</w:t>
      </w:r>
      <w:r w:rsidRPr="00C72D22">
        <w:t xml:space="preserve"> validadores de desarrollo por cada modelo </w:t>
      </w:r>
      <w:r>
        <w:t xml:space="preserve">que se pretenda </w:t>
      </w:r>
      <w:r w:rsidRPr="00C72D22">
        <w:t>homologar</w:t>
      </w:r>
      <w:r>
        <w:t xml:space="preserve"> (</w:t>
      </w:r>
      <w:r w:rsidRPr="00C72D22">
        <w:t>junto con los respectivos SDK</w:t>
      </w:r>
      <w:r>
        <w:t>)</w:t>
      </w:r>
      <w:r w:rsidRPr="00C72D22">
        <w:t xml:space="preserve">, para realizar su configuración y </w:t>
      </w:r>
      <w:r>
        <w:t xml:space="preserve">las </w:t>
      </w:r>
      <w:r w:rsidRPr="00C72D22">
        <w:t>pruebas de laboratorio.</w:t>
      </w:r>
    </w:p>
    <w:p w14:paraId="7639B601" w14:textId="77777777" w:rsidR="00F87180" w:rsidRDefault="00F87180" w:rsidP="00F87180">
      <w:pPr>
        <w:spacing w:before="0" w:line="250" w:lineRule="auto"/>
      </w:pPr>
      <w:r w:rsidRPr="00C72D22">
        <w:t>Si la solicitud de homologación es rechazada, el BCCR archiva el expediente e informa</w:t>
      </w:r>
      <w:r>
        <w:t xml:space="preserve"> oportunamente al solicitante </w:t>
      </w:r>
      <w:r w:rsidRPr="002E152D">
        <w:t>la decisión de</w:t>
      </w:r>
      <w:r>
        <w:t>l</w:t>
      </w:r>
      <w:r w:rsidRPr="002E152D">
        <w:t xml:space="preserve"> rechazo </w:t>
      </w:r>
      <w:bookmarkStart w:id="96" w:name="_Toc107255162"/>
      <w:r>
        <w:t>y sus razones</w:t>
      </w:r>
      <w:r w:rsidRPr="002E152D">
        <w:t>.</w:t>
      </w:r>
    </w:p>
    <w:p w14:paraId="1F08319C" w14:textId="77777777" w:rsidR="00F87180" w:rsidRPr="002E152D" w:rsidRDefault="00F87180" w:rsidP="00F87180">
      <w:pPr>
        <w:spacing w:before="120" w:after="0" w:line="250" w:lineRule="auto"/>
        <w:jc w:val="center"/>
        <w:rPr>
          <w:b/>
          <w:bCs/>
        </w:rPr>
      </w:pPr>
      <w:r w:rsidRPr="002E152D">
        <w:rPr>
          <w:b/>
          <w:bCs/>
        </w:rPr>
        <w:t>Figu</w:t>
      </w:r>
      <w:r>
        <w:rPr>
          <w:b/>
          <w:bCs/>
        </w:rPr>
        <w:t>r</w:t>
      </w:r>
      <w:r w:rsidRPr="002E152D">
        <w:rPr>
          <w:b/>
          <w:bCs/>
        </w:rPr>
        <w:t>a 1</w:t>
      </w:r>
    </w:p>
    <w:p w14:paraId="18640138" w14:textId="77777777" w:rsidR="00F87180" w:rsidRDefault="00F87180" w:rsidP="00F87180">
      <w:pPr>
        <w:spacing w:before="0" w:after="60" w:line="250" w:lineRule="auto"/>
        <w:jc w:val="center"/>
        <w:rPr>
          <w:b/>
          <w:bCs/>
        </w:rPr>
      </w:pPr>
      <w:r w:rsidRPr="002E152D">
        <w:rPr>
          <w:b/>
          <w:bCs/>
        </w:rPr>
        <w:t>Flujo</w:t>
      </w:r>
      <w:r>
        <w:rPr>
          <w:b/>
          <w:bCs/>
        </w:rPr>
        <w:t xml:space="preserve"> </w:t>
      </w:r>
      <w:r w:rsidRPr="002E152D">
        <w:rPr>
          <w:b/>
          <w:bCs/>
        </w:rPr>
        <w:t>de la primera etapa del proceso de homologación</w:t>
      </w:r>
      <w:r>
        <w:rPr>
          <w:b/>
          <w:bCs/>
        </w:rPr>
        <w:t xml:space="preserve"> de SINPE-TP</w:t>
      </w:r>
    </w:p>
    <w:p w14:paraId="4F8F8920" w14:textId="77777777" w:rsidR="00F87180" w:rsidRDefault="00F87180" w:rsidP="00F87180">
      <w:pPr>
        <w:spacing w:before="0" w:after="0" w:line="250" w:lineRule="auto"/>
        <w:jc w:val="left"/>
        <w:rPr>
          <w:b/>
          <w:bCs/>
        </w:rPr>
      </w:pPr>
      <w:r>
        <w:rPr>
          <w:b/>
          <w:bCs/>
          <w:noProof/>
        </w:rPr>
        <w:drawing>
          <wp:inline distT="0" distB="0" distL="0" distR="0" wp14:anchorId="734F8A61" wp14:editId="7FBAC789">
            <wp:extent cx="5701465" cy="2623931"/>
            <wp:effectExtent l="0" t="0" r="0" b="5080"/>
            <wp:docPr id="108914257"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4257" name="Imagen 3" descr="Diagrama&#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2138" cy="2679467"/>
                    </a:xfrm>
                    <a:prstGeom prst="rect">
                      <a:avLst/>
                    </a:prstGeom>
                    <a:noFill/>
                    <a:ln>
                      <a:noFill/>
                    </a:ln>
                  </pic:spPr>
                </pic:pic>
              </a:graphicData>
            </a:graphic>
          </wp:inline>
        </w:drawing>
      </w:r>
    </w:p>
    <w:p w14:paraId="508C6AEA" w14:textId="77777777" w:rsidR="00F87180" w:rsidRDefault="00F87180" w:rsidP="00F87180">
      <w:pPr>
        <w:pStyle w:val="Ttulo3"/>
        <w:numPr>
          <w:ilvl w:val="2"/>
          <w:numId w:val="3"/>
        </w:numPr>
        <w:tabs>
          <w:tab w:val="clear" w:pos="624"/>
        </w:tabs>
        <w:spacing w:line="250" w:lineRule="auto"/>
        <w:ind w:left="709" w:hanging="720"/>
      </w:pPr>
      <w:bookmarkStart w:id="97" w:name="_Toc133401780"/>
      <w:bookmarkStart w:id="98" w:name="_Toc110533285"/>
      <w:bookmarkStart w:id="99" w:name="_Toc111654298"/>
      <w:bookmarkStart w:id="100" w:name="_Toc215998984"/>
      <w:bookmarkStart w:id="101" w:name="_Toc216716493"/>
      <w:bookmarkEnd w:id="97"/>
      <w:r w:rsidRPr="00494533">
        <w:t xml:space="preserve">Segunda etapa: </w:t>
      </w:r>
      <w:bookmarkEnd w:id="96"/>
      <w:r>
        <w:t>adaptación del software base y pruebas de laboratorio</w:t>
      </w:r>
      <w:bookmarkEnd w:id="98"/>
      <w:bookmarkEnd w:id="99"/>
      <w:bookmarkEnd w:id="100"/>
      <w:bookmarkEnd w:id="101"/>
    </w:p>
    <w:p w14:paraId="35EE6821" w14:textId="77777777" w:rsidR="00F87180" w:rsidRPr="00EA2384" w:rsidRDefault="00F87180" w:rsidP="00F87180">
      <w:pPr>
        <w:spacing w:before="0" w:line="250" w:lineRule="auto"/>
      </w:pPr>
      <w:r w:rsidRPr="00EA2384">
        <w:t xml:space="preserve">Esta etapa contempla la </w:t>
      </w:r>
      <w:r>
        <w:t xml:space="preserve">adaptación e </w:t>
      </w:r>
      <w:r w:rsidRPr="00EA2384">
        <w:t xml:space="preserve">instalación del </w:t>
      </w:r>
      <w:r w:rsidRPr="00C17DA8">
        <w:rPr>
          <w:i/>
          <w:iCs/>
        </w:rPr>
        <w:t>software</w:t>
      </w:r>
      <w:r w:rsidRPr="00EA2384">
        <w:t xml:space="preserve"> base (aplicación de pagos) en los equipos de </w:t>
      </w:r>
      <w:r w:rsidRPr="00200819">
        <w:rPr>
          <w:lang w:val="es-ES_tradnl" w:eastAsia="es-ES"/>
        </w:rPr>
        <w:t>validación</w:t>
      </w:r>
      <w:r w:rsidRPr="00EA2384">
        <w:t xml:space="preserve">, así como la ejecución de las pruebas que realiza el BCCR en el laboratorio para evaluar </w:t>
      </w:r>
      <w:r w:rsidRPr="00EA2384">
        <w:lastRenderedPageBreak/>
        <w:t xml:space="preserve">sus características, capacidades y especificaciones técnicas, con el fin de determinar su nivel </w:t>
      </w:r>
      <w:r>
        <w:t xml:space="preserve">de desempeño y el grado de </w:t>
      </w:r>
      <w:r w:rsidRPr="00EA2384">
        <w:t xml:space="preserve">cumplimiento de las condiciones </w:t>
      </w:r>
      <w:r>
        <w:t xml:space="preserve">mínimas </w:t>
      </w:r>
      <w:r w:rsidRPr="00EA2384">
        <w:t xml:space="preserve">requeridas para operar en la plataforma </w:t>
      </w:r>
      <w:r>
        <w:t xml:space="preserve">tecnológica </w:t>
      </w:r>
      <w:r w:rsidRPr="00EA2384">
        <w:t>de SINPE-TP.</w:t>
      </w:r>
    </w:p>
    <w:p w14:paraId="161D7AA7" w14:textId="77777777" w:rsidR="00F87180" w:rsidRPr="00C72D22" w:rsidRDefault="00F87180" w:rsidP="00F87180">
      <w:pPr>
        <w:spacing w:before="0" w:line="250" w:lineRule="auto"/>
        <w:rPr>
          <w:lang w:val="es-ES_tradnl" w:eastAsia="es-ES"/>
        </w:rPr>
      </w:pPr>
      <w:r>
        <w:rPr>
          <w:lang w:val="es-ES_tradnl" w:eastAsia="es-ES"/>
        </w:rPr>
        <w:t xml:space="preserve">Los cuatro </w:t>
      </w:r>
      <w:r w:rsidRPr="00C72D22">
        <w:rPr>
          <w:lang w:val="es-ES_tradnl" w:eastAsia="es-ES"/>
        </w:rPr>
        <w:t xml:space="preserve">equipos </w:t>
      </w:r>
      <w:r>
        <w:rPr>
          <w:lang w:val="es-ES_tradnl" w:eastAsia="es-ES"/>
        </w:rPr>
        <w:t xml:space="preserve">de validación que utiliza el BCCR con las pruebas de laboratorio </w:t>
      </w:r>
      <w:r w:rsidRPr="00C72D22">
        <w:rPr>
          <w:lang w:val="es-ES_tradnl" w:eastAsia="es-ES"/>
        </w:rPr>
        <w:t>son adicionales a los cinco validadores de producción que también debe presentar el solicitante</w:t>
      </w:r>
      <w:r>
        <w:rPr>
          <w:lang w:val="es-ES_tradnl" w:eastAsia="es-ES"/>
        </w:rPr>
        <w:t>,</w:t>
      </w:r>
      <w:r w:rsidRPr="00C72D22">
        <w:rPr>
          <w:lang w:val="es-ES_tradnl" w:eastAsia="es-ES"/>
        </w:rPr>
        <w:t xml:space="preserve"> de conformidad con el apartado 8.1.3 de la presente norma técnica.</w:t>
      </w:r>
    </w:p>
    <w:p w14:paraId="03F72925" w14:textId="77777777" w:rsidR="00F87180" w:rsidRPr="00C72D22" w:rsidRDefault="00F87180" w:rsidP="00F87180">
      <w:pPr>
        <w:spacing w:before="0" w:line="250" w:lineRule="auto"/>
        <w:rPr>
          <w:lang w:val="es-ES_tradnl" w:eastAsia="es-ES"/>
        </w:rPr>
      </w:pPr>
      <w:r w:rsidRPr="00C72D22">
        <w:rPr>
          <w:lang w:val="es-ES_tradnl" w:eastAsia="es-ES"/>
        </w:rPr>
        <w:t xml:space="preserve">De superar el proceso de homologación, los validadores de desarrollo </w:t>
      </w:r>
      <w:r>
        <w:rPr>
          <w:lang w:val="es-ES_tradnl" w:eastAsia="es-ES"/>
        </w:rPr>
        <w:t>son</w:t>
      </w:r>
      <w:r w:rsidRPr="00C72D22">
        <w:rPr>
          <w:lang w:val="es-ES_tradnl" w:eastAsia="es-ES"/>
        </w:rPr>
        <w:t xml:space="preserve"> mantenidos en el BCCR para </w:t>
      </w:r>
      <w:r>
        <w:rPr>
          <w:lang w:val="es-ES_tradnl" w:eastAsia="es-ES"/>
        </w:rPr>
        <w:t xml:space="preserve">ejecutar </w:t>
      </w:r>
      <w:r w:rsidRPr="00C72D22">
        <w:rPr>
          <w:lang w:val="es-ES_tradnl" w:eastAsia="es-ES"/>
        </w:rPr>
        <w:t xml:space="preserve">las pruebas </w:t>
      </w:r>
      <w:r>
        <w:rPr>
          <w:lang w:val="es-ES_tradnl" w:eastAsia="es-ES"/>
        </w:rPr>
        <w:t xml:space="preserve">adicionales </w:t>
      </w:r>
      <w:r w:rsidRPr="00C72D22">
        <w:rPr>
          <w:lang w:val="es-ES_tradnl" w:eastAsia="es-ES"/>
        </w:rPr>
        <w:t xml:space="preserve">que se necesite realizar con ellos, mientras </w:t>
      </w:r>
      <w:r>
        <w:rPr>
          <w:lang w:val="es-ES_tradnl" w:eastAsia="es-ES"/>
        </w:rPr>
        <w:t xml:space="preserve">el equipo </w:t>
      </w:r>
      <w:r w:rsidRPr="00C72D22">
        <w:rPr>
          <w:lang w:val="es-ES_tradnl" w:eastAsia="es-ES"/>
        </w:rPr>
        <w:t xml:space="preserve">mantenga la </w:t>
      </w:r>
      <w:r>
        <w:rPr>
          <w:lang w:val="es-ES_tradnl" w:eastAsia="es-ES"/>
        </w:rPr>
        <w:t xml:space="preserve">acreditación como </w:t>
      </w:r>
      <w:r w:rsidRPr="00C72D22">
        <w:rPr>
          <w:lang w:val="es-ES_tradnl" w:eastAsia="es-ES"/>
        </w:rPr>
        <w:t>validador homologado para SINPE</w:t>
      </w:r>
      <w:r w:rsidRPr="00C72D22">
        <w:rPr>
          <w:lang w:val="es-ES_tradnl" w:eastAsia="es-ES"/>
        </w:rPr>
        <w:noBreakHyphen/>
        <w:t>TP</w:t>
      </w:r>
      <w:r>
        <w:rPr>
          <w:lang w:val="es-ES_tradnl" w:eastAsia="es-ES"/>
        </w:rPr>
        <w:t xml:space="preserve">, o se mantenga operando temporalmente debido a alguna razón o circunstancia de carácter especial, conforme lo determine el BCCR. </w:t>
      </w:r>
    </w:p>
    <w:p w14:paraId="3BF22711" w14:textId="77777777" w:rsidR="00F87180" w:rsidRPr="00C72D22" w:rsidRDefault="00F87180" w:rsidP="00F87180">
      <w:pPr>
        <w:spacing w:before="0" w:line="250" w:lineRule="auto"/>
        <w:rPr>
          <w:lang w:val="es-ES_tradnl"/>
        </w:rPr>
      </w:pPr>
      <w:r w:rsidRPr="00C72D22">
        <w:rPr>
          <w:lang w:val="es-ES_tradnl"/>
        </w:rPr>
        <w:t xml:space="preserve">Durante esta fase, el BCCR adapta </w:t>
      </w:r>
      <w:r>
        <w:rPr>
          <w:lang w:val="es-ES_tradnl"/>
        </w:rPr>
        <w:t xml:space="preserve">la </w:t>
      </w:r>
      <w:r w:rsidRPr="00C72D22">
        <w:rPr>
          <w:lang w:val="es-ES_tradnl"/>
        </w:rPr>
        <w:t xml:space="preserve">aplicación </w:t>
      </w:r>
      <w:r>
        <w:rPr>
          <w:lang w:val="es-ES_tradnl"/>
        </w:rPr>
        <w:t xml:space="preserve">base </w:t>
      </w:r>
      <w:r w:rsidRPr="00C72D22">
        <w:rPr>
          <w:lang w:val="es-ES_tradnl"/>
        </w:rPr>
        <w:t xml:space="preserve">de pago </w:t>
      </w:r>
      <w:r>
        <w:rPr>
          <w:lang w:val="es-ES_tradnl"/>
        </w:rPr>
        <w:t xml:space="preserve">de SINPE-TP </w:t>
      </w:r>
      <w:r w:rsidRPr="00C72D22">
        <w:rPr>
          <w:lang w:val="es-ES_tradnl"/>
        </w:rPr>
        <w:t>utilizando los SDK del lector</w:t>
      </w:r>
      <w:r>
        <w:rPr>
          <w:lang w:val="es-ES_tradnl"/>
        </w:rPr>
        <w:t xml:space="preserve"> </w:t>
      </w:r>
      <w:r>
        <w:rPr>
          <w:lang w:val="es-ES_tradnl" w:eastAsia="es-ES"/>
        </w:rPr>
        <w:t>de dispositivos de pago</w:t>
      </w:r>
      <w:r w:rsidRPr="00C72D22">
        <w:rPr>
          <w:lang w:val="es-ES_tradnl"/>
        </w:rPr>
        <w:t xml:space="preserve"> y el validador por homologar.</w:t>
      </w:r>
      <w:r>
        <w:rPr>
          <w:lang w:val="es-ES_tradnl"/>
        </w:rPr>
        <w:t xml:space="preserve"> </w:t>
      </w:r>
      <w:r w:rsidRPr="00C72D22">
        <w:rPr>
          <w:lang w:val="es-ES_tradnl"/>
        </w:rPr>
        <w:t xml:space="preserve">Estos equipos deben cumplir con los requerimientos mínimos que establece la </w:t>
      </w:r>
      <w:r>
        <w:rPr>
          <w:lang w:val="es-ES_tradnl"/>
        </w:rPr>
        <w:t xml:space="preserve">presente </w:t>
      </w:r>
      <w:r w:rsidRPr="00C72D22">
        <w:rPr>
          <w:lang w:val="es-ES_tradnl"/>
        </w:rPr>
        <w:t>norma técnica para la ejecución de las aplicaciones, una para el lector y otra para el validador.</w:t>
      </w:r>
    </w:p>
    <w:p w14:paraId="53D17A9C" w14:textId="77777777" w:rsidR="00F87180" w:rsidRDefault="00F87180" w:rsidP="00F87180">
      <w:pPr>
        <w:spacing w:before="0" w:line="250" w:lineRule="auto"/>
      </w:pPr>
      <w:r w:rsidRPr="00C72D22">
        <w:t>Para preparar la aplicación de pagos del BCCR, el solicitante debe entregar</w:t>
      </w:r>
      <w:r>
        <w:t xml:space="preserve"> lo siguiente:</w:t>
      </w:r>
    </w:p>
    <w:p w14:paraId="26599ECC" w14:textId="77777777" w:rsidR="00F87180" w:rsidRDefault="00F87180" w:rsidP="00F87180">
      <w:pPr>
        <w:pStyle w:val="Prrafodelista"/>
        <w:numPr>
          <w:ilvl w:val="0"/>
          <w:numId w:val="23"/>
        </w:numPr>
        <w:spacing w:after="120" w:line="250" w:lineRule="auto"/>
        <w:contextualSpacing w:val="0"/>
        <w:jc w:val="both"/>
        <w:rPr>
          <w:rFonts w:ascii="Arial" w:hAnsi="Arial" w:cs="Arial"/>
          <w:sz w:val="20"/>
          <w:szCs w:val="20"/>
        </w:rPr>
      </w:pPr>
      <w:r>
        <w:rPr>
          <w:rFonts w:ascii="Arial" w:hAnsi="Arial" w:cs="Arial"/>
          <w:sz w:val="20"/>
          <w:szCs w:val="20"/>
        </w:rPr>
        <w:t xml:space="preserve">Cuatro validadores debidamente ensamblados y con lectores </w:t>
      </w:r>
      <w:r w:rsidRPr="00DD5F2E">
        <w:rPr>
          <w:rFonts w:ascii="Arial" w:hAnsi="Arial" w:cs="Arial"/>
          <w:i/>
          <w:iCs/>
          <w:sz w:val="20"/>
          <w:szCs w:val="20"/>
        </w:rPr>
        <w:t>EMV-Contactless</w:t>
      </w:r>
      <w:r>
        <w:rPr>
          <w:rFonts w:ascii="Arial" w:hAnsi="Arial" w:cs="Arial"/>
          <w:sz w:val="20"/>
          <w:szCs w:val="20"/>
        </w:rPr>
        <w:t xml:space="preserve"> de desarrollo, con interruptor de encendido/apagado.</w:t>
      </w:r>
    </w:p>
    <w:p w14:paraId="572DAFB5" w14:textId="77777777" w:rsidR="00F87180" w:rsidRPr="00324A05" w:rsidRDefault="00F87180" w:rsidP="00F87180">
      <w:pPr>
        <w:pStyle w:val="Prrafodelista"/>
        <w:numPr>
          <w:ilvl w:val="0"/>
          <w:numId w:val="23"/>
        </w:numPr>
        <w:spacing w:after="120" w:line="250" w:lineRule="auto"/>
        <w:contextualSpacing w:val="0"/>
        <w:jc w:val="both"/>
        <w:rPr>
          <w:rFonts w:ascii="Arial" w:hAnsi="Arial" w:cs="Arial"/>
          <w:sz w:val="20"/>
          <w:szCs w:val="20"/>
        </w:rPr>
      </w:pPr>
      <w:r w:rsidRPr="00324A05">
        <w:rPr>
          <w:rFonts w:ascii="Arial" w:hAnsi="Arial" w:cs="Arial"/>
          <w:sz w:val="20"/>
          <w:szCs w:val="20"/>
        </w:rPr>
        <w:t>Cuatro kits de montaje en poste (uno para cada validador de desarrollo).</w:t>
      </w:r>
    </w:p>
    <w:p w14:paraId="0EBA840E" w14:textId="77777777" w:rsidR="00F87180" w:rsidRPr="004953E1" w:rsidRDefault="00F87180" w:rsidP="00F87180">
      <w:pPr>
        <w:pStyle w:val="Prrafodelista"/>
        <w:numPr>
          <w:ilvl w:val="0"/>
          <w:numId w:val="23"/>
        </w:numPr>
        <w:spacing w:after="120" w:line="250" w:lineRule="auto"/>
        <w:contextualSpacing w:val="0"/>
        <w:jc w:val="both"/>
        <w:rPr>
          <w:rFonts w:ascii="Arial" w:hAnsi="Arial" w:cs="Arial"/>
          <w:sz w:val="20"/>
          <w:szCs w:val="20"/>
        </w:rPr>
      </w:pPr>
      <w:r w:rsidRPr="004953E1">
        <w:rPr>
          <w:rFonts w:ascii="Arial" w:hAnsi="Arial" w:cs="Arial"/>
          <w:sz w:val="20"/>
          <w:szCs w:val="20"/>
        </w:rPr>
        <w:t xml:space="preserve">Herramientas especializadas para desmontar los </w:t>
      </w:r>
      <w:r>
        <w:rPr>
          <w:rFonts w:ascii="Arial" w:hAnsi="Arial" w:cs="Arial"/>
          <w:sz w:val="20"/>
          <w:szCs w:val="20"/>
        </w:rPr>
        <w:t>equipos.</w:t>
      </w:r>
    </w:p>
    <w:p w14:paraId="2468C3A3" w14:textId="77777777" w:rsidR="00F87180" w:rsidRPr="00324A05" w:rsidRDefault="00F87180" w:rsidP="00F87180">
      <w:pPr>
        <w:pStyle w:val="Prrafodelista"/>
        <w:numPr>
          <w:ilvl w:val="0"/>
          <w:numId w:val="23"/>
        </w:numPr>
        <w:spacing w:after="120" w:line="250" w:lineRule="auto"/>
        <w:contextualSpacing w:val="0"/>
        <w:jc w:val="both"/>
        <w:rPr>
          <w:rFonts w:ascii="Arial" w:hAnsi="Arial" w:cs="Arial"/>
          <w:sz w:val="20"/>
          <w:szCs w:val="20"/>
        </w:rPr>
      </w:pPr>
      <w:r w:rsidRPr="00324A05">
        <w:rPr>
          <w:rFonts w:ascii="Arial" w:hAnsi="Arial" w:cs="Arial"/>
          <w:sz w:val="20"/>
          <w:szCs w:val="20"/>
        </w:rPr>
        <w:t>Una fuente de poder armada para desarrollo, con el cable para su respectiva alimentación eléctrica.</w:t>
      </w:r>
    </w:p>
    <w:p w14:paraId="622600AE" w14:textId="77777777" w:rsidR="00F87180" w:rsidRPr="004953E1" w:rsidRDefault="00F87180" w:rsidP="00F87180">
      <w:pPr>
        <w:pStyle w:val="Prrafodelista"/>
        <w:numPr>
          <w:ilvl w:val="0"/>
          <w:numId w:val="23"/>
        </w:numPr>
        <w:spacing w:after="120" w:line="250" w:lineRule="auto"/>
        <w:contextualSpacing w:val="0"/>
        <w:jc w:val="both"/>
        <w:rPr>
          <w:rFonts w:ascii="Arial" w:hAnsi="Arial" w:cs="Arial"/>
          <w:sz w:val="20"/>
          <w:szCs w:val="20"/>
        </w:rPr>
      </w:pPr>
      <w:r>
        <w:rPr>
          <w:rFonts w:ascii="Arial" w:hAnsi="Arial" w:cs="Arial"/>
          <w:sz w:val="20"/>
          <w:szCs w:val="20"/>
        </w:rPr>
        <w:t>La i</w:t>
      </w:r>
      <w:r w:rsidRPr="004953E1">
        <w:rPr>
          <w:rFonts w:ascii="Arial" w:hAnsi="Arial" w:cs="Arial"/>
          <w:sz w:val="20"/>
          <w:szCs w:val="20"/>
        </w:rPr>
        <w:t>nformación técnica que el BCCR le requiera para complementar el proceso de adaptación de la aplicación</w:t>
      </w:r>
      <w:r>
        <w:rPr>
          <w:rFonts w:ascii="Arial" w:hAnsi="Arial" w:cs="Arial"/>
          <w:sz w:val="20"/>
          <w:szCs w:val="20"/>
        </w:rPr>
        <w:t xml:space="preserve"> de </w:t>
      </w:r>
      <w:r w:rsidRPr="00C17DA8">
        <w:rPr>
          <w:rFonts w:ascii="Arial" w:hAnsi="Arial" w:cs="Arial"/>
          <w:i/>
          <w:iCs/>
          <w:sz w:val="20"/>
          <w:szCs w:val="20"/>
        </w:rPr>
        <w:t>software</w:t>
      </w:r>
      <w:r w:rsidRPr="004953E1">
        <w:rPr>
          <w:rFonts w:ascii="Arial" w:hAnsi="Arial" w:cs="Arial"/>
          <w:sz w:val="20"/>
          <w:szCs w:val="20"/>
        </w:rPr>
        <w:t>.</w:t>
      </w:r>
    </w:p>
    <w:p w14:paraId="66F50374" w14:textId="77777777" w:rsidR="00F87180" w:rsidRPr="006A3EB4" w:rsidRDefault="00F87180" w:rsidP="00F87180">
      <w:pPr>
        <w:pStyle w:val="Textocomentario"/>
        <w:numPr>
          <w:ilvl w:val="0"/>
          <w:numId w:val="23"/>
        </w:numPr>
        <w:spacing w:before="0" w:line="250" w:lineRule="auto"/>
        <w:rPr>
          <w:rFonts w:cs="Arial"/>
          <w:lang w:val="es-CR"/>
        </w:rPr>
      </w:pPr>
      <w:r w:rsidRPr="006A3EB4">
        <w:rPr>
          <w:rFonts w:cs="Arial"/>
          <w:lang w:val="es-CR"/>
        </w:rPr>
        <w:t xml:space="preserve">Los </w:t>
      </w:r>
      <w:r>
        <w:rPr>
          <w:rFonts w:cs="Arial"/>
          <w:lang w:val="es-CR"/>
        </w:rPr>
        <w:t xml:space="preserve">documentos y </w:t>
      </w:r>
      <w:r w:rsidRPr="006A3EB4">
        <w:rPr>
          <w:rFonts w:cs="Arial"/>
          <w:lang w:val="es-CR"/>
        </w:rPr>
        <w:t xml:space="preserve">manuales </w:t>
      </w:r>
      <w:r>
        <w:rPr>
          <w:rFonts w:cs="Arial"/>
          <w:lang w:val="es-CR"/>
        </w:rPr>
        <w:t>(</w:t>
      </w:r>
      <w:r w:rsidRPr="006A3EB4">
        <w:rPr>
          <w:rFonts w:cs="Arial"/>
          <w:lang w:val="es-CR"/>
        </w:rPr>
        <w:t>con sus respectivos ejemplos</w:t>
      </w:r>
      <w:r>
        <w:rPr>
          <w:rFonts w:cs="Arial"/>
          <w:lang w:val="es-CR"/>
        </w:rPr>
        <w:t>) que se especifican a continuación</w:t>
      </w:r>
      <w:r w:rsidRPr="006A3EB4">
        <w:rPr>
          <w:rFonts w:cs="Arial"/>
          <w:lang w:val="es-CR"/>
        </w:rPr>
        <w:t xml:space="preserve">: </w:t>
      </w:r>
    </w:p>
    <w:p w14:paraId="609256B9"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Procedimiento para formatear los validadores</w:t>
      </w:r>
      <w:r>
        <w:rPr>
          <w:rFonts w:ascii="Arial" w:hAnsi="Arial" w:cs="Arial"/>
          <w:sz w:val="20"/>
          <w:szCs w:val="20"/>
          <w:lang w:eastAsia="es-CR"/>
        </w:rPr>
        <w:t>.</w:t>
      </w:r>
    </w:p>
    <w:p w14:paraId="6915F263"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 xml:space="preserve">Procedimiento para acceder por SSH a los validadores (por ethernet y </w:t>
      </w:r>
      <w:r>
        <w:rPr>
          <w:rFonts w:ascii="Arial" w:hAnsi="Arial" w:cs="Arial"/>
          <w:sz w:val="20"/>
          <w:szCs w:val="20"/>
          <w:lang w:eastAsia="es-CR"/>
        </w:rPr>
        <w:t>W</w:t>
      </w:r>
      <w:r w:rsidRPr="004953E1">
        <w:rPr>
          <w:rFonts w:ascii="Arial" w:hAnsi="Arial" w:cs="Arial"/>
          <w:sz w:val="20"/>
          <w:szCs w:val="20"/>
          <w:lang w:eastAsia="es-CR"/>
        </w:rPr>
        <w:t>i</w:t>
      </w:r>
      <w:r>
        <w:rPr>
          <w:rFonts w:ascii="Arial" w:hAnsi="Arial" w:cs="Arial"/>
          <w:sz w:val="20"/>
          <w:szCs w:val="20"/>
          <w:lang w:eastAsia="es-CR"/>
        </w:rPr>
        <w:t>F</w:t>
      </w:r>
      <w:r w:rsidRPr="004953E1">
        <w:rPr>
          <w:rFonts w:ascii="Arial" w:hAnsi="Arial" w:cs="Arial"/>
          <w:sz w:val="20"/>
          <w:szCs w:val="20"/>
          <w:lang w:eastAsia="es-CR"/>
        </w:rPr>
        <w:t>i)</w:t>
      </w:r>
      <w:r>
        <w:rPr>
          <w:rFonts w:ascii="Arial" w:hAnsi="Arial" w:cs="Arial"/>
          <w:sz w:val="20"/>
          <w:szCs w:val="20"/>
          <w:lang w:eastAsia="es-CR"/>
        </w:rPr>
        <w:t>.</w:t>
      </w:r>
    </w:p>
    <w:p w14:paraId="0A00B17C"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Paquetes y manual de instalación del SDK y el Sysroot (Toolchain)</w:t>
      </w:r>
      <w:r>
        <w:rPr>
          <w:rFonts w:ascii="Arial" w:hAnsi="Arial" w:cs="Arial"/>
          <w:sz w:val="20"/>
          <w:szCs w:val="20"/>
          <w:lang w:eastAsia="es-CR"/>
        </w:rPr>
        <w:t>.</w:t>
      </w:r>
    </w:p>
    <w:p w14:paraId="57A59CA4"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Manual de instalación del kit de montaje en poste</w:t>
      </w:r>
      <w:r>
        <w:rPr>
          <w:rFonts w:ascii="Arial" w:hAnsi="Arial" w:cs="Arial"/>
          <w:sz w:val="20"/>
          <w:szCs w:val="20"/>
          <w:lang w:eastAsia="es-CR"/>
        </w:rPr>
        <w:t>.</w:t>
      </w:r>
    </w:p>
    <w:p w14:paraId="07771B12"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Una aplicación de ejemplo en C/C++ o Bash para leer códigos QR</w:t>
      </w:r>
      <w:r>
        <w:rPr>
          <w:rFonts w:ascii="Arial" w:hAnsi="Arial" w:cs="Arial"/>
          <w:sz w:val="20"/>
          <w:szCs w:val="20"/>
          <w:lang w:eastAsia="es-CR"/>
        </w:rPr>
        <w:t>.</w:t>
      </w:r>
    </w:p>
    <w:p w14:paraId="7F562CB2"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Una aplicación de ejemplo en C/C++ o Bash para leer los datos del módulo GPS</w:t>
      </w:r>
      <w:r>
        <w:rPr>
          <w:rFonts w:ascii="Arial" w:hAnsi="Arial" w:cs="Arial"/>
          <w:sz w:val="20"/>
          <w:szCs w:val="20"/>
          <w:lang w:eastAsia="es-CR"/>
        </w:rPr>
        <w:t>.</w:t>
      </w:r>
    </w:p>
    <w:p w14:paraId="27FD9A7B"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 xml:space="preserve">Una aplicación de ejemplo en Bash </w:t>
      </w:r>
      <w:r>
        <w:rPr>
          <w:rFonts w:ascii="Arial" w:hAnsi="Arial" w:cs="Arial"/>
          <w:sz w:val="20"/>
          <w:szCs w:val="20"/>
          <w:lang w:eastAsia="es-CR"/>
        </w:rPr>
        <w:t xml:space="preserve">para </w:t>
      </w:r>
      <w:r w:rsidRPr="004953E1">
        <w:rPr>
          <w:rFonts w:ascii="Arial" w:hAnsi="Arial" w:cs="Arial"/>
          <w:sz w:val="20"/>
          <w:szCs w:val="20"/>
          <w:lang w:eastAsia="es-CR"/>
        </w:rPr>
        <w:t>configurar la conexión por red celular</w:t>
      </w:r>
      <w:r>
        <w:rPr>
          <w:rFonts w:ascii="Arial" w:hAnsi="Arial" w:cs="Arial"/>
          <w:sz w:val="20"/>
          <w:szCs w:val="20"/>
          <w:lang w:eastAsia="es-CR"/>
        </w:rPr>
        <w:t>.</w:t>
      </w:r>
    </w:p>
    <w:p w14:paraId="471C373A" w14:textId="77777777" w:rsidR="00F87180"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Una aplicación de ejemplo en C/C++ o Bash para reproducir sonidos con formato WAV</w:t>
      </w:r>
      <w:r>
        <w:rPr>
          <w:rFonts w:ascii="Arial" w:hAnsi="Arial" w:cs="Arial"/>
          <w:sz w:val="20"/>
          <w:szCs w:val="20"/>
          <w:lang w:eastAsia="es-CR"/>
        </w:rPr>
        <w:t>.</w:t>
      </w:r>
    </w:p>
    <w:p w14:paraId="207F7E0B" w14:textId="77777777" w:rsidR="00F87180"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Pr>
          <w:rFonts w:ascii="Arial" w:hAnsi="Arial" w:cs="Arial"/>
          <w:sz w:val="20"/>
          <w:szCs w:val="20"/>
          <w:lang w:eastAsia="es-CR"/>
        </w:rPr>
        <w:t>Una aplicación de ejemplo en C/C++ o Bash para reiniciar el validador.</w:t>
      </w:r>
    </w:p>
    <w:p w14:paraId="56133AE5" w14:textId="77777777" w:rsidR="00F87180" w:rsidRPr="00B8485D"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B8485D">
        <w:rPr>
          <w:rFonts w:ascii="Arial" w:hAnsi="Arial" w:cs="Arial"/>
          <w:sz w:val="20"/>
          <w:szCs w:val="20"/>
          <w:lang w:eastAsia="es-CR"/>
        </w:rPr>
        <w:t>Documentación del módulo GPS y una aplicación de ejemplo en C/C++.</w:t>
      </w:r>
    </w:p>
    <w:p w14:paraId="3AC7474C" w14:textId="77777777" w:rsidR="00F87180" w:rsidRPr="004953E1" w:rsidRDefault="00F87180" w:rsidP="00F87180">
      <w:pPr>
        <w:pStyle w:val="Prrafodelista"/>
        <w:numPr>
          <w:ilvl w:val="1"/>
          <w:numId w:val="24"/>
        </w:numPr>
        <w:spacing w:after="120" w:line="250" w:lineRule="auto"/>
        <w:ind w:left="1134" w:hanging="218"/>
        <w:contextualSpacing w:val="0"/>
        <w:jc w:val="both"/>
        <w:rPr>
          <w:rFonts w:ascii="Arial" w:hAnsi="Arial" w:cs="Arial"/>
          <w:sz w:val="20"/>
          <w:szCs w:val="20"/>
          <w:lang w:eastAsia="es-CR"/>
        </w:rPr>
      </w:pPr>
      <w:r w:rsidRPr="004953E1">
        <w:rPr>
          <w:rFonts w:ascii="Arial" w:hAnsi="Arial" w:cs="Arial"/>
          <w:sz w:val="20"/>
          <w:szCs w:val="20"/>
          <w:lang w:eastAsia="es-CR"/>
        </w:rPr>
        <w:t>Hojas de datos de los módulos externos (QR, GPS, GSM)</w:t>
      </w:r>
      <w:r>
        <w:rPr>
          <w:rFonts w:ascii="Arial" w:hAnsi="Arial" w:cs="Arial"/>
          <w:sz w:val="20"/>
          <w:szCs w:val="20"/>
          <w:lang w:eastAsia="es-CR"/>
        </w:rPr>
        <w:t>.</w:t>
      </w:r>
    </w:p>
    <w:p w14:paraId="0A06FBDD" w14:textId="77777777" w:rsidR="00F87180" w:rsidRPr="00C72D22" w:rsidRDefault="00F87180" w:rsidP="00F87180">
      <w:pPr>
        <w:spacing w:before="0" w:line="250" w:lineRule="auto"/>
      </w:pPr>
      <w:r w:rsidRPr="00C72D22">
        <w:t xml:space="preserve">Luego de haber preparado las aplicaciones para los equipos de desarrollo, el BCCR realiza </w:t>
      </w:r>
      <w:r>
        <w:t xml:space="preserve">un conjunto de pruebas para </w:t>
      </w:r>
      <w:r w:rsidRPr="00C72D22">
        <w:t xml:space="preserve">determinar que el modelo de validador en proceso de homologación es apto para integrarse a la plataforma </w:t>
      </w:r>
      <w:r>
        <w:t xml:space="preserve">tecnológica </w:t>
      </w:r>
      <w:r w:rsidRPr="00C72D22">
        <w:t>de SINPE-TP.</w:t>
      </w:r>
      <w:r>
        <w:t xml:space="preserve"> </w:t>
      </w:r>
      <w:r w:rsidRPr="00C72D22">
        <w:t>De forma general, se realizan las siguientes pruebas:</w:t>
      </w:r>
    </w:p>
    <w:p w14:paraId="48F90B2D" w14:textId="77777777" w:rsidR="00F87180" w:rsidRPr="002E152D" w:rsidRDefault="00F87180" w:rsidP="00F87180">
      <w:pPr>
        <w:numPr>
          <w:ilvl w:val="0"/>
          <w:numId w:val="16"/>
        </w:numPr>
        <w:spacing w:before="0" w:line="250" w:lineRule="auto"/>
        <w:ind w:left="426" w:hanging="284"/>
      </w:pPr>
      <w:r w:rsidRPr="00C72D22">
        <w:t>Pruebas de aceptación del equipo de validación para evaluar su funcionamiento en los siguientes</w:t>
      </w:r>
      <w:r w:rsidRPr="002E152D">
        <w:t xml:space="preserve"> escenarios:</w:t>
      </w:r>
    </w:p>
    <w:p w14:paraId="152E988A" w14:textId="77777777" w:rsidR="00F87180" w:rsidRDefault="00F87180" w:rsidP="00F87180">
      <w:pPr>
        <w:pStyle w:val="ListaVietas"/>
        <w:numPr>
          <w:ilvl w:val="0"/>
          <w:numId w:val="17"/>
        </w:numPr>
        <w:tabs>
          <w:tab w:val="clear" w:pos="788"/>
        </w:tabs>
        <w:spacing w:line="250" w:lineRule="auto"/>
        <w:ind w:left="709" w:hanging="198"/>
      </w:pPr>
      <w:r>
        <w:lastRenderedPageBreak/>
        <w:t>El validador es conforme con el estándar de seguridad de datos de la industria de tarjetas o PCI DSS.</w:t>
      </w:r>
    </w:p>
    <w:p w14:paraId="379E9BC8" w14:textId="77777777" w:rsidR="00F87180" w:rsidRDefault="00F87180" w:rsidP="00F87180">
      <w:pPr>
        <w:pStyle w:val="ListaVietas"/>
        <w:numPr>
          <w:ilvl w:val="0"/>
          <w:numId w:val="17"/>
        </w:numPr>
        <w:tabs>
          <w:tab w:val="clear" w:pos="788"/>
        </w:tabs>
        <w:spacing w:line="250" w:lineRule="auto"/>
        <w:ind w:left="709" w:hanging="198"/>
      </w:pPr>
      <w:r>
        <w:t xml:space="preserve">El validador es conforme con el estándar </w:t>
      </w:r>
      <w:r w:rsidRPr="00C17DA8">
        <w:rPr>
          <w:i/>
          <w:iCs/>
        </w:rPr>
        <w:t>EMV</w:t>
      </w:r>
      <w:r>
        <w:rPr>
          <w:i/>
          <w:iCs/>
        </w:rPr>
        <w:t>-</w:t>
      </w:r>
      <w:r w:rsidRPr="00C17DA8">
        <w:rPr>
          <w:i/>
          <w:iCs/>
        </w:rPr>
        <w:t>Contactless</w:t>
      </w:r>
      <w:r>
        <w:t>, incluida la certificación de la marca de tarjetas de extremo a extremo.</w:t>
      </w:r>
    </w:p>
    <w:p w14:paraId="5ACB2398" w14:textId="77777777" w:rsidR="00F87180" w:rsidRPr="002E152D" w:rsidRDefault="00F87180" w:rsidP="00F87180">
      <w:pPr>
        <w:pStyle w:val="ListaVietas"/>
        <w:numPr>
          <w:ilvl w:val="0"/>
          <w:numId w:val="17"/>
        </w:numPr>
        <w:tabs>
          <w:tab w:val="clear" w:pos="788"/>
        </w:tabs>
        <w:spacing w:line="250" w:lineRule="auto"/>
        <w:ind w:left="709" w:hanging="198"/>
      </w:pPr>
      <w:r>
        <w:t xml:space="preserve">Lectura de dispositivos de pago </w:t>
      </w:r>
      <w:r w:rsidRPr="00C17DA8">
        <w:rPr>
          <w:i/>
          <w:iCs/>
        </w:rPr>
        <w:t>EMV</w:t>
      </w:r>
      <w:r>
        <w:rPr>
          <w:i/>
          <w:iCs/>
        </w:rPr>
        <w:t>-</w:t>
      </w:r>
      <w:r w:rsidRPr="00C17DA8">
        <w:rPr>
          <w:i/>
          <w:iCs/>
        </w:rPr>
        <w:t>Contactless</w:t>
      </w:r>
      <w:r>
        <w:t>,</w:t>
      </w:r>
      <w:r w:rsidRPr="00D01190">
        <w:t xml:space="preserve"> </w:t>
      </w:r>
      <w:r>
        <w:t>como mínimo de</w:t>
      </w:r>
      <w:r w:rsidRPr="00D01190">
        <w:t xml:space="preserve"> las marcas V</w:t>
      </w:r>
      <w:r>
        <w:t>ISA</w:t>
      </w:r>
      <w:r w:rsidRPr="00D01190">
        <w:t>, MasterCard y A</w:t>
      </w:r>
      <w:r>
        <w:t>merican Express.</w:t>
      </w:r>
    </w:p>
    <w:p w14:paraId="3E215330" w14:textId="77777777" w:rsidR="00F87180" w:rsidRPr="002E152D" w:rsidRDefault="00F87180" w:rsidP="00F87180">
      <w:pPr>
        <w:pStyle w:val="ListaVietas"/>
        <w:numPr>
          <w:ilvl w:val="0"/>
          <w:numId w:val="17"/>
        </w:numPr>
        <w:tabs>
          <w:tab w:val="clear" w:pos="788"/>
        </w:tabs>
        <w:spacing w:line="250" w:lineRule="auto"/>
        <w:ind w:left="709" w:hanging="198"/>
      </w:pPr>
      <w:r>
        <w:t>Validación de los dispositivos de pago contra listas de denegación o listas blancas.</w:t>
      </w:r>
    </w:p>
    <w:p w14:paraId="1F813188" w14:textId="77777777" w:rsidR="00F87180" w:rsidRPr="002E152D" w:rsidRDefault="00F87180" w:rsidP="00F87180">
      <w:pPr>
        <w:pStyle w:val="ListaVietas"/>
        <w:numPr>
          <w:ilvl w:val="0"/>
          <w:numId w:val="17"/>
        </w:numPr>
        <w:tabs>
          <w:tab w:val="clear" w:pos="788"/>
        </w:tabs>
        <w:spacing w:line="250" w:lineRule="auto"/>
        <w:ind w:left="709" w:hanging="198"/>
      </w:pPr>
      <w:r>
        <w:t>Validación de múltiples marcas (taps) con un mismo dispositivo de pago, dentro de un intervalo de tiempo corto.</w:t>
      </w:r>
    </w:p>
    <w:p w14:paraId="3A55E0C2" w14:textId="77777777" w:rsidR="00F87180" w:rsidRDefault="00F87180" w:rsidP="00F87180">
      <w:pPr>
        <w:pStyle w:val="ListaVietas"/>
        <w:numPr>
          <w:ilvl w:val="0"/>
          <w:numId w:val="17"/>
        </w:numPr>
        <w:tabs>
          <w:tab w:val="clear" w:pos="788"/>
        </w:tabs>
        <w:spacing w:line="250" w:lineRule="auto"/>
        <w:ind w:left="709" w:hanging="198"/>
      </w:pPr>
      <w:r w:rsidRPr="00B9648C">
        <w:t xml:space="preserve">Validación individual de dispositivos de pago presentados (teléfonos </w:t>
      </w:r>
      <w:r>
        <w:t xml:space="preserve">móviles </w:t>
      </w:r>
      <w:r w:rsidRPr="00B9648C">
        <w:t xml:space="preserve">o dispositivos </w:t>
      </w:r>
      <w:r w:rsidRPr="00C17DA8">
        <w:rPr>
          <w:i/>
          <w:iCs/>
        </w:rPr>
        <w:t xml:space="preserve">wearables </w:t>
      </w:r>
      <w:r w:rsidRPr="00B9648C">
        <w:t>inteligentes).</w:t>
      </w:r>
    </w:p>
    <w:p w14:paraId="0B9C4EB8" w14:textId="77777777" w:rsidR="00F87180" w:rsidRDefault="00F87180" w:rsidP="00F87180">
      <w:pPr>
        <w:pStyle w:val="ListaVietas"/>
        <w:numPr>
          <w:ilvl w:val="0"/>
          <w:numId w:val="17"/>
        </w:numPr>
        <w:tabs>
          <w:tab w:val="clear" w:pos="788"/>
        </w:tabs>
        <w:spacing w:line="250" w:lineRule="auto"/>
        <w:ind w:left="709" w:hanging="198"/>
      </w:pPr>
      <w:r>
        <w:t>El validador reproduce los sonidos y muestra la pantalla correspondiente para cada tipo de dispositivo de pago. Por ejemplo, reproduce el sonido y muestra la pantalla particular para una Tarjeta de Ciudadano de Oro.</w:t>
      </w:r>
    </w:p>
    <w:p w14:paraId="06848CF7" w14:textId="77777777" w:rsidR="00F87180" w:rsidRPr="003E20D8" w:rsidRDefault="00F87180" w:rsidP="00F87180">
      <w:pPr>
        <w:pStyle w:val="ListaVietas"/>
        <w:numPr>
          <w:ilvl w:val="0"/>
          <w:numId w:val="17"/>
        </w:numPr>
        <w:tabs>
          <w:tab w:val="clear" w:pos="788"/>
        </w:tabs>
        <w:spacing w:before="0" w:line="250" w:lineRule="auto"/>
        <w:ind w:left="709" w:hanging="198"/>
      </w:pPr>
      <w:r>
        <w:t>Cualquier otra prueba que el BCCR determine que es requerida para cumplir con los propósitos de la presente norma técnica.</w:t>
      </w:r>
    </w:p>
    <w:p w14:paraId="262081F9" w14:textId="77777777" w:rsidR="00F87180" w:rsidRPr="002E152D" w:rsidRDefault="00F87180" w:rsidP="00F87180">
      <w:pPr>
        <w:numPr>
          <w:ilvl w:val="0"/>
          <w:numId w:val="16"/>
        </w:numPr>
        <w:spacing w:before="0" w:line="250" w:lineRule="auto"/>
        <w:ind w:left="426" w:hanging="284"/>
      </w:pPr>
      <w:r w:rsidRPr="002E152D">
        <w:t>Pruebas de integración con el SCR de SINPE-TP:</w:t>
      </w:r>
    </w:p>
    <w:p w14:paraId="482707AC" w14:textId="77777777" w:rsidR="00F87180" w:rsidRPr="002E152D" w:rsidRDefault="00F87180" w:rsidP="00F87180">
      <w:pPr>
        <w:pStyle w:val="ListaVietas"/>
        <w:numPr>
          <w:ilvl w:val="0"/>
          <w:numId w:val="17"/>
        </w:numPr>
        <w:tabs>
          <w:tab w:val="clear" w:pos="788"/>
        </w:tabs>
        <w:spacing w:line="250" w:lineRule="auto"/>
        <w:ind w:left="709" w:hanging="198"/>
        <w:rPr>
          <w:lang w:val="es-ES_tradnl" w:eastAsia="es-ES"/>
        </w:rPr>
      </w:pPr>
      <w:r>
        <w:t>El validador se conecta correctamente con el SCR, conforme con los requerimientos de seguridad establecidos al efecto.</w:t>
      </w:r>
    </w:p>
    <w:p w14:paraId="1C5E1FA3" w14:textId="77777777" w:rsidR="00F87180" w:rsidRPr="002E152D" w:rsidRDefault="00F87180" w:rsidP="00F87180">
      <w:pPr>
        <w:pStyle w:val="ListaVietas"/>
        <w:numPr>
          <w:ilvl w:val="0"/>
          <w:numId w:val="17"/>
        </w:numPr>
        <w:tabs>
          <w:tab w:val="clear" w:pos="788"/>
        </w:tabs>
        <w:spacing w:line="250" w:lineRule="auto"/>
        <w:ind w:left="709" w:hanging="198"/>
        <w:rPr>
          <w:lang w:val="es-ES_tradnl" w:eastAsia="es-ES"/>
        </w:rPr>
      </w:pPr>
      <w:r>
        <w:t>El validador se sincroniza y configura conforme con los requerimientos de SINPE-TP.</w:t>
      </w:r>
    </w:p>
    <w:p w14:paraId="61F074FF" w14:textId="77777777" w:rsidR="00F87180" w:rsidRPr="002E152D" w:rsidRDefault="00F87180" w:rsidP="00F87180">
      <w:pPr>
        <w:pStyle w:val="ListaVietas"/>
        <w:numPr>
          <w:ilvl w:val="0"/>
          <w:numId w:val="17"/>
        </w:numPr>
        <w:tabs>
          <w:tab w:val="clear" w:pos="788"/>
        </w:tabs>
        <w:spacing w:line="250" w:lineRule="auto"/>
        <w:ind w:left="709" w:hanging="198"/>
        <w:rPr>
          <w:lang w:val="es-ES_tradnl" w:eastAsia="es-ES"/>
        </w:rPr>
      </w:pPr>
      <w:r w:rsidRPr="002E152D">
        <w:t>E</w:t>
      </w:r>
      <w:r w:rsidRPr="002E152D">
        <w:rPr>
          <w:lang w:val="es-ES_tradnl" w:eastAsia="es-ES"/>
        </w:rPr>
        <w:t xml:space="preserve">l </w:t>
      </w:r>
      <w:r w:rsidRPr="002E152D">
        <w:t>validador</w:t>
      </w:r>
      <w:r w:rsidRPr="002E152D">
        <w:rPr>
          <w:lang w:val="es-ES_tradnl" w:eastAsia="es-ES"/>
        </w:rPr>
        <w:t xml:space="preserve"> </w:t>
      </w:r>
      <w:r>
        <w:rPr>
          <w:lang w:val="es-ES_tradnl" w:eastAsia="es-ES"/>
        </w:rPr>
        <w:t>envía al SCR la información de pago (información del dispositivo de pago) y del viaje (posición GPS y otros), en cada marca (tap) transmitida.</w:t>
      </w:r>
    </w:p>
    <w:p w14:paraId="60C55119" w14:textId="77777777" w:rsidR="00F87180" w:rsidRDefault="00F87180" w:rsidP="00F87180">
      <w:pPr>
        <w:pStyle w:val="ListaVietas"/>
        <w:numPr>
          <w:ilvl w:val="0"/>
          <w:numId w:val="17"/>
        </w:numPr>
        <w:tabs>
          <w:tab w:val="clear" w:pos="788"/>
        </w:tabs>
        <w:spacing w:before="0" w:line="250" w:lineRule="auto"/>
        <w:ind w:left="709" w:hanging="198"/>
        <w:rPr>
          <w:lang w:val="es-ES_tradnl" w:eastAsia="es-ES"/>
        </w:rPr>
      </w:pPr>
      <w:r w:rsidRPr="002E152D">
        <w:t>E</w:t>
      </w:r>
      <w:r w:rsidRPr="002E152D">
        <w:rPr>
          <w:lang w:val="es-ES_tradnl" w:eastAsia="es-ES"/>
        </w:rPr>
        <w:t xml:space="preserve">l validador </w:t>
      </w:r>
      <w:r>
        <w:t>tiene la capacidad de enviar al SCR información del dispositivo de pago relacionada con las actividades de monitoreo</w:t>
      </w:r>
      <w:r w:rsidRPr="002E152D">
        <w:rPr>
          <w:lang w:val="es-ES_tradnl" w:eastAsia="es-ES"/>
        </w:rPr>
        <w:t>.</w:t>
      </w:r>
    </w:p>
    <w:p w14:paraId="0CC50C98" w14:textId="77777777" w:rsidR="00F87180" w:rsidRPr="00074E67" w:rsidRDefault="00F87180" w:rsidP="00F87180">
      <w:pPr>
        <w:spacing w:before="0" w:after="0" w:line="250" w:lineRule="auto"/>
        <w:jc w:val="center"/>
        <w:rPr>
          <w:b/>
          <w:bCs/>
        </w:rPr>
      </w:pPr>
      <w:r w:rsidRPr="00074E67">
        <w:rPr>
          <w:b/>
          <w:bCs/>
        </w:rPr>
        <w:t>Figu</w:t>
      </w:r>
      <w:r>
        <w:rPr>
          <w:b/>
          <w:bCs/>
        </w:rPr>
        <w:t>r</w:t>
      </w:r>
      <w:r w:rsidRPr="00074E67">
        <w:rPr>
          <w:b/>
          <w:bCs/>
        </w:rPr>
        <w:t xml:space="preserve">a </w:t>
      </w:r>
      <w:r>
        <w:rPr>
          <w:b/>
          <w:bCs/>
        </w:rPr>
        <w:t>2</w:t>
      </w:r>
    </w:p>
    <w:p w14:paraId="7E80D4E5" w14:textId="77777777" w:rsidR="00F87180" w:rsidRDefault="00F87180" w:rsidP="00F87180">
      <w:pPr>
        <w:spacing w:before="0" w:after="60" w:line="250" w:lineRule="auto"/>
        <w:jc w:val="center"/>
        <w:rPr>
          <w:b/>
          <w:bCs/>
        </w:rPr>
      </w:pPr>
      <w:r w:rsidRPr="00074E67">
        <w:rPr>
          <w:b/>
          <w:bCs/>
        </w:rPr>
        <w:t>Flujo</w:t>
      </w:r>
      <w:r>
        <w:rPr>
          <w:b/>
          <w:bCs/>
        </w:rPr>
        <w:t xml:space="preserve"> </w:t>
      </w:r>
      <w:r w:rsidRPr="00074E67">
        <w:rPr>
          <w:b/>
          <w:bCs/>
        </w:rPr>
        <w:t xml:space="preserve">de la </w:t>
      </w:r>
      <w:r>
        <w:rPr>
          <w:b/>
          <w:bCs/>
        </w:rPr>
        <w:t>segunda</w:t>
      </w:r>
      <w:r w:rsidRPr="00074E67">
        <w:rPr>
          <w:b/>
          <w:bCs/>
        </w:rPr>
        <w:t xml:space="preserve"> etapa del proceso de homologación</w:t>
      </w:r>
      <w:r>
        <w:rPr>
          <w:b/>
          <w:bCs/>
        </w:rPr>
        <w:t xml:space="preserve"> de SINPE-TP</w:t>
      </w:r>
    </w:p>
    <w:p w14:paraId="2F743F71" w14:textId="77777777" w:rsidR="00F87180" w:rsidRPr="00074E67" w:rsidRDefault="00F87180" w:rsidP="00F87180">
      <w:pPr>
        <w:spacing w:before="0" w:after="60" w:line="250" w:lineRule="auto"/>
        <w:jc w:val="center"/>
        <w:rPr>
          <w:b/>
          <w:bCs/>
        </w:rPr>
      </w:pPr>
      <w:r>
        <w:rPr>
          <w:b/>
          <w:bCs/>
          <w:noProof/>
        </w:rPr>
        <w:drawing>
          <wp:inline distT="0" distB="0" distL="0" distR="0" wp14:anchorId="43035D36" wp14:editId="3B85D140">
            <wp:extent cx="5523773" cy="3061252"/>
            <wp:effectExtent l="0" t="0" r="1270" b="6350"/>
            <wp:docPr id="1622915355" name="Imagen 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15355" name="Imagen 4" descr="Diagrama&#10;&#10;El contenido generado por IA puede ser incorrec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8550" cy="3080525"/>
                    </a:xfrm>
                    <a:prstGeom prst="rect">
                      <a:avLst/>
                    </a:prstGeom>
                    <a:noFill/>
                    <a:ln>
                      <a:noFill/>
                    </a:ln>
                  </pic:spPr>
                </pic:pic>
              </a:graphicData>
            </a:graphic>
          </wp:inline>
        </w:drawing>
      </w:r>
    </w:p>
    <w:p w14:paraId="19B29B69" w14:textId="77777777" w:rsidR="00F87180" w:rsidRDefault="00F87180" w:rsidP="00F87180">
      <w:pPr>
        <w:pStyle w:val="Ttulo3"/>
        <w:numPr>
          <w:ilvl w:val="2"/>
          <w:numId w:val="3"/>
        </w:numPr>
        <w:tabs>
          <w:tab w:val="clear" w:pos="624"/>
        </w:tabs>
        <w:spacing w:line="250" w:lineRule="auto"/>
        <w:ind w:left="709" w:hanging="720"/>
      </w:pPr>
      <w:bookmarkStart w:id="102" w:name="_Toc110533290"/>
      <w:bookmarkStart w:id="103" w:name="_Toc111654299"/>
      <w:bookmarkStart w:id="104" w:name="_Toc215998985"/>
      <w:bookmarkStart w:id="105" w:name="_Toc216716494"/>
      <w:r>
        <w:lastRenderedPageBreak/>
        <w:t xml:space="preserve">Tercera etapa: pruebas </w:t>
      </w:r>
      <w:bookmarkEnd w:id="102"/>
      <w:r>
        <w:t>en el ambiente de producción</w:t>
      </w:r>
      <w:bookmarkEnd w:id="103"/>
      <w:bookmarkEnd w:id="104"/>
      <w:bookmarkEnd w:id="105"/>
    </w:p>
    <w:p w14:paraId="7400B7F3" w14:textId="77777777" w:rsidR="00F87180" w:rsidRPr="002E152D" w:rsidRDefault="00F87180" w:rsidP="00F87180">
      <w:pPr>
        <w:spacing w:before="0" w:line="250" w:lineRule="auto"/>
      </w:pPr>
      <w:r w:rsidRPr="00415CF3">
        <w:t>Una vez finalizadas las pruebas de laboratorio, los equipos de validación</w:t>
      </w:r>
      <w:r w:rsidRPr="00907FBD">
        <w:t xml:space="preserve"> pasan a </w:t>
      </w:r>
      <w:r w:rsidRPr="00866ACA">
        <w:t xml:space="preserve">la etapa de </w:t>
      </w:r>
      <w:r w:rsidRPr="002E152D">
        <w:t>pruebas en el ambiente de producción</w:t>
      </w:r>
      <w:r>
        <w:t xml:space="preserve"> (pruebas en el campo)</w:t>
      </w:r>
      <w:r w:rsidRPr="002E152D">
        <w:t xml:space="preserve">, </w:t>
      </w:r>
      <w:r>
        <w:t xml:space="preserve">para </w:t>
      </w:r>
      <w:r w:rsidRPr="002E152D">
        <w:t xml:space="preserve">verificar que atiendan de manera correcta la operación normal del pago electrónico </w:t>
      </w:r>
      <w:r>
        <w:t xml:space="preserve">desde los autobuses </w:t>
      </w:r>
      <w:r w:rsidRPr="002E152D">
        <w:t xml:space="preserve">en </w:t>
      </w:r>
      <w:r>
        <w:t>los que son instalados</w:t>
      </w:r>
      <w:r w:rsidRPr="002E152D">
        <w:t>.</w:t>
      </w:r>
    </w:p>
    <w:p w14:paraId="5A9DD6F1" w14:textId="77777777" w:rsidR="00F87180" w:rsidRDefault="00F87180" w:rsidP="00F87180">
      <w:pPr>
        <w:spacing w:before="0" w:line="250" w:lineRule="auto"/>
      </w:pPr>
      <w:r w:rsidRPr="002C5EFB">
        <w:rPr>
          <w:lang w:val="es-ES_tradnl" w:eastAsia="es-ES"/>
        </w:rPr>
        <w:t xml:space="preserve">Para realizar estas pruebas, el solicitante debe entregar al BCCR cinco equipos de producción </w:t>
      </w:r>
      <w:r w:rsidRPr="002C5EFB">
        <w:t xml:space="preserve">de la marca y el modelo </w:t>
      </w:r>
      <w:r>
        <w:t>en proceso de homologación,</w:t>
      </w:r>
      <w:r w:rsidRPr="002C5EFB">
        <w:t xml:space="preserve"> en los cuales el BCCR instala y configura </w:t>
      </w:r>
      <w:r>
        <w:t>la aplicación de pagos, de conformidad con lo que establece el apartado 8.1.2 de la presente norma técnica.</w:t>
      </w:r>
    </w:p>
    <w:p w14:paraId="744BCA84" w14:textId="77777777" w:rsidR="00F87180" w:rsidRDefault="00F87180" w:rsidP="00F87180">
      <w:pPr>
        <w:spacing w:before="0" w:line="250" w:lineRule="auto"/>
      </w:pPr>
      <w:r>
        <w:t xml:space="preserve">Luego de configurar los equipos para operar en el ambiente de producción de SINPE-TP, el BCCR los </w:t>
      </w:r>
      <w:r w:rsidRPr="002C5EFB">
        <w:t xml:space="preserve">devuelve al solicitante para que </w:t>
      </w:r>
      <w:r>
        <w:t xml:space="preserve">proceda con su instalación </w:t>
      </w:r>
      <w:r w:rsidRPr="002C5EFB">
        <w:t xml:space="preserve">en </w:t>
      </w:r>
      <w:r>
        <w:t xml:space="preserve">los </w:t>
      </w:r>
      <w:r>
        <w:rPr>
          <w:lang w:val="es-ES_tradnl" w:eastAsia="es-ES"/>
        </w:rPr>
        <w:t>autobuses</w:t>
      </w:r>
      <w:r w:rsidRPr="002C5EFB">
        <w:t xml:space="preserve"> especificad</w:t>
      </w:r>
      <w:r>
        <w:t>o</w:t>
      </w:r>
      <w:r w:rsidRPr="002C5EFB">
        <w:t xml:space="preserve">s en el Anexo </w:t>
      </w:r>
      <w:r>
        <w:t>0</w:t>
      </w:r>
      <w:r w:rsidRPr="002C5EFB">
        <w:t>3</w:t>
      </w:r>
      <w:r>
        <w:t xml:space="preserve"> de la presente norma técnica.</w:t>
      </w:r>
    </w:p>
    <w:p w14:paraId="1AA52A88" w14:textId="77777777" w:rsidR="00F87180" w:rsidRPr="002C5EFB" w:rsidRDefault="00F87180" w:rsidP="00F87180">
      <w:pPr>
        <w:spacing w:before="0" w:line="250" w:lineRule="auto"/>
      </w:pPr>
      <w:r>
        <w:t xml:space="preserve">En todos los casos, el solicitante debe preparar previamente los equipos de validación para asegurar su correcto funcionamiento en los </w:t>
      </w:r>
      <w:r>
        <w:rPr>
          <w:lang w:val="es-ES_tradnl" w:eastAsia="es-ES"/>
        </w:rPr>
        <w:t>autobuses</w:t>
      </w:r>
      <w:r>
        <w:t xml:space="preserve"> en los que sean instalados.</w:t>
      </w:r>
    </w:p>
    <w:p w14:paraId="4D5D718E" w14:textId="77777777" w:rsidR="00F87180" w:rsidRDefault="00F87180" w:rsidP="00F87180">
      <w:pPr>
        <w:spacing w:before="0" w:line="250" w:lineRule="auto"/>
      </w:pPr>
      <w:r w:rsidRPr="002C5EFB">
        <w:t xml:space="preserve">El solicitante debe notificar al BCCR </w:t>
      </w:r>
      <w:r>
        <w:t xml:space="preserve">la finalización de los trabajos relacionados con la </w:t>
      </w:r>
      <w:r w:rsidRPr="002C5EFB">
        <w:t>instalación de los equipos de validación en l</w:t>
      </w:r>
      <w:r>
        <w:t>o</w:t>
      </w:r>
      <w:r w:rsidRPr="002C5EFB">
        <w:t>s</w:t>
      </w:r>
      <w:r w:rsidRPr="002E152D">
        <w:t xml:space="preserve"> </w:t>
      </w:r>
      <w:r>
        <w:rPr>
          <w:lang w:val="es-ES_tradnl" w:eastAsia="es-ES"/>
        </w:rPr>
        <w:t>autobuses</w:t>
      </w:r>
      <w:r>
        <w:t xml:space="preserve">, con el propósito de </w:t>
      </w:r>
      <w:r w:rsidRPr="002E152D">
        <w:t>que</w:t>
      </w:r>
      <w:r>
        <w:t xml:space="preserve"> el BCCR pueda verificar que la instalación cumple con los requerimientos establecidos por la presente norma y la Norma Técnica – Operación del Servicio de Validación de SINPE-TP. Dicha notificación la debe realizar el solicitante como precondición para iniciar las </w:t>
      </w:r>
      <w:r w:rsidRPr="002E152D">
        <w:t>pruebas en producción.</w:t>
      </w:r>
    </w:p>
    <w:p w14:paraId="14DA3FBD" w14:textId="77777777" w:rsidR="00F87180" w:rsidRDefault="00F87180" w:rsidP="00F87180">
      <w:pPr>
        <w:spacing w:before="0" w:line="250" w:lineRule="auto"/>
      </w:pPr>
      <w:r w:rsidRPr="002E152D">
        <w:t xml:space="preserve">El solicitante </w:t>
      </w:r>
      <w:r w:rsidRPr="002E152D">
        <w:rPr>
          <w:lang w:val="es-ES_tradnl"/>
        </w:rPr>
        <w:t xml:space="preserve">debe proveer el soporte </w:t>
      </w:r>
      <w:r>
        <w:rPr>
          <w:lang w:val="es-ES_tradnl"/>
        </w:rPr>
        <w:t xml:space="preserve">técnico y administrativo que el </w:t>
      </w:r>
      <w:r w:rsidRPr="002E152D">
        <w:rPr>
          <w:lang w:val="es-ES_tradnl"/>
        </w:rPr>
        <w:t xml:space="preserve">BCCR </w:t>
      </w:r>
      <w:r>
        <w:rPr>
          <w:lang w:val="es-ES_tradnl"/>
        </w:rPr>
        <w:t xml:space="preserve">le requiera </w:t>
      </w:r>
      <w:r w:rsidRPr="002E152D">
        <w:rPr>
          <w:lang w:val="es-ES_tradnl"/>
        </w:rPr>
        <w:t xml:space="preserve">para </w:t>
      </w:r>
      <w:r>
        <w:rPr>
          <w:lang w:val="es-ES_tradnl"/>
        </w:rPr>
        <w:t xml:space="preserve">ejecutar </w:t>
      </w:r>
      <w:r w:rsidRPr="002E152D">
        <w:rPr>
          <w:lang w:val="es-ES_tradnl"/>
        </w:rPr>
        <w:t>adecuadamente las pruebas en producción</w:t>
      </w:r>
      <w:r>
        <w:rPr>
          <w:lang w:val="es-ES_tradnl"/>
        </w:rPr>
        <w:t>, de manera que pueda llevar a cabo las actividades relacionadas sin contratiempos.</w:t>
      </w:r>
      <w:r w:rsidRPr="002E152D">
        <w:rPr>
          <w:lang w:val="es-ES_tradnl"/>
        </w:rPr>
        <w:t xml:space="preserve"> La fal</w:t>
      </w:r>
      <w:r>
        <w:rPr>
          <w:lang w:val="es-ES_tradnl"/>
        </w:rPr>
        <w:t>t</w:t>
      </w:r>
      <w:r w:rsidRPr="002E152D">
        <w:rPr>
          <w:lang w:val="es-ES_tradnl"/>
        </w:rPr>
        <w:t>a de este soporte se considera un incumplimiento de las responsabilidades del solicitante frente al proceso de homologación</w:t>
      </w:r>
      <w:r>
        <w:rPr>
          <w:lang w:val="es-ES_tradnl"/>
        </w:rPr>
        <w:t xml:space="preserve"> de SINPE-TP</w:t>
      </w:r>
      <w:r w:rsidRPr="002E152D">
        <w:rPr>
          <w:lang w:val="es-ES_tradnl"/>
        </w:rPr>
        <w:t>, y podrá dar lugar a la suspensión de dicho proceso</w:t>
      </w:r>
      <w:r>
        <w:t>, conforme lo determine el BCCR de manera fundamentada.</w:t>
      </w:r>
    </w:p>
    <w:p w14:paraId="13CBDF66" w14:textId="77777777" w:rsidR="00F87180" w:rsidRPr="00074E67" w:rsidRDefault="00F87180" w:rsidP="00F87180">
      <w:pPr>
        <w:spacing w:before="0" w:after="0" w:line="250" w:lineRule="auto"/>
        <w:jc w:val="center"/>
        <w:rPr>
          <w:b/>
          <w:bCs/>
        </w:rPr>
      </w:pPr>
      <w:r w:rsidRPr="00074E67">
        <w:rPr>
          <w:b/>
          <w:bCs/>
        </w:rPr>
        <w:t>Figu</w:t>
      </w:r>
      <w:r>
        <w:rPr>
          <w:b/>
          <w:bCs/>
        </w:rPr>
        <w:t>r</w:t>
      </w:r>
      <w:r w:rsidRPr="00074E67">
        <w:rPr>
          <w:b/>
          <w:bCs/>
        </w:rPr>
        <w:t xml:space="preserve">a </w:t>
      </w:r>
      <w:r>
        <w:rPr>
          <w:b/>
          <w:bCs/>
        </w:rPr>
        <w:t>3</w:t>
      </w:r>
    </w:p>
    <w:p w14:paraId="0F460634" w14:textId="77777777" w:rsidR="00F87180" w:rsidRDefault="00F87180" w:rsidP="00F87180">
      <w:pPr>
        <w:spacing w:before="0" w:after="60" w:line="250" w:lineRule="auto"/>
        <w:jc w:val="center"/>
        <w:rPr>
          <w:b/>
          <w:bCs/>
        </w:rPr>
      </w:pPr>
      <w:r w:rsidRPr="00074E67">
        <w:rPr>
          <w:b/>
          <w:bCs/>
        </w:rPr>
        <w:t>Flujo</w:t>
      </w:r>
      <w:r>
        <w:rPr>
          <w:b/>
          <w:bCs/>
        </w:rPr>
        <w:t xml:space="preserve"> </w:t>
      </w:r>
      <w:r w:rsidRPr="00074E67">
        <w:rPr>
          <w:b/>
          <w:bCs/>
        </w:rPr>
        <w:t xml:space="preserve">de la </w:t>
      </w:r>
      <w:r>
        <w:rPr>
          <w:b/>
          <w:bCs/>
        </w:rPr>
        <w:t>tercera</w:t>
      </w:r>
      <w:r w:rsidRPr="00074E67">
        <w:rPr>
          <w:b/>
          <w:bCs/>
        </w:rPr>
        <w:t xml:space="preserve"> etapa del proceso de homologación</w:t>
      </w:r>
      <w:r>
        <w:rPr>
          <w:b/>
          <w:bCs/>
        </w:rPr>
        <w:t xml:space="preserve"> de SINPE-TP</w:t>
      </w:r>
    </w:p>
    <w:p w14:paraId="0C68AA92" w14:textId="77777777" w:rsidR="00F87180" w:rsidRPr="00074E67" w:rsidRDefault="00F87180" w:rsidP="00F87180">
      <w:pPr>
        <w:spacing w:before="0" w:after="0" w:line="250" w:lineRule="auto"/>
        <w:jc w:val="center"/>
        <w:rPr>
          <w:b/>
          <w:bCs/>
        </w:rPr>
      </w:pPr>
      <w:r>
        <w:rPr>
          <w:b/>
          <w:bCs/>
          <w:noProof/>
        </w:rPr>
        <w:drawing>
          <wp:inline distT="0" distB="0" distL="0" distR="0" wp14:anchorId="09EC8AC2" wp14:editId="17B94F1B">
            <wp:extent cx="5699515" cy="3816626"/>
            <wp:effectExtent l="0" t="0" r="0" b="0"/>
            <wp:docPr id="236677113" name="Imagen 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77113" name="Imagen 5" descr="Diagrama&#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2393" cy="3838643"/>
                    </a:xfrm>
                    <a:prstGeom prst="rect">
                      <a:avLst/>
                    </a:prstGeom>
                    <a:noFill/>
                    <a:ln>
                      <a:noFill/>
                    </a:ln>
                  </pic:spPr>
                </pic:pic>
              </a:graphicData>
            </a:graphic>
          </wp:inline>
        </w:drawing>
      </w:r>
    </w:p>
    <w:p w14:paraId="266466ED" w14:textId="77777777" w:rsidR="00F87180" w:rsidRDefault="00F87180" w:rsidP="00F87180">
      <w:pPr>
        <w:pStyle w:val="Ttulo2"/>
        <w:numPr>
          <w:ilvl w:val="1"/>
          <w:numId w:val="3"/>
        </w:numPr>
        <w:tabs>
          <w:tab w:val="clear" w:pos="510"/>
        </w:tabs>
        <w:spacing w:line="250" w:lineRule="auto"/>
        <w:ind w:left="426" w:hanging="435"/>
      </w:pPr>
      <w:bookmarkStart w:id="106" w:name="_Toc134215881"/>
      <w:bookmarkStart w:id="107" w:name="_Toc134215882"/>
      <w:bookmarkStart w:id="108" w:name="_Toc110533291"/>
      <w:bookmarkStart w:id="109" w:name="_Toc111654300"/>
      <w:bookmarkStart w:id="110" w:name="_Toc215998986"/>
      <w:bookmarkStart w:id="111" w:name="_Toc216716495"/>
      <w:bookmarkEnd w:id="106"/>
      <w:bookmarkEnd w:id="107"/>
      <w:r>
        <w:lastRenderedPageBreak/>
        <w:t>Notificación de resultados</w:t>
      </w:r>
      <w:bookmarkEnd w:id="108"/>
      <w:bookmarkEnd w:id="109"/>
      <w:bookmarkEnd w:id="110"/>
      <w:bookmarkEnd w:id="111"/>
      <w:r>
        <w:t xml:space="preserve"> </w:t>
      </w:r>
    </w:p>
    <w:p w14:paraId="74CD5B4D" w14:textId="77777777" w:rsidR="00F87180" w:rsidRPr="002C5EFB" w:rsidRDefault="00F87180" w:rsidP="00F87180">
      <w:pPr>
        <w:spacing w:before="0" w:line="250" w:lineRule="auto"/>
        <w:rPr>
          <w:lang w:val="es-ES_tradnl" w:eastAsia="es-ES"/>
        </w:rPr>
      </w:pPr>
      <w:r>
        <w:rPr>
          <w:lang w:val="es-ES_tradnl" w:eastAsia="es-ES"/>
        </w:rPr>
        <w:t xml:space="preserve">El </w:t>
      </w:r>
      <w:r w:rsidRPr="007E4558">
        <w:rPr>
          <w:lang w:val="es-ES_tradnl" w:eastAsia="es-ES"/>
        </w:rPr>
        <w:t>BCCR</w:t>
      </w:r>
      <w:r>
        <w:rPr>
          <w:lang w:val="es-ES_tradnl" w:eastAsia="es-ES"/>
        </w:rPr>
        <w:t xml:space="preserve"> </w:t>
      </w:r>
      <w:r w:rsidRPr="007E4558">
        <w:rPr>
          <w:lang w:val="es-ES_tradnl" w:eastAsia="es-ES"/>
        </w:rPr>
        <w:t>comunica</w:t>
      </w:r>
      <w:r>
        <w:rPr>
          <w:lang w:val="es-ES_tradnl" w:eastAsia="es-ES"/>
        </w:rPr>
        <w:t xml:space="preserve">rá formalmente al solicitante, </w:t>
      </w:r>
      <w:r w:rsidRPr="00783DC3">
        <w:t>mediante un oficio suscrito por el director de la División Sistemas de Pago</w:t>
      </w:r>
      <w:r>
        <w:t>,</w:t>
      </w:r>
      <w:r w:rsidRPr="007E4558">
        <w:rPr>
          <w:lang w:val="es-ES_tradnl" w:eastAsia="es-ES"/>
        </w:rPr>
        <w:t xml:space="preserve"> la resolución que acredita </w:t>
      </w:r>
      <w:r>
        <w:rPr>
          <w:lang w:val="es-ES_tradnl" w:eastAsia="es-ES"/>
        </w:rPr>
        <w:t>al</w:t>
      </w:r>
      <w:r w:rsidRPr="007E4558">
        <w:rPr>
          <w:lang w:val="es-ES_tradnl" w:eastAsia="es-ES"/>
        </w:rPr>
        <w:t xml:space="preserve"> equipo </w:t>
      </w:r>
      <w:r>
        <w:rPr>
          <w:lang w:val="es-ES_tradnl" w:eastAsia="es-ES"/>
        </w:rPr>
        <w:t xml:space="preserve">tecnológico </w:t>
      </w:r>
      <w:r w:rsidRPr="007E4558">
        <w:rPr>
          <w:lang w:val="es-ES_tradnl" w:eastAsia="es-ES"/>
        </w:rPr>
        <w:t xml:space="preserve">como </w:t>
      </w:r>
      <w:r>
        <w:rPr>
          <w:lang w:val="es-ES_tradnl" w:eastAsia="es-ES"/>
        </w:rPr>
        <w:t xml:space="preserve">equipo de validación </w:t>
      </w:r>
      <w:r w:rsidRPr="007E4558">
        <w:rPr>
          <w:lang w:val="es-ES_tradnl" w:eastAsia="es-ES"/>
        </w:rPr>
        <w:t>homologado para operar en SINPE-TP</w:t>
      </w:r>
      <w:r>
        <w:rPr>
          <w:lang w:val="es-ES_tradnl" w:eastAsia="es-ES"/>
        </w:rPr>
        <w:t xml:space="preserve">, </w:t>
      </w:r>
      <w:r w:rsidRPr="002C5EFB">
        <w:rPr>
          <w:lang w:val="es-ES_tradnl" w:eastAsia="es-ES"/>
        </w:rPr>
        <w:t>luego de que</w:t>
      </w:r>
      <w:r>
        <w:rPr>
          <w:lang w:val="es-ES_tradnl" w:eastAsia="es-ES"/>
        </w:rPr>
        <w:t xml:space="preserve"> </w:t>
      </w:r>
      <w:r w:rsidRPr="002C5EFB">
        <w:rPr>
          <w:lang w:val="es-ES_tradnl" w:eastAsia="es-ES"/>
        </w:rPr>
        <w:t xml:space="preserve">las tres etapas del proceso de homologación </w:t>
      </w:r>
      <w:r>
        <w:rPr>
          <w:lang w:val="es-ES_tradnl" w:eastAsia="es-ES"/>
        </w:rPr>
        <w:t xml:space="preserve">se </w:t>
      </w:r>
      <w:r w:rsidRPr="002C5EFB">
        <w:rPr>
          <w:lang w:val="es-ES_tradnl" w:eastAsia="es-ES"/>
        </w:rPr>
        <w:t>concluy</w:t>
      </w:r>
      <w:r>
        <w:rPr>
          <w:lang w:val="es-ES_tradnl" w:eastAsia="es-ES"/>
        </w:rPr>
        <w:t>an</w:t>
      </w:r>
      <w:r w:rsidRPr="002C5EFB">
        <w:rPr>
          <w:lang w:val="es-ES_tradnl" w:eastAsia="es-ES"/>
        </w:rPr>
        <w:t xml:space="preserve"> con resultado</w:t>
      </w:r>
      <w:r>
        <w:rPr>
          <w:lang w:val="es-ES_tradnl" w:eastAsia="es-ES"/>
        </w:rPr>
        <w:t>s</w:t>
      </w:r>
      <w:r w:rsidRPr="002C5EFB">
        <w:rPr>
          <w:lang w:val="es-ES_tradnl" w:eastAsia="es-ES"/>
        </w:rPr>
        <w:t xml:space="preserve"> satisfactorio</w:t>
      </w:r>
      <w:r>
        <w:rPr>
          <w:lang w:val="es-ES_tradnl" w:eastAsia="es-ES"/>
        </w:rPr>
        <w:t>s</w:t>
      </w:r>
      <w:r w:rsidRPr="002C5EFB">
        <w:rPr>
          <w:lang w:val="es-ES_tradnl" w:eastAsia="es-ES"/>
        </w:rPr>
        <w:t>.</w:t>
      </w:r>
    </w:p>
    <w:p w14:paraId="05348493" w14:textId="77777777" w:rsidR="00F87180" w:rsidRPr="002C5EFB" w:rsidRDefault="00F87180" w:rsidP="00F87180">
      <w:pPr>
        <w:spacing w:before="0" w:line="250" w:lineRule="auto"/>
        <w:rPr>
          <w:lang w:val="es-ES_tradnl" w:eastAsia="es-ES"/>
        </w:rPr>
      </w:pPr>
      <w:r w:rsidRPr="002C5EFB">
        <w:rPr>
          <w:lang w:val="es-ES_tradnl" w:eastAsia="es-ES"/>
        </w:rPr>
        <w:t xml:space="preserve">De la misma forma, y en el caso de que el resultado del proceso no sea exitoso, el BCCR </w:t>
      </w:r>
      <w:r>
        <w:rPr>
          <w:lang w:val="es-ES_tradnl" w:eastAsia="es-ES"/>
        </w:rPr>
        <w:t>comunicará</w:t>
      </w:r>
      <w:r w:rsidRPr="002C5EFB">
        <w:rPr>
          <w:lang w:val="es-ES_tradnl" w:eastAsia="es-ES"/>
        </w:rPr>
        <w:t xml:space="preserve"> formalmente la situación</w:t>
      </w:r>
      <w:r>
        <w:rPr>
          <w:lang w:val="es-ES_tradnl" w:eastAsia="es-ES"/>
        </w:rPr>
        <w:t xml:space="preserve"> </w:t>
      </w:r>
      <w:r w:rsidRPr="002C5EFB">
        <w:rPr>
          <w:lang w:val="es-ES_tradnl" w:eastAsia="es-ES"/>
        </w:rPr>
        <w:t>al solicitante.</w:t>
      </w:r>
      <w:r>
        <w:rPr>
          <w:lang w:val="es-ES_tradnl" w:eastAsia="es-ES"/>
        </w:rPr>
        <w:t xml:space="preserve"> </w:t>
      </w:r>
      <w:r w:rsidRPr="002C5EFB">
        <w:rPr>
          <w:lang w:val="es-ES_tradnl" w:eastAsia="es-ES"/>
        </w:rPr>
        <w:t>En este otro caso proceden en favor del solicitante los recursos de revocatoria y apelación, el primero lo conocerá y resolverá el Director de la División Sistemas de Pago del BCCR, y el segundo lo conoce y res</w:t>
      </w:r>
      <w:r>
        <w:rPr>
          <w:lang w:val="es-ES_tradnl" w:eastAsia="es-ES"/>
        </w:rPr>
        <w:t>uelve</w:t>
      </w:r>
      <w:r w:rsidRPr="002C5EFB">
        <w:rPr>
          <w:lang w:val="es-ES_tradnl" w:eastAsia="es-ES"/>
        </w:rPr>
        <w:t xml:space="preserve"> la Gerencia del BCCR, </w:t>
      </w:r>
      <w:r>
        <w:rPr>
          <w:lang w:val="es-ES_tradnl" w:eastAsia="es-ES"/>
        </w:rPr>
        <w:t>la cual</w:t>
      </w:r>
      <w:r w:rsidRPr="002C5EFB">
        <w:rPr>
          <w:lang w:val="es-ES_tradnl" w:eastAsia="es-ES"/>
        </w:rPr>
        <w:t xml:space="preserve"> agota la vía administrativa.</w:t>
      </w:r>
    </w:p>
    <w:p w14:paraId="4ACEA895" w14:textId="77777777" w:rsidR="00F87180" w:rsidRDefault="00F87180" w:rsidP="00F87180">
      <w:pPr>
        <w:spacing w:before="0" w:line="250" w:lineRule="auto"/>
      </w:pPr>
      <w:r w:rsidRPr="002C5EFB">
        <w:t xml:space="preserve">El BCCR completará el Anexo </w:t>
      </w:r>
      <w:r>
        <w:t>0</w:t>
      </w:r>
      <w:r w:rsidRPr="002C5EFB">
        <w:t xml:space="preserve">4 </w:t>
      </w:r>
      <w:r>
        <w:t xml:space="preserve">de la presente norma técnica </w:t>
      </w:r>
      <w:r w:rsidRPr="00855E5B">
        <w:rPr>
          <w:lang w:val="es-ES_tradnl" w:eastAsia="es-ES"/>
        </w:rPr>
        <w:t>(</w:t>
      </w:r>
      <w:r w:rsidRPr="00855E5B">
        <w:rPr>
          <w:i/>
          <w:iCs/>
          <w:lang w:val="es-ES_tradnl" w:eastAsia="es-ES"/>
        </w:rPr>
        <w:t>“Ficha Técnica de Equipos de Validación Homologados”</w:t>
      </w:r>
      <w:r w:rsidRPr="00855E5B">
        <w:rPr>
          <w:lang w:val="es-ES_tradnl" w:eastAsia="es-ES"/>
        </w:rPr>
        <w:t>)</w:t>
      </w:r>
      <w:r w:rsidRPr="0068223C">
        <w:rPr>
          <w:lang w:val="es-ES_tradnl"/>
        </w:rPr>
        <w:t xml:space="preserve"> </w:t>
      </w:r>
      <w:r w:rsidRPr="002C5EFB">
        <w:t>con la información que corresponda para el equipo de validación que resulte homologado,</w:t>
      </w:r>
      <w:r>
        <w:t xml:space="preserve"> </w:t>
      </w:r>
      <w:r w:rsidRPr="002C5EFB">
        <w:t>con el fin de publicarlo en el Registro del Sistema de Validación de SINPE-TP.</w:t>
      </w:r>
    </w:p>
    <w:p w14:paraId="75264A45" w14:textId="77777777" w:rsidR="00F87180" w:rsidRDefault="00F87180" w:rsidP="00F87180">
      <w:pPr>
        <w:pStyle w:val="Ttulo2"/>
        <w:numPr>
          <w:ilvl w:val="1"/>
          <w:numId w:val="3"/>
        </w:numPr>
        <w:tabs>
          <w:tab w:val="clear" w:pos="510"/>
        </w:tabs>
        <w:spacing w:line="250" w:lineRule="auto"/>
        <w:ind w:left="426" w:hanging="435"/>
      </w:pPr>
      <w:bookmarkStart w:id="112" w:name="_Toc215998987"/>
      <w:bookmarkStart w:id="113" w:name="_Toc216716496"/>
      <w:r>
        <w:t>Vigencia de la homologación</w:t>
      </w:r>
      <w:bookmarkEnd w:id="112"/>
      <w:bookmarkEnd w:id="113"/>
    </w:p>
    <w:p w14:paraId="58FC39B8" w14:textId="77777777" w:rsidR="00F87180" w:rsidRDefault="00F87180" w:rsidP="00F87180">
      <w:pPr>
        <w:spacing w:before="0" w:line="250" w:lineRule="auto"/>
        <w:rPr>
          <w:lang w:val="es-ES_tradnl" w:eastAsia="es-ES"/>
        </w:rPr>
      </w:pPr>
      <w:r>
        <w:rPr>
          <w:lang w:val="es-ES_tradnl" w:eastAsia="es-ES"/>
        </w:rPr>
        <w:t>Los equipos de validación homologados mantienen su acreditación para operar en el ecosistema de pagos de SINPE-TP mientras no se presente alguna de las siguientes condiciones:</w:t>
      </w:r>
    </w:p>
    <w:p w14:paraId="5F3F1D09" w14:textId="77777777" w:rsidR="00F87180" w:rsidRDefault="00F87180" w:rsidP="00F87180">
      <w:pPr>
        <w:numPr>
          <w:ilvl w:val="0"/>
          <w:numId w:val="21"/>
        </w:numPr>
        <w:spacing w:before="0" w:line="250" w:lineRule="auto"/>
        <w:rPr>
          <w:lang w:val="es-ES_tradnl" w:eastAsia="es-ES"/>
        </w:rPr>
      </w:pPr>
      <w:r>
        <w:rPr>
          <w:lang w:val="es-ES_tradnl" w:eastAsia="es-ES"/>
        </w:rPr>
        <w:t>Que el lector de dispositivos de pago del validador no pueda procesar pagos del transporte público en los términos y las condiciones previstas por el sistema de tarjetas de pago para ese tipo de transacciones. Esta condición afecta a todos los validadores que integren el mismo tipo de lector.</w:t>
      </w:r>
    </w:p>
    <w:p w14:paraId="1349D044" w14:textId="77777777" w:rsidR="00F87180" w:rsidRDefault="00F87180" w:rsidP="00F87180">
      <w:pPr>
        <w:numPr>
          <w:ilvl w:val="0"/>
          <w:numId w:val="21"/>
        </w:numPr>
        <w:spacing w:before="0" w:line="250" w:lineRule="auto"/>
        <w:rPr>
          <w:lang w:val="es-ES_tradnl" w:eastAsia="es-ES"/>
        </w:rPr>
      </w:pPr>
      <w:r>
        <w:rPr>
          <w:lang w:val="es-ES_tradnl" w:eastAsia="es-ES"/>
        </w:rPr>
        <w:t xml:space="preserve">Que el validador presente incapacidad tecnológica y operativa para funcionar con los nuevos desarrollos y las actualizaciones requeridas por el ecosistema de pagos de SINPE-TP. Esta condición afecta solo al tipo de validador que la presente. </w:t>
      </w:r>
    </w:p>
    <w:p w14:paraId="11C78D0F" w14:textId="77777777" w:rsidR="00F87180" w:rsidRDefault="00F87180" w:rsidP="00F87180">
      <w:pPr>
        <w:numPr>
          <w:ilvl w:val="0"/>
          <w:numId w:val="21"/>
        </w:numPr>
        <w:spacing w:before="0" w:line="250" w:lineRule="auto"/>
        <w:rPr>
          <w:lang w:val="es-ES_tradnl" w:eastAsia="es-ES"/>
        </w:rPr>
      </w:pPr>
      <w:r>
        <w:rPr>
          <w:lang w:val="es-ES_tradnl" w:eastAsia="es-ES"/>
        </w:rPr>
        <w:t>Que el validador alcance el límite máximo del periodo de vida útil que el BCCR determine, con base en las exposiciones de riesgo que surgen o se incrementan en función de su antigüedad. Esta condición será razonada técnicamente por el BCCR.</w:t>
      </w:r>
    </w:p>
    <w:p w14:paraId="2F7B2F73" w14:textId="77777777" w:rsidR="00F87180" w:rsidRPr="004C26E7" w:rsidRDefault="00F87180" w:rsidP="00F87180">
      <w:pPr>
        <w:numPr>
          <w:ilvl w:val="0"/>
          <w:numId w:val="21"/>
        </w:numPr>
        <w:spacing w:before="0" w:line="250" w:lineRule="auto"/>
        <w:rPr>
          <w:lang w:val="es-ES_tradnl" w:eastAsia="es-ES"/>
        </w:rPr>
      </w:pPr>
      <w:r>
        <w:rPr>
          <w:lang w:val="es-ES_tradnl" w:eastAsia="es-ES"/>
        </w:rPr>
        <w:t xml:space="preserve">Que el validador que se instale en el ambiente de producción de SINPE-TP tenga características o componentes que no hayan sido sometidos con un resultado exitoso al </w:t>
      </w:r>
      <w:r w:rsidRPr="004C26E7">
        <w:rPr>
          <w:lang w:val="es-ES_tradnl" w:eastAsia="es-ES"/>
        </w:rPr>
        <w:t>proceso de homologación que establece y regula la presente norma técnica.</w:t>
      </w:r>
    </w:p>
    <w:p w14:paraId="23D80EB1" w14:textId="77777777" w:rsidR="00F87180" w:rsidRPr="004C26E7" w:rsidRDefault="00F87180" w:rsidP="00F87180">
      <w:pPr>
        <w:numPr>
          <w:ilvl w:val="0"/>
          <w:numId w:val="21"/>
        </w:numPr>
        <w:spacing w:before="0" w:line="250" w:lineRule="auto"/>
        <w:rPr>
          <w:lang w:val="es-ES_tradnl" w:eastAsia="es-ES"/>
        </w:rPr>
      </w:pPr>
      <w:r w:rsidRPr="004C26E7">
        <w:rPr>
          <w:lang w:val="es-ES_tradnl" w:eastAsia="es-ES"/>
        </w:rPr>
        <w:t>Que el validador acumule un periodo continuo superior de 6 meses sin operar en el ambiente de producción</w:t>
      </w:r>
      <w:r w:rsidRPr="00523F55">
        <w:rPr>
          <w:lang w:val="es-ES_tradnl" w:eastAsia="es-ES"/>
        </w:rPr>
        <w:t xml:space="preserve"> de SINPE-TP</w:t>
      </w:r>
      <w:r w:rsidRPr="004C26E7">
        <w:rPr>
          <w:lang w:val="es-ES_tradnl" w:eastAsia="es-ES"/>
        </w:rPr>
        <w:t>.</w:t>
      </w:r>
    </w:p>
    <w:p w14:paraId="32B873D1" w14:textId="77777777" w:rsidR="00F87180" w:rsidRDefault="00F87180" w:rsidP="00F87180">
      <w:pPr>
        <w:spacing w:before="0" w:line="250" w:lineRule="auto"/>
        <w:rPr>
          <w:lang w:val="es-ES_tradnl" w:eastAsia="es-ES"/>
        </w:rPr>
      </w:pPr>
      <w:r>
        <w:rPr>
          <w:lang w:val="es-ES_tradnl" w:eastAsia="es-ES"/>
        </w:rPr>
        <w:t>En todos los casos, el BCCR coordinará con los operadores de transporte la sustitución de los equipos, a efectos de procurar la continuidad de negocio con el servicio de validación de SINPE-TP.</w:t>
      </w:r>
    </w:p>
    <w:p w14:paraId="693FF8C2" w14:textId="77777777" w:rsidR="00F87180" w:rsidRDefault="00F87180" w:rsidP="00F87180">
      <w:pPr>
        <w:pStyle w:val="Ttulo1"/>
        <w:numPr>
          <w:ilvl w:val="0"/>
          <w:numId w:val="3"/>
        </w:numPr>
        <w:tabs>
          <w:tab w:val="clear" w:pos="340"/>
        </w:tabs>
        <w:spacing w:before="0" w:line="250" w:lineRule="auto"/>
        <w:ind w:left="425" w:hanging="431"/>
      </w:pPr>
      <w:bookmarkStart w:id="114" w:name="_Toc215998988"/>
      <w:bookmarkStart w:id="115" w:name="_Toc216716497"/>
      <w:bookmarkStart w:id="116" w:name="_Hlk133585848"/>
      <w:r>
        <w:t>Vigencia de la norma</w:t>
      </w:r>
      <w:bookmarkEnd w:id="114"/>
      <w:bookmarkEnd w:id="115"/>
    </w:p>
    <w:p w14:paraId="56371087" w14:textId="687CD4A7" w:rsidR="00F87180" w:rsidRPr="004B3192" w:rsidRDefault="00F87180" w:rsidP="00F87180">
      <w:pPr>
        <w:spacing w:before="0" w:line="250" w:lineRule="auto"/>
      </w:pPr>
      <w:bookmarkStart w:id="117" w:name="_Hlk133585809"/>
      <w:r w:rsidRPr="00687CE8">
        <w:t xml:space="preserve">La </w:t>
      </w:r>
      <w:r w:rsidRPr="00B9648C">
        <w:rPr>
          <w:lang w:val="es-ES_tradnl" w:eastAsia="es-ES"/>
        </w:rPr>
        <w:t>presente</w:t>
      </w:r>
      <w:r w:rsidRPr="00687CE8">
        <w:t xml:space="preserve"> norma </w:t>
      </w:r>
      <w:r>
        <w:t xml:space="preserve">técnica </w:t>
      </w:r>
      <w:r w:rsidRPr="00687CE8">
        <w:t xml:space="preserve">rige a partir del </w:t>
      </w:r>
      <w:r>
        <w:t>12</w:t>
      </w:r>
      <w:r w:rsidRPr="00764160">
        <w:t xml:space="preserve"> de </w:t>
      </w:r>
      <w:r>
        <w:t xml:space="preserve">diciembre </w:t>
      </w:r>
      <w:r w:rsidRPr="00764160">
        <w:t>del 202</w:t>
      </w:r>
      <w:r>
        <w:t>5 y deroga la oficializada el 9 de mayo del 2023,</w:t>
      </w:r>
      <w:r w:rsidRPr="00A63E1F">
        <w:rPr>
          <w:rFonts w:cs="Arial"/>
        </w:rPr>
        <w:t xml:space="preserve"> </w:t>
      </w:r>
      <w:r w:rsidRPr="00A63E1F">
        <w:t>de la Serie de Normas y Procedimientos del SINPE (Reglamento del Sistema de Pagos).</w:t>
      </w:r>
    </w:p>
    <w:bookmarkEnd w:id="116"/>
    <w:bookmarkEnd w:id="117"/>
    <w:p w14:paraId="1981F405" w14:textId="77777777" w:rsidR="00F87180" w:rsidRPr="00B9648C" w:rsidRDefault="00F87180" w:rsidP="00F87180">
      <w:pPr>
        <w:spacing w:before="0" w:line="252" w:lineRule="auto"/>
        <w:rPr>
          <w:lang w:eastAsia="es-ES"/>
        </w:rPr>
      </w:pPr>
    </w:p>
    <w:p w14:paraId="297B29A7" w14:textId="77777777" w:rsidR="00F87180" w:rsidRDefault="00F87180" w:rsidP="00F87180">
      <w:pPr>
        <w:spacing w:before="0" w:line="252" w:lineRule="auto"/>
        <w:rPr>
          <w:lang w:val="es-ES_tradnl" w:eastAsia="es-ES"/>
        </w:rPr>
      </w:pPr>
    </w:p>
    <w:p w14:paraId="74F9AA3B" w14:textId="77777777" w:rsidR="00F87180" w:rsidRPr="002C5EFB" w:rsidRDefault="00F87180" w:rsidP="00F87180">
      <w:pPr>
        <w:spacing w:before="0" w:line="252" w:lineRule="auto"/>
        <w:rPr>
          <w:lang w:val="es-ES_tradnl" w:eastAsia="es-ES"/>
        </w:rPr>
      </w:pPr>
      <w:r>
        <w:rPr>
          <w:lang w:val="es-ES_tradnl" w:eastAsia="es-ES"/>
        </w:rPr>
        <w:br w:type="page"/>
      </w:r>
    </w:p>
    <w:p w14:paraId="29048CFA" w14:textId="77777777" w:rsidR="00F87180" w:rsidRDefault="00F87180" w:rsidP="00F87180">
      <w:pPr>
        <w:pStyle w:val="Ttulo1"/>
        <w:numPr>
          <w:ilvl w:val="0"/>
          <w:numId w:val="3"/>
        </w:numPr>
        <w:tabs>
          <w:tab w:val="clear" w:pos="340"/>
        </w:tabs>
        <w:spacing w:line="252" w:lineRule="auto"/>
        <w:ind w:left="425" w:hanging="431"/>
      </w:pPr>
      <w:bookmarkStart w:id="118" w:name="_Toc354130530"/>
      <w:bookmarkStart w:id="119" w:name="_Toc71180798"/>
      <w:bookmarkStart w:id="120" w:name="_Toc110533292"/>
      <w:bookmarkStart w:id="121" w:name="_Toc111654301"/>
      <w:bookmarkStart w:id="122" w:name="_Toc215998989"/>
      <w:bookmarkStart w:id="123" w:name="_Toc216716498"/>
      <w:r>
        <w:lastRenderedPageBreak/>
        <w:t>Anexos</w:t>
      </w:r>
      <w:bookmarkEnd w:id="118"/>
      <w:bookmarkEnd w:id="119"/>
      <w:bookmarkEnd w:id="120"/>
      <w:bookmarkEnd w:id="121"/>
      <w:bookmarkEnd w:id="122"/>
      <w:bookmarkEnd w:id="123"/>
    </w:p>
    <w:p w14:paraId="2EA109E5" w14:textId="77777777" w:rsidR="00F87180" w:rsidRPr="004B1FB1" w:rsidRDefault="00F87180" w:rsidP="00F87180">
      <w:pPr>
        <w:spacing w:line="252" w:lineRule="auto"/>
        <w:rPr>
          <w:lang w:val="es-ES_tradnl" w:eastAsia="es-ES"/>
        </w:rPr>
      </w:pPr>
      <w:r>
        <w:rPr>
          <w:lang w:val="es-ES_tradnl" w:eastAsia="es-ES"/>
        </w:rPr>
        <w:t>Los siguientes anexos forman parte integral de la presente norma técnica: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95"/>
      </w:tblGrid>
      <w:tr w:rsidR="00F87180" w:rsidRPr="00B13463" w14:paraId="5E298EC3" w14:textId="77777777" w:rsidTr="00465509">
        <w:tc>
          <w:tcPr>
            <w:tcW w:w="4111" w:type="dxa"/>
            <w:shd w:val="clear" w:color="auto" w:fill="ACB9CA"/>
          </w:tcPr>
          <w:p w14:paraId="73055D12" w14:textId="77777777" w:rsidR="00F87180" w:rsidRPr="00B13463" w:rsidRDefault="00F87180" w:rsidP="00465509">
            <w:pPr>
              <w:pStyle w:val="PrrafoTtulos"/>
              <w:spacing w:before="60" w:after="60" w:line="252" w:lineRule="auto"/>
              <w:ind w:left="0"/>
              <w:jc w:val="center"/>
              <w:rPr>
                <w:b/>
                <w:bCs/>
              </w:rPr>
            </w:pPr>
            <w:r w:rsidRPr="00B13463">
              <w:rPr>
                <w:b/>
                <w:bCs/>
                <w:lang w:val="es-ES_tradnl" w:eastAsia="es-ES"/>
              </w:rPr>
              <w:t xml:space="preserve">Anexo </w:t>
            </w:r>
            <w:r>
              <w:rPr>
                <w:b/>
                <w:bCs/>
                <w:lang w:val="es-ES_tradnl" w:eastAsia="es-ES"/>
              </w:rPr>
              <w:t>0</w:t>
            </w:r>
            <w:r w:rsidRPr="00B13463">
              <w:rPr>
                <w:b/>
                <w:bCs/>
                <w:lang w:val="es-ES_tradnl" w:eastAsia="es-ES"/>
              </w:rPr>
              <w:t>1</w:t>
            </w:r>
          </w:p>
          <w:p w14:paraId="2FD0754D" w14:textId="77777777" w:rsidR="00F87180" w:rsidRPr="00B13463" w:rsidRDefault="00F87180" w:rsidP="00465509">
            <w:pPr>
              <w:pStyle w:val="PrrafoTtulos"/>
              <w:spacing w:before="60" w:after="60" w:line="252" w:lineRule="auto"/>
              <w:ind w:left="0"/>
              <w:jc w:val="center"/>
              <w:rPr>
                <w:b/>
                <w:bCs/>
                <w:lang w:val="es-ES_tradnl" w:eastAsia="es-ES"/>
              </w:rPr>
            </w:pPr>
            <w:r w:rsidRPr="00C74BF2">
              <w:rPr>
                <w:b/>
                <w:bCs/>
              </w:rPr>
              <w:t>Solicitud de Homologación de Equipos</w:t>
            </w:r>
            <w:r>
              <w:rPr>
                <w:b/>
                <w:bCs/>
              </w:rPr>
              <w:t xml:space="preserve"> de Validación </w:t>
            </w:r>
            <w:r w:rsidRPr="00B13463">
              <w:rPr>
                <w:b/>
                <w:bCs/>
              </w:rPr>
              <w:t>para SINPE-TP</w:t>
            </w:r>
          </w:p>
        </w:tc>
        <w:tc>
          <w:tcPr>
            <w:tcW w:w="4195" w:type="dxa"/>
            <w:shd w:val="clear" w:color="auto" w:fill="ACB9CA"/>
          </w:tcPr>
          <w:p w14:paraId="6B30C4E4" w14:textId="77777777" w:rsidR="00F87180" w:rsidRPr="00B13463" w:rsidRDefault="00F87180" w:rsidP="00465509">
            <w:pPr>
              <w:pStyle w:val="PrrafoTtulos"/>
              <w:spacing w:before="60" w:after="60" w:line="252" w:lineRule="auto"/>
              <w:ind w:left="0"/>
              <w:jc w:val="center"/>
              <w:rPr>
                <w:b/>
                <w:bCs/>
                <w:lang w:val="es-ES_tradnl"/>
              </w:rPr>
            </w:pPr>
            <w:r w:rsidRPr="00B13463">
              <w:rPr>
                <w:b/>
                <w:bCs/>
                <w:lang w:val="es-ES_tradnl" w:eastAsia="es-ES"/>
              </w:rPr>
              <w:t xml:space="preserve">Anexo </w:t>
            </w:r>
            <w:r>
              <w:rPr>
                <w:b/>
                <w:bCs/>
                <w:lang w:val="es-ES_tradnl" w:eastAsia="es-ES"/>
              </w:rPr>
              <w:t>0</w:t>
            </w:r>
            <w:r w:rsidRPr="00B13463">
              <w:rPr>
                <w:b/>
                <w:bCs/>
                <w:lang w:val="es-ES_tradnl" w:eastAsia="es-ES"/>
              </w:rPr>
              <w:t>2</w:t>
            </w:r>
          </w:p>
          <w:p w14:paraId="48FE4854" w14:textId="77777777" w:rsidR="00F87180" w:rsidRPr="00B13463" w:rsidRDefault="00F87180" w:rsidP="00465509">
            <w:pPr>
              <w:pStyle w:val="PrrafoTtulos"/>
              <w:spacing w:before="60" w:after="60" w:line="252" w:lineRule="auto"/>
              <w:ind w:left="0"/>
              <w:jc w:val="center"/>
              <w:rPr>
                <w:b/>
                <w:bCs/>
                <w:lang w:val="es-ES_tradnl" w:eastAsia="es-ES"/>
              </w:rPr>
            </w:pPr>
            <w:r w:rsidRPr="00C74BF2">
              <w:rPr>
                <w:b/>
                <w:bCs/>
              </w:rPr>
              <w:t>Requisitos Técnicos para Equipos de Validación de SINPE-TP</w:t>
            </w:r>
          </w:p>
        </w:tc>
      </w:tr>
      <w:bookmarkStart w:id="124" w:name="_MON_1823853675"/>
      <w:bookmarkEnd w:id="124"/>
      <w:tr w:rsidR="00F87180" w:rsidRPr="00B13463" w14:paraId="5CDD337F" w14:textId="77777777" w:rsidTr="00465509">
        <w:tc>
          <w:tcPr>
            <w:tcW w:w="4111" w:type="dxa"/>
            <w:shd w:val="clear" w:color="auto" w:fill="D5DCE4"/>
          </w:tcPr>
          <w:p w14:paraId="7B56BD48" w14:textId="77777777" w:rsidR="00F87180" w:rsidRPr="00B13463" w:rsidRDefault="00F87180" w:rsidP="00465509">
            <w:pPr>
              <w:pStyle w:val="PrrafoTtulos"/>
              <w:spacing w:before="60" w:after="60" w:line="252" w:lineRule="auto"/>
              <w:ind w:left="0"/>
              <w:jc w:val="center"/>
              <w:rPr>
                <w:lang w:val="es-ES_tradnl" w:eastAsia="es-ES"/>
              </w:rPr>
            </w:pPr>
            <w:r>
              <w:rPr>
                <w:b/>
                <w:bCs/>
                <w:lang w:val="es-ES_tradnl" w:eastAsia="es-ES"/>
              </w:rPr>
              <w:object w:dxaOrig="1508" w:dyaOrig="983" w14:anchorId="30385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pt;height:49.25pt" o:ole="">
                  <v:imagedata r:id="rId22" o:title=""/>
                </v:shape>
                <o:OLEObject Type="Embed" ProgID="Word.Document.8" ShapeID="_x0000_i1025" DrawAspect="Icon" ObjectID="_1827406408" r:id="rId23">
                  <o:FieldCodes>\s</o:FieldCodes>
                </o:OLEObject>
              </w:object>
            </w:r>
          </w:p>
        </w:tc>
        <w:bookmarkStart w:id="125" w:name="_MON_1823853823"/>
        <w:bookmarkEnd w:id="125"/>
        <w:tc>
          <w:tcPr>
            <w:tcW w:w="4195" w:type="dxa"/>
            <w:shd w:val="clear" w:color="auto" w:fill="D5DCE4"/>
          </w:tcPr>
          <w:p w14:paraId="49A86951" w14:textId="77777777" w:rsidR="00F87180" w:rsidRPr="00B13463" w:rsidRDefault="00F87180" w:rsidP="00465509">
            <w:pPr>
              <w:pStyle w:val="PrrafoTtulos"/>
              <w:spacing w:before="60" w:after="60" w:line="252" w:lineRule="auto"/>
              <w:ind w:left="0"/>
              <w:jc w:val="center"/>
              <w:rPr>
                <w:lang w:val="es-ES_tradnl" w:eastAsia="es-ES"/>
              </w:rPr>
            </w:pPr>
            <w:r>
              <w:rPr>
                <w:lang w:val="es-ES_tradnl" w:eastAsia="es-ES"/>
              </w:rPr>
              <w:object w:dxaOrig="1508" w:dyaOrig="983" w14:anchorId="7CE75D8F">
                <v:shape id="_x0000_i1026" type="#_x0000_t75" style="width:75.1pt;height:49.25pt" o:ole="">
                  <v:imagedata r:id="rId24" o:title=""/>
                </v:shape>
                <o:OLEObject Type="Embed" ProgID="Word.Document.12" ShapeID="_x0000_i1026" DrawAspect="Icon" ObjectID="_1827406409" r:id="rId25">
                  <o:FieldCodes>\s</o:FieldCodes>
                </o:OLEObject>
              </w:object>
            </w:r>
          </w:p>
        </w:tc>
      </w:tr>
      <w:tr w:rsidR="00F87180" w:rsidRPr="00B13463" w14:paraId="57C81831" w14:textId="77777777" w:rsidTr="00465509">
        <w:tc>
          <w:tcPr>
            <w:tcW w:w="4111" w:type="dxa"/>
            <w:shd w:val="clear" w:color="auto" w:fill="ACB9CA"/>
          </w:tcPr>
          <w:p w14:paraId="2D0D7EA2" w14:textId="77777777" w:rsidR="00F87180" w:rsidRPr="00B13463" w:rsidRDefault="00F87180" w:rsidP="00465509">
            <w:pPr>
              <w:pStyle w:val="PrrafoTtulos"/>
              <w:spacing w:before="60" w:after="60" w:line="252" w:lineRule="auto"/>
              <w:ind w:left="0"/>
              <w:jc w:val="center"/>
              <w:rPr>
                <w:b/>
                <w:bCs/>
                <w:lang w:val="es-ES_tradnl" w:eastAsia="es-ES"/>
              </w:rPr>
            </w:pPr>
            <w:r w:rsidRPr="00B13463">
              <w:rPr>
                <w:b/>
                <w:bCs/>
                <w:lang w:val="es-ES_tradnl" w:eastAsia="es-ES"/>
              </w:rPr>
              <w:t xml:space="preserve">Anexo </w:t>
            </w:r>
            <w:r>
              <w:rPr>
                <w:b/>
                <w:bCs/>
                <w:lang w:val="es-ES_tradnl" w:eastAsia="es-ES"/>
              </w:rPr>
              <w:t>0</w:t>
            </w:r>
            <w:r w:rsidRPr="00B13463">
              <w:rPr>
                <w:b/>
                <w:bCs/>
                <w:lang w:val="es-ES_tradnl" w:eastAsia="es-ES"/>
              </w:rPr>
              <w:t>3</w:t>
            </w:r>
          </w:p>
          <w:p w14:paraId="79BFCB1D" w14:textId="77777777" w:rsidR="00F87180" w:rsidRPr="00B13463" w:rsidRDefault="00F87180" w:rsidP="00465509">
            <w:pPr>
              <w:pStyle w:val="PrrafoTtulos"/>
              <w:spacing w:before="60" w:after="60" w:line="252" w:lineRule="auto"/>
              <w:ind w:left="0"/>
              <w:jc w:val="center"/>
              <w:rPr>
                <w:b/>
                <w:bCs/>
                <w:lang w:val="es-ES_tradnl" w:eastAsia="es-ES"/>
              </w:rPr>
            </w:pPr>
            <w:r w:rsidRPr="00C74BF2">
              <w:rPr>
                <w:b/>
                <w:bCs/>
                <w:lang w:val="es-ES_tradnl" w:eastAsia="es-ES"/>
              </w:rPr>
              <w:t>Acuerdo para la Instalación de Equipos de Validación en Producción</w:t>
            </w:r>
            <w:r>
              <w:rPr>
                <w:b/>
                <w:bCs/>
                <w:lang w:val="es-ES_tradnl" w:eastAsia="es-ES"/>
              </w:rPr>
              <w:t xml:space="preserve"> </w:t>
            </w:r>
          </w:p>
        </w:tc>
        <w:tc>
          <w:tcPr>
            <w:tcW w:w="4195" w:type="dxa"/>
            <w:shd w:val="clear" w:color="auto" w:fill="ACB9CA"/>
          </w:tcPr>
          <w:p w14:paraId="4DE01590" w14:textId="77777777" w:rsidR="00F87180" w:rsidRPr="00B13463" w:rsidRDefault="00F87180" w:rsidP="00465509">
            <w:pPr>
              <w:pStyle w:val="PrrafoTtulos"/>
              <w:spacing w:before="60" w:after="60" w:line="252" w:lineRule="auto"/>
              <w:ind w:left="0"/>
              <w:jc w:val="center"/>
              <w:rPr>
                <w:b/>
                <w:bCs/>
                <w:lang w:val="es-ES_tradnl" w:eastAsia="es-ES"/>
              </w:rPr>
            </w:pPr>
            <w:r w:rsidRPr="00B13463">
              <w:rPr>
                <w:b/>
                <w:bCs/>
                <w:lang w:val="es-ES_tradnl" w:eastAsia="es-ES"/>
              </w:rPr>
              <w:t xml:space="preserve">Anexo </w:t>
            </w:r>
            <w:r>
              <w:rPr>
                <w:b/>
                <w:bCs/>
                <w:lang w:val="es-ES_tradnl" w:eastAsia="es-ES"/>
              </w:rPr>
              <w:t>0</w:t>
            </w:r>
            <w:r w:rsidRPr="00B13463">
              <w:rPr>
                <w:b/>
                <w:bCs/>
                <w:lang w:val="es-ES_tradnl" w:eastAsia="es-ES"/>
              </w:rPr>
              <w:t>4</w:t>
            </w:r>
          </w:p>
          <w:p w14:paraId="28A8233C" w14:textId="77777777" w:rsidR="00F87180" w:rsidRDefault="00F87180" w:rsidP="00465509">
            <w:pPr>
              <w:pStyle w:val="PrrafoTtulos"/>
              <w:spacing w:before="60" w:after="0" w:line="252" w:lineRule="auto"/>
              <w:ind w:left="0"/>
              <w:jc w:val="center"/>
              <w:rPr>
                <w:b/>
                <w:bCs/>
                <w:lang w:val="es-ES_tradnl" w:eastAsia="es-ES"/>
              </w:rPr>
            </w:pPr>
            <w:r w:rsidRPr="00C74BF2">
              <w:rPr>
                <w:b/>
                <w:bCs/>
                <w:lang w:val="es-ES_tradnl" w:eastAsia="es-ES"/>
              </w:rPr>
              <w:t xml:space="preserve">Ficha Técnica de Equipos de </w:t>
            </w:r>
          </w:p>
          <w:p w14:paraId="555C7A2E" w14:textId="77777777" w:rsidR="00F87180" w:rsidRPr="00B13463" w:rsidRDefault="00F87180" w:rsidP="00465509">
            <w:pPr>
              <w:pStyle w:val="PrrafoTtulos"/>
              <w:spacing w:before="0" w:after="60" w:line="252" w:lineRule="auto"/>
              <w:ind w:left="0"/>
              <w:jc w:val="center"/>
              <w:rPr>
                <w:b/>
                <w:bCs/>
                <w:lang w:val="es-ES_tradnl" w:eastAsia="es-ES"/>
              </w:rPr>
            </w:pPr>
            <w:r w:rsidRPr="00C74BF2">
              <w:rPr>
                <w:b/>
                <w:bCs/>
                <w:lang w:val="es-ES_tradnl" w:eastAsia="es-ES"/>
              </w:rPr>
              <w:t>Validación Homologados</w:t>
            </w:r>
            <w:r>
              <w:rPr>
                <w:b/>
                <w:bCs/>
                <w:lang w:val="es-ES_tradnl" w:eastAsia="es-ES"/>
              </w:rPr>
              <w:t xml:space="preserve"> (SINPE-TP)</w:t>
            </w:r>
          </w:p>
        </w:tc>
      </w:tr>
      <w:bookmarkStart w:id="126" w:name="_MON_1823861140"/>
      <w:bookmarkEnd w:id="126"/>
      <w:tr w:rsidR="00F87180" w:rsidRPr="00B13463" w14:paraId="6AA2AB09" w14:textId="77777777" w:rsidTr="00465509">
        <w:tc>
          <w:tcPr>
            <w:tcW w:w="4111" w:type="dxa"/>
            <w:shd w:val="clear" w:color="auto" w:fill="D5DCE4"/>
          </w:tcPr>
          <w:p w14:paraId="3254F5B4" w14:textId="77777777" w:rsidR="00F87180" w:rsidRPr="00B13463" w:rsidRDefault="00F87180" w:rsidP="00465509">
            <w:pPr>
              <w:pStyle w:val="PrrafoTtulos"/>
              <w:spacing w:before="60" w:after="60" w:line="252" w:lineRule="auto"/>
              <w:ind w:left="0"/>
              <w:jc w:val="center"/>
              <w:rPr>
                <w:lang w:val="es-ES_tradnl" w:eastAsia="es-ES"/>
              </w:rPr>
            </w:pPr>
            <w:r>
              <w:rPr>
                <w:lang w:val="es-ES_tradnl" w:eastAsia="es-ES"/>
              </w:rPr>
              <w:object w:dxaOrig="1508" w:dyaOrig="983" w14:anchorId="52FD3D85">
                <v:shape id="_x0000_i1027" type="#_x0000_t75" style="width:75.7pt;height:48.6pt" o:ole="">
                  <v:imagedata r:id="rId26" o:title=""/>
                </v:shape>
                <o:OLEObject Type="Embed" ProgID="Word.Document.12" ShapeID="_x0000_i1027" DrawAspect="Icon" ObjectID="_1827406410" r:id="rId27">
                  <o:FieldCodes>\s</o:FieldCodes>
                </o:OLEObject>
              </w:object>
            </w:r>
          </w:p>
        </w:tc>
        <w:bookmarkStart w:id="127" w:name="_MON_1823854633"/>
        <w:bookmarkEnd w:id="127"/>
        <w:tc>
          <w:tcPr>
            <w:tcW w:w="4195" w:type="dxa"/>
            <w:shd w:val="clear" w:color="auto" w:fill="D5DCE4"/>
          </w:tcPr>
          <w:p w14:paraId="0062D56F" w14:textId="77777777" w:rsidR="00F87180" w:rsidRPr="00B13463" w:rsidRDefault="00F87180" w:rsidP="00465509">
            <w:pPr>
              <w:pStyle w:val="PrrafoTtulos"/>
              <w:spacing w:before="60" w:after="60" w:line="252" w:lineRule="auto"/>
              <w:ind w:left="0"/>
              <w:jc w:val="center"/>
              <w:rPr>
                <w:lang w:val="es-ES_tradnl" w:eastAsia="es-ES"/>
              </w:rPr>
            </w:pPr>
            <w:r>
              <w:rPr>
                <w:lang w:val="es-ES_tradnl" w:eastAsia="es-ES"/>
              </w:rPr>
              <w:object w:dxaOrig="1508" w:dyaOrig="983" w14:anchorId="582DF9D9">
                <v:shape id="_x0000_i1028" type="#_x0000_t75" style="width:75.7pt;height:48.6pt" o:ole="">
                  <v:imagedata r:id="rId28" o:title=""/>
                </v:shape>
                <o:OLEObject Type="Embed" ProgID="Word.Document.12" ShapeID="_x0000_i1028" DrawAspect="Icon" ObjectID="_1827406411" r:id="rId29">
                  <o:FieldCodes>\s</o:FieldCodes>
                </o:OLEObject>
              </w:object>
            </w:r>
          </w:p>
        </w:tc>
      </w:tr>
    </w:tbl>
    <w:p w14:paraId="7D885C72" w14:textId="77777777" w:rsidR="00F87180" w:rsidRDefault="00F87180" w:rsidP="00F87180">
      <w:pPr>
        <w:spacing w:line="264" w:lineRule="auto"/>
        <w:rPr>
          <w:rFonts w:cs="Arial"/>
        </w:rPr>
      </w:pPr>
    </w:p>
    <w:sectPr w:rsidR="00F87180" w:rsidSect="00005E10">
      <w:headerReference w:type="even" r:id="rId30"/>
      <w:footerReference w:type="default" r:id="rId31"/>
      <w:footerReference w:type="first" r:id="rId32"/>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10964" w14:textId="77777777" w:rsidR="001D732D" w:rsidRPr="00877B7D" w:rsidRDefault="001D732D" w:rsidP="00877B7D">
      <w:r>
        <w:separator/>
      </w:r>
    </w:p>
  </w:endnote>
  <w:endnote w:type="continuationSeparator" w:id="0">
    <w:p w14:paraId="5F864920" w14:textId="77777777" w:rsidR="001D732D" w:rsidRPr="00877B7D" w:rsidRDefault="001D732D"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Títulos en alf">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73088"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0"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6489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9C785E" w:rsidRDefault="008B0227" w:rsidP="008B0227">
                          <w:pPr>
                            <w:spacing w:before="0" w:after="0"/>
                            <w:jc w:val="center"/>
                            <w:rPr>
                              <w:rFonts w:ascii="Calibri" w:hAnsi="Calibri" w:cs="Calibri"/>
                              <w:color w:val="FFFFFF" w:themeColor="background1"/>
                            </w:rPr>
                          </w:pPr>
                          <w:r w:rsidRPr="009C785E">
                            <w:rPr>
                              <w:rFonts w:ascii="Calibri" w:hAnsi="Calibri" w:cs="Calibri"/>
                              <w:color w:val="FFFFFF" w:themeColor="background1"/>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3"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9C785E" w:rsidRDefault="008B0227" w:rsidP="008B0227">
                    <w:pPr>
                      <w:spacing w:before="0" w:after="0"/>
                      <w:jc w:val="center"/>
                      <w:rPr>
                        <w:rFonts w:ascii="Calibri" w:hAnsi="Calibri" w:cs="Calibri"/>
                        <w:color w:val="FFFFFF" w:themeColor="background1"/>
                      </w:rPr>
                    </w:pPr>
                    <w:r w:rsidRPr="009C785E">
                      <w:rPr>
                        <w:rFonts w:ascii="Calibri" w:hAnsi="Calibri" w:cs="Calibri"/>
                        <w:color w:val="FFFFFF" w:themeColor="background1"/>
                      </w:rPr>
                      <w:t>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58752"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4"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221AB08B"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176FF5">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01011D65" w:rsidR="007D2830" w:rsidRDefault="007D2830">
    <w:r>
      <w:t xml:space="preserve">Fecha de impresión </w:t>
    </w:r>
    <w:r>
      <w:fldChar w:fldCharType="begin"/>
    </w:r>
    <w:r>
      <w:instrText xml:space="preserve"> PRINTDATE \@ "dd/MM/yyyy h:mm am/pm" </w:instrText>
    </w:r>
    <w:r>
      <w:fldChar w:fldCharType="separate"/>
    </w:r>
    <w:r w:rsidR="00176FF5">
      <w:rPr>
        <w:noProof/>
      </w:rPr>
      <w:t>21/07/2015 10:09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BB07A" w14:textId="77777777" w:rsidR="001D732D" w:rsidRPr="00877B7D" w:rsidRDefault="001D732D" w:rsidP="00877B7D">
      <w:r>
        <w:separator/>
      </w:r>
    </w:p>
  </w:footnote>
  <w:footnote w:type="continuationSeparator" w:id="0">
    <w:p w14:paraId="4F7CE526" w14:textId="77777777" w:rsidR="001D732D" w:rsidRPr="00877B7D" w:rsidRDefault="001D732D" w:rsidP="00877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4656"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56727" id="Rectangle 1" o:spid="_x0000_s1026" style="position:absolute;margin-left:75.6pt;margin-top:-32.05pt;width:9.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84352" behindDoc="1" locked="0" layoutInCell="1" allowOverlap="1" wp14:anchorId="62E583A6" wp14:editId="59C02FE8">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41344" behindDoc="0" locked="1" layoutInCell="1" allowOverlap="1" wp14:anchorId="72B32FDC" wp14:editId="265828C3">
              <wp:simplePos x="0" y="0"/>
              <wp:positionH relativeFrom="column">
                <wp:posOffset>565150</wp:posOffset>
              </wp:positionH>
              <wp:positionV relativeFrom="paragraph">
                <wp:posOffset>-237490</wp:posOffset>
              </wp:positionV>
              <wp:extent cx="5305425"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34B9F481" w:rsidR="007D2830" w:rsidRPr="0055194D" w:rsidRDefault="00843CE5" w:rsidP="002A278F">
                          <w:pPr>
                            <w:pStyle w:val="Encabezado"/>
                            <w:jc w:val="right"/>
                            <w:rPr>
                              <w:color w:val="D9E2F3" w:themeColor="accent1" w:themeTint="33"/>
                              <w:sz w:val="18"/>
                              <w:szCs w:val="18"/>
                            </w:rPr>
                          </w:pPr>
                          <w:r>
                            <w:rPr>
                              <w:color w:val="D9E2F3" w:themeColor="accent1" w:themeTint="33"/>
                              <w:sz w:val="18"/>
                              <w:szCs w:val="18"/>
                            </w:rPr>
                            <w:t xml:space="preserve">Homologación de Equipos de Validación para </w:t>
                          </w:r>
                          <w:r w:rsidR="00F44E70" w:rsidRPr="0055194D">
                            <w:rPr>
                              <w:color w:val="D9E2F3" w:themeColor="accent1" w:themeTint="33"/>
                              <w:sz w:val="18"/>
                              <w:szCs w:val="18"/>
                            </w:rPr>
                            <w:t>SINPE-TP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1" type="#_x0000_t202" style="position:absolute;left:0;text-align:left;margin-left:44.5pt;margin-top:-18.7pt;width:417.75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" filled="f" stroked="f">
              <v:textbox>
                <w:txbxContent>
                  <w:p w14:paraId="060C3CD2" w14:textId="34B9F481" w:rsidR="007D2830" w:rsidRPr="0055194D" w:rsidRDefault="00843CE5" w:rsidP="002A278F">
                    <w:pPr>
                      <w:pStyle w:val="Encabezado"/>
                      <w:jc w:val="right"/>
                      <w:rPr>
                        <w:color w:val="D9E2F3" w:themeColor="accent1" w:themeTint="33"/>
                        <w:sz w:val="18"/>
                        <w:szCs w:val="18"/>
                      </w:rPr>
                    </w:pPr>
                    <w:r>
                      <w:rPr>
                        <w:color w:val="D9E2F3" w:themeColor="accent1" w:themeTint="33"/>
                        <w:sz w:val="18"/>
                        <w:szCs w:val="18"/>
                      </w:rPr>
                      <w:t xml:space="preserve">Homologación de Equipos de Validación para </w:t>
                    </w:r>
                    <w:r w:rsidR="00F44E70" w:rsidRPr="0055194D">
                      <w:rPr>
                        <w:color w:val="D9E2F3" w:themeColor="accent1" w:themeTint="33"/>
                        <w:sz w:val="18"/>
                        <w:szCs w:val="18"/>
                      </w:rPr>
                      <w:t>SINPE-TP</w:t>
                    </w:r>
                  </w:p>
                </w:txbxContent>
              </v:textbox>
              <w10:anchorlock/>
            </v:shape>
          </w:pict>
        </mc:Fallback>
      </mc:AlternateContent>
    </w:r>
    <w:r w:rsidR="00277D70">
      <w:rPr>
        <w:noProof/>
      </w:rPr>
      <mc:AlternateContent>
        <mc:Choice Requires="wps">
          <w:drawing>
            <wp:anchor distT="0" distB="0" distL="114300" distR="114300" simplePos="0" relativeHeight="251636224"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FFE12" id="Rectángulo 4" o:spid="_x0000_s1026" style="position:absolute;margin-left:34.5pt;margin-top:-29.5pt;width:9.4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46464"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D2E41" id="Rectángulo 4" o:spid="_x0000_s1026" style="position:absolute;margin-left:34.5pt;margin-top:-37pt;width:9.4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9776"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_x0000_s1042" type="#_x0000_t202" style="position:absolute;left:0;text-align:left;margin-left:-32.5pt;margin-top:-29.5pt;width:52pt;height:28.0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83328"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7A90E" id="Rectángulo 1" o:spid="_x0000_s1026" style="position:absolute;margin-left:-211.2pt;margin-top:-41.05pt;width:833.4pt;height:46.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78208"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4EE4E" id="Rectángulo 1" o:spid="_x0000_s1026" style="position:absolute;margin-left:-211.2pt;margin-top:-41.05pt;width:833.4pt;height:4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03976DB9"/>
    <w:multiLevelType w:val="hybridMultilevel"/>
    <w:tmpl w:val="5EC061B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5E26D29"/>
    <w:multiLevelType w:val="hybridMultilevel"/>
    <w:tmpl w:val="3DD221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6661C7"/>
    <w:multiLevelType w:val="hybridMultilevel"/>
    <w:tmpl w:val="A39C4708"/>
    <w:lvl w:ilvl="0" w:tplc="4DB690F0">
      <w:start w:val="1"/>
      <w:numFmt w:val="lowerLetter"/>
      <w:lvlText w:val="%1)"/>
      <w:lvlJc w:val="left"/>
      <w:pPr>
        <w:tabs>
          <w:tab w:val="num" w:pos="737"/>
        </w:tabs>
        <w:ind w:left="737" w:hanging="340"/>
      </w:pPr>
      <w:rPr>
        <w:rFonts w:ascii="Arial" w:hAnsi="Arial" w:hint="default"/>
        <w:b w:val="0"/>
        <w:i w:val="0"/>
        <w:caps w:val="0"/>
        <w:strike w:val="0"/>
        <w:dstrike w:val="0"/>
        <w:vanish w:val="0"/>
        <w:color w:val="auto"/>
        <w:sz w:val="20"/>
        <w:szCs w:val="20"/>
        <w:u w:val="none"/>
        <w:vertAlign w:val="baseline"/>
      </w:rPr>
    </w:lvl>
    <w:lvl w:ilvl="1" w:tplc="140A0019">
      <w:start w:val="1"/>
      <w:numFmt w:val="lowerLetter"/>
      <w:lvlText w:val="%2."/>
      <w:lvlJc w:val="left"/>
      <w:pPr>
        <w:ind w:left="2131" w:hanging="360"/>
      </w:pPr>
    </w:lvl>
    <w:lvl w:ilvl="2" w:tplc="140A001B" w:tentative="1">
      <w:start w:val="1"/>
      <w:numFmt w:val="lowerRoman"/>
      <w:lvlText w:val="%3."/>
      <w:lvlJc w:val="right"/>
      <w:pPr>
        <w:ind w:left="2851" w:hanging="180"/>
      </w:pPr>
    </w:lvl>
    <w:lvl w:ilvl="3" w:tplc="140A000F" w:tentative="1">
      <w:start w:val="1"/>
      <w:numFmt w:val="decimal"/>
      <w:lvlText w:val="%4."/>
      <w:lvlJc w:val="left"/>
      <w:pPr>
        <w:ind w:left="3571" w:hanging="360"/>
      </w:pPr>
    </w:lvl>
    <w:lvl w:ilvl="4" w:tplc="140A0019" w:tentative="1">
      <w:start w:val="1"/>
      <w:numFmt w:val="lowerLetter"/>
      <w:lvlText w:val="%5."/>
      <w:lvlJc w:val="left"/>
      <w:pPr>
        <w:ind w:left="4291" w:hanging="360"/>
      </w:pPr>
    </w:lvl>
    <w:lvl w:ilvl="5" w:tplc="140A001B" w:tentative="1">
      <w:start w:val="1"/>
      <w:numFmt w:val="lowerRoman"/>
      <w:lvlText w:val="%6."/>
      <w:lvlJc w:val="right"/>
      <w:pPr>
        <w:ind w:left="5011" w:hanging="180"/>
      </w:pPr>
    </w:lvl>
    <w:lvl w:ilvl="6" w:tplc="140A000F" w:tentative="1">
      <w:start w:val="1"/>
      <w:numFmt w:val="decimal"/>
      <w:lvlText w:val="%7."/>
      <w:lvlJc w:val="left"/>
      <w:pPr>
        <w:ind w:left="5731" w:hanging="360"/>
      </w:pPr>
    </w:lvl>
    <w:lvl w:ilvl="7" w:tplc="140A0019" w:tentative="1">
      <w:start w:val="1"/>
      <w:numFmt w:val="lowerLetter"/>
      <w:lvlText w:val="%8."/>
      <w:lvlJc w:val="left"/>
      <w:pPr>
        <w:ind w:left="6451" w:hanging="360"/>
      </w:pPr>
    </w:lvl>
    <w:lvl w:ilvl="8" w:tplc="140A001B" w:tentative="1">
      <w:start w:val="1"/>
      <w:numFmt w:val="lowerRoman"/>
      <w:lvlText w:val="%9."/>
      <w:lvlJc w:val="right"/>
      <w:pPr>
        <w:ind w:left="7171" w:hanging="180"/>
      </w:pPr>
    </w:lvl>
  </w:abstractNum>
  <w:abstractNum w:abstractNumId="4" w15:restartNumberingAfterBreak="0">
    <w:nsid w:val="08EF651E"/>
    <w:multiLevelType w:val="hybridMultilevel"/>
    <w:tmpl w:val="DEB67CDC"/>
    <w:lvl w:ilvl="0" w:tplc="FFFFFFFF">
      <w:start w:val="1"/>
      <w:numFmt w:val="bullet"/>
      <w:lvlText w:val=""/>
      <w:lvlJc w:val="left"/>
      <w:pPr>
        <w:ind w:left="720" w:hanging="360"/>
      </w:pPr>
      <w:rPr>
        <w:rFonts w:ascii="Symbol" w:hAnsi="Symbol" w:hint="default"/>
      </w:rPr>
    </w:lvl>
    <w:lvl w:ilvl="1" w:tplc="14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F0AA6"/>
    <w:multiLevelType w:val="hybridMultilevel"/>
    <w:tmpl w:val="865AB5A8"/>
    <w:lvl w:ilvl="0" w:tplc="1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7" w15:restartNumberingAfterBreak="0">
    <w:nsid w:val="13B546FE"/>
    <w:multiLevelType w:val="hybridMultilevel"/>
    <w:tmpl w:val="8B744258"/>
    <w:lvl w:ilvl="0" w:tplc="1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155FF1"/>
    <w:multiLevelType w:val="hybridMultilevel"/>
    <w:tmpl w:val="77EC19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A450D03"/>
    <w:multiLevelType w:val="hybridMultilevel"/>
    <w:tmpl w:val="A31AC1BC"/>
    <w:lvl w:ilvl="0" w:tplc="140A0005">
      <w:start w:val="1"/>
      <w:numFmt w:val="bullet"/>
      <w:lvlText w:val=""/>
      <w:lvlJc w:val="left"/>
      <w:pPr>
        <w:tabs>
          <w:tab w:val="num" w:pos="788"/>
        </w:tabs>
        <w:ind w:left="2886" w:hanging="340"/>
      </w:pPr>
      <w:rPr>
        <w:rFonts w:ascii="Wingdings" w:hAnsi="Wingding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2228"/>
        </w:tabs>
        <w:ind w:left="2228" w:hanging="360"/>
      </w:pPr>
      <w:rPr>
        <w:rFonts w:ascii="Courier New" w:hAnsi="Courier New" w:cs="Courier New" w:hint="default"/>
      </w:rPr>
    </w:lvl>
    <w:lvl w:ilvl="2" w:tplc="0C0A0005" w:tentative="1">
      <w:start w:val="1"/>
      <w:numFmt w:val="bullet"/>
      <w:lvlText w:val=""/>
      <w:lvlJc w:val="left"/>
      <w:pPr>
        <w:tabs>
          <w:tab w:val="num" w:pos="2948"/>
        </w:tabs>
        <w:ind w:left="2948" w:hanging="360"/>
      </w:pPr>
      <w:rPr>
        <w:rFonts w:ascii="Wingdings" w:hAnsi="Wingdings" w:hint="default"/>
      </w:rPr>
    </w:lvl>
    <w:lvl w:ilvl="3" w:tplc="0C0A0001">
      <w:start w:val="1"/>
      <w:numFmt w:val="bullet"/>
      <w:lvlText w:val=""/>
      <w:lvlJc w:val="left"/>
      <w:pPr>
        <w:tabs>
          <w:tab w:val="num" w:pos="3668"/>
        </w:tabs>
        <w:ind w:left="3668" w:hanging="360"/>
      </w:pPr>
      <w:rPr>
        <w:rFonts w:ascii="Symbol" w:hAnsi="Symbol" w:hint="default"/>
      </w:rPr>
    </w:lvl>
    <w:lvl w:ilvl="4" w:tplc="0C0A0003" w:tentative="1">
      <w:start w:val="1"/>
      <w:numFmt w:val="bullet"/>
      <w:lvlText w:val="o"/>
      <w:lvlJc w:val="left"/>
      <w:pPr>
        <w:tabs>
          <w:tab w:val="num" w:pos="4388"/>
        </w:tabs>
        <w:ind w:left="4388" w:hanging="360"/>
      </w:pPr>
      <w:rPr>
        <w:rFonts w:ascii="Courier New" w:hAnsi="Courier New" w:cs="Courier New" w:hint="default"/>
      </w:rPr>
    </w:lvl>
    <w:lvl w:ilvl="5" w:tplc="0C0A0005" w:tentative="1">
      <w:start w:val="1"/>
      <w:numFmt w:val="bullet"/>
      <w:lvlText w:val=""/>
      <w:lvlJc w:val="left"/>
      <w:pPr>
        <w:tabs>
          <w:tab w:val="num" w:pos="5108"/>
        </w:tabs>
        <w:ind w:left="5108" w:hanging="360"/>
      </w:pPr>
      <w:rPr>
        <w:rFonts w:ascii="Wingdings" w:hAnsi="Wingdings" w:hint="default"/>
      </w:rPr>
    </w:lvl>
    <w:lvl w:ilvl="6" w:tplc="0C0A0001" w:tentative="1">
      <w:start w:val="1"/>
      <w:numFmt w:val="bullet"/>
      <w:lvlText w:val=""/>
      <w:lvlJc w:val="left"/>
      <w:pPr>
        <w:tabs>
          <w:tab w:val="num" w:pos="5828"/>
        </w:tabs>
        <w:ind w:left="5828" w:hanging="360"/>
      </w:pPr>
      <w:rPr>
        <w:rFonts w:ascii="Symbol" w:hAnsi="Symbol" w:hint="default"/>
      </w:rPr>
    </w:lvl>
    <w:lvl w:ilvl="7" w:tplc="0C0A0003" w:tentative="1">
      <w:start w:val="1"/>
      <w:numFmt w:val="bullet"/>
      <w:lvlText w:val="o"/>
      <w:lvlJc w:val="left"/>
      <w:pPr>
        <w:tabs>
          <w:tab w:val="num" w:pos="6548"/>
        </w:tabs>
        <w:ind w:left="6548" w:hanging="360"/>
      </w:pPr>
      <w:rPr>
        <w:rFonts w:ascii="Courier New" w:hAnsi="Courier New" w:cs="Courier New" w:hint="default"/>
      </w:rPr>
    </w:lvl>
    <w:lvl w:ilvl="8" w:tplc="0C0A0005" w:tentative="1">
      <w:start w:val="1"/>
      <w:numFmt w:val="bullet"/>
      <w:lvlText w:val=""/>
      <w:lvlJc w:val="left"/>
      <w:pPr>
        <w:tabs>
          <w:tab w:val="num" w:pos="7268"/>
        </w:tabs>
        <w:ind w:left="7268" w:hanging="360"/>
      </w:pPr>
      <w:rPr>
        <w:rFonts w:ascii="Wingdings" w:hAnsi="Wingdings" w:hint="default"/>
      </w:rPr>
    </w:lvl>
  </w:abstractNum>
  <w:abstractNum w:abstractNumId="10" w15:restartNumberingAfterBreak="0">
    <w:nsid w:val="1FA66B51"/>
    <w:multiLevelType w:val="hybridMultilevel"/>
    <w:tmpl w:val="7BBA0D8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A84430D"/>
    <w:multiLevelType w:val="hybridMultilevel"/>
    <w:tmpl w:val="CA3A9C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13" w15:restartNumberingAfterBreak="0">
    <w:nsid w:val="3687254A"/>
    <w:multiLevelType w:val="hybridMultilevel"/>
    <w:tmpl w:val="988A9486"/>
    <w:lvl w:ilvl="0" w:tplc="140A0001">
      <w:start w:val="1"/>
      <w:numFmt w:val="bullet"/>
      <w:lvlText w:val=""/>
      <w:lvlJc w:val="left"/>
      <w:pPr>
        <w:tabs>
          <w:tab w:val="num" w:pos="0"/>
        </w:tabs>
        <w:ind w:left="2098" w:hanging="340"/>
      </w:pPr>
      <w:rPr>
        <w:rFonts w:ascii="Symbol" w:hAnsi="Symbol" w:hint="default"/>
        <w:b w:val="0"/>
        <w:i w:val="0"/>
        <w:caps w:val="0"/>
        <w:strike w:val="0"/>
        <w:dstrike w:val="0"/>
        <w:outline w:val="0"/>
        <w:shadow w:val="0"/>
        <w:emboss w:val="0"/>
        <w:imprint w:val="0"/>
        <w:vanish w:val="0"/>
        <w:color w:val="auto"/>
        <w:sz w:val="18"/>
        <w:szCs w:val="18"/>
        <w:u w:val="none"/>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82354A"/>
    <w:multiLevelType w:val="multilevel"/>
    <w:tmpl w:val="9438C06A"/>
    <w:lvl w:ilvl="0">
      <w:start w:val="1"/>
      <w:numFmt w:val="decimal"/>
      <w:lvlText w:val="%1"/>
      <w:lvlJc w:val="left"/>
      <w:pPr>
        <w:tabs>
          <w:tab w:val="num" w:pos="2133"/>
        </w:tabs>
        <w:ind w:left="2133" w:hanging="432"/>
      </w:pPr>
    </w:lvl>
    <w:lvl w:ilvl="1">
      <w:start w:val="1"/>
      <w:numFmt w:val="decimal"/>
      <w:lvlText w:val="%1.%2"/>
      <w:lvlJc w:val="left"/>
      <w:pPr>
        <w:tabs>
          <w:tab w:val="num" w:pos="2420"/>
        </w:tabs>
        <w:ind w:left="2420" w:hanging="576"/>
      </w:pPr>
    </w:lvl>
    <w:lvl w:ilvl="2">
      <w:start w:val="1"/>
      <w:numFmt w:val="decimal"/>
      <w:lvlText w:val="%1.%2.%3"/>
      <w:lvlJc w:val="left"/>
      <w:pPr>
        <w:tabs>
          <w:tab w:val="num" w:pos="2421"/>
        </w:tabs>
        <w:ind w:left="2421" w:hanging="720"/>
      </w:pPr>
    </w:lvl>
    <w:lvl w:ilvl="3">
      <w:start w:val="1"/>
      <w:numFmt w:val="decimal"/>
      <w:lvlText w:val="%1.%2.%3.%4"/>
      <w:lvlJc w:val="left"/>
      <w:pPr>
        <w:tabs>
          <w:tab w:val="num" w:pos="2565"/>
        </w:tabs>
        <w:ind w:left="2565" w:hanging="864"/>
      </w:pPr>
    </w:lvl>
    <w:lvl w:ilvl="4">
      <w:start w:val="1"/>
      <w:numFmt w:val="decimal"/>
      <w:lvlText w:val="%1.%2.%3.%4.%5"/>
      <w:lvlJc w:val="left"/>
      <w:pPr>
        <w:tabs>
          <w:tab w:val="num" w:pos="2709"/>
        </w:tabs>
        <w:ind w:left="2709" w:hanging="1008"/>
      </w:pPr>
    </w:lvl>
    <w:lvl w:ilvl="5">
      <w:start w:val="1"/>
      <w:numFmt w:val="decimal"/>
      <w:lvlText w:val="%1.%2.%3.%4.%5.%6"/>
      <w:lvlJc w:val="left"/>
      <w:pPr>
        <w:tabs>
          <w:tab w:val="num" w:pos="2853"/>
        </w:tabs>
        <w:ind w:left="2853" w:hanging="1152"/>
      </w:pPr>
    </w:lvl>
    <w:lvl w:ilvl="6">
      <w:start w:val="1"/>
      <w:numFmt w:val="decimal"/>
      <w:lvlText w:val="%1.%2.%3.%4.%5.%6.%7"/>
      <w:lvlJc w:val="left"/>
      <w:pPr>
        <w:tabs>
          <w:tab w:val="num" w:pos="2997"/>
        </w:tabs>
        <w:ind w:left="2997" w:hanging="1296"/>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5"/>
        </w:tabs>
        <w:ind w:left="3285" w:hanging="1584"/>
      </w:pPr>
    </w:lvl>
  </w:abstractNum>
  <w:abstractNum w:abstractNumId="15" w15:restartNumberingAfterBreak="0">
    <w:nsid w:val="3CC45D00"/>
    <w:multiLevelType w:val="hybridMultilevel"/>
    <w:tmpl w:val="26DC3FF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0D57F30"/>
    <w:multiLevelType w:val="hybridMultilevel"/>
    <w:tmpl w:val="00729574"/>
    <w:lvl w:ilvl="0" w:tplc="140A0017">
      <w:start w:val="1"/>
      <w:numFmt w:val="lowerLetter"/>
      <w:lvlText w:val="%1)"/>
      <w:lvlJc w:val="left"/>
      <w:pPr>
        <w:tabs>
          <w:tab w:val="num" w:pos="425"/>
        </w:tabs>
        <w:ind w:left="369" w:hanging="312"/>
      </w:pPr>
      <w:rPr>
        <w:rFonts w:hint="default"/>
        <w:b w:val="0"/>
        <w:i w:val="0"/>
        <w:caps w:val="0"/>
        <w:strike w:val="0"/>
        <w:dstrike w:val="0"/>
        <w:vanish w:val="0"/>
        <w:color w:val="auto"/>
        <w:sz w:val="18"/>
        <w:szCs w:val="18"/>
        <w:u w:val="none"/>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5227C4"/>
    <w:multiLevelType w:val="hybridMultilevel"/>
    <w:tmpl w:val="2438F7BE"/>
    <w:lvl w:ilvl="0" w:tplc="B9EE8AE6">
      <w:start w:val="1"/>
      <w:numFmt w:val="lowerRoman"/>
      <w:lvlText w:val="%1)"/>
      <w:lvlJc w:val="left"/>
      <w:pPr>
        <w:tabs>
          <w:tab w:val="num" w:pos="1077"/>
        </w:tabs>
        <w:ind w:left="1077" w:hanging="397"/>
      </w:pPr>
      <w:rPr>
        <w:rFonts w:ascii="Arial" w:hAnsi="Arial" w:cs="Times New Roman" w:hint="default"/>
        <w:b/>
        <w:bCs w:val="0"/>
        <w:i w:val="0"/>
        <w:iCs w:val="0"/>
        <w:caps w:val="0"/>
        <w:smallCaps w:val="0"/>
        <w:strike w:val="0"/>
        <w:dstrike w:val="0"/>
        <w:noProof w:val="0"/>
        <w:snapToGrid w:val="0"/>
        <w:vanish w:val="0"/>
        <w:color w:val="auto"/>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3F0DDB"/>
    <w:multiLevelType w:val="hybridMultilevel"/>
    <w:tmpl w:val="B59C9D80"/>
    <w:lvl w:ilvl="0" w:tplc="1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A819B8"/>
    <w:multiLevelType w:val="hybridMultilevel"/>
    <w:tmpl w:val="E186609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0534FDF"/>
    <w:multiLevelType w:val="hybridMultilevel"/>
    <w:tmpl w:val="FDE499C0"/>
    <w:lvl w:ilvl="0" w:tplc="D10C366A">
      <w:start w:val="1"/>
      <w:numFmt w:val="lowerLetter"/>
      <w:lvlText w:val="%1)"/>
      <w:lvlJc w:val="left"/>
      <w:pPr>
        <w:tabs>
          <w:tab w:val="num" w:pos="425"/>
        </w:tabs>
        <w:ind w:left="369" w:hanging="312"/>
      </w:pPr>
      <w:rPr>
        <w:rFonts w:hint="default"/>
        <w:b w:val="0"/>
        <w:i w:val="0"/>
        <w:caps w:val="0"/>
        <w:strike w:val="0"/>
        <w:dstrike w:val="0"/>
        <w:vanish w:val="0"/>
        <w:color w:val="auto"/>
        <w:sz w:val="20"/>
        <w:szCs w:val="20"/>
        <w:u w:val="none"/>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8B3445"/>
    <w:multiLevelType w:val="hybridMultilevel"/>
    <w:tmpl w:val="D4F0B602"/>
    <w:lvl w:ilvl="0" w:tplc="FEF495D4">
      <w:start w:val="1"/>
      <w:numFmt w:val="lowerLetter"/>
      <w:lvlText w:val="%1)"/>
      <w:lvlJc w:val="left"/>
      <w:pPr>
        <w:ind w:left="397" w:hanging="397"/>
      </w:pPr>
      <w:rPr>
        <w:rFonts w:ascii="Times New Roman" w:hAnsi="Times New Roman" w:cs="Times New Roman" w:hint="default"/>
        <w:b w:val="0"/>
        <w:i w:val="0"/>
        <w:caps w:val="0"/>
        <w:strike w:val="0"/>
        <w:dstrike w:val="0"/>
        <w:vanish w:val="0"/>
        <w:color w:val="auto"/>
        <w:sz w:val="20"/>
        <w:szCs w:val="20"/>
        <w:u w:val="none"/>
        <w:vertAlign w:val="baseline"/>
      </w:rPr>
    </w:lvl>
    <w:lvl w:ilvl="1" w:tplc="0C0A0019">
      <w:start w:val="1"/>
      <w:numFmt w:val="lowerLetter"/>
      <w:lvlText w:val="%2."/>
      <w:lvlJc w:val="left"/>
      <w:pPr>
        <w:tabs>
          <w:tab w:val="num" w:pos="-318"/>
        </w:tabs>
        <w:ind w:left="-318" w:hanging="360"/>
      </w:pPr>
    </w:lvl>
    <w:lvl w:ilvl="2" w:tplc="0C0A001B">
      <w:start w:val="1"/>
      <w:numFmt w:val="lowerRoman"/>
      <w:lvlText w:val="%3."/>
      <w:lvlJc w:val="right"/>
      <w:pPr>
        <w:tabs>
          <w:tab w:val="num" w:pos="402"/>
        </w:tabs>
        <w:ind w:left="402" w:hanging="180"/>
      </w:pPr>
    </w:lvl>
    <w:lvl w:ilvl="3" w:tplc="0C0A000F" w:tentative="1">
      <w:start w:val="1"/>
      <w:numFmt w:val="decimal"/>
      <w:lvlText w:val="%4."/>
      <w:lvlJc w:val="left"/>
      <w:pPr>
        <w:tabs>
          <w:tab w:val="num" w:pos="1122"/>
        </w:tabs>
        <w:ind w:left="1122" w:hanging="360"/>
      </w:pPr>
    </w:lvl>
    <w:lvl w:ilvl="4" w:tplc="0C0A0019" w:tentative="1">
      <w:start w:val="1"/>
      <w:numFmt w:val="lowerLetter"/>
      <w:lvlText w:val="%5."/>
      <w:lvlJc w:val="left"/>
      <w:pPr>
        <w:tabs>
          <w:tab w:val="num" w:pos="1842"/>
        </w:tabs>
        <w:ind w:left="1842" w:hanging="360"/>
      </w:pPr>
    </w:lvl>
    <w:lvl w:ilvl="5" w:tplc="0C0A001B" w:tentative="1">
      <w:start w:val="1"/>
      <w:numFmt w:val="lowerRoman"/>
      <w:lvlText w:val="%6."/>
      <w:lvlJc w:val="right"/>
      <w:pPr>
        <w:tabs>
          <w:tab w:val="num" w:pos="2562"/>
        </w:tabs>
        <w:ind w:left="2562" w:hanging="180"/>
      </w:pPr>
    </w:lvl>
    <w:lvl w:ilvl="6" w:tplc="0C0A000F" w:tentative="1">
      <w:start w:val="1"/>
      <w:numFmt w:val="decimal"/>
      <w:lvlText w:val="%7."/>
      <w:lvlJc w:val="left"/>
      <w:pPr>
        <w:tabs>
          <w:tab w:val="num" w:pos="3282"/>
        </w:tabs>
        <w:ind w:left="3282" w:hanging="360"/>
      </w:pPr>
    </w:lvl>
    <w:lvl w:ilvl="7" w:tplc="0C0A0019" w:tentative="1">
      <w:start w:val="1"/>
      <w:numFmt w:val="lowerLetter"/>
      <w:lvlText w:val="%8."/>
      <w:lvlJc w:val="left"/>
      <w:pPr>
        <w:tabs>
          <w:tab w:val="num" w:pos="4002"/>
        </w:tabs>
        <w:ind w:left="4002" w:hanging="360"/>
      </w:pPr>
    </w:lvl>
    <w:lvl w:ilvl="8" w:tplc="0C0A001B" w:tentative="1">
      <w:start w:val="1"/>
      <w:numFmt w:val="lowerRoman"/>
      <w:lvlText w:val="%9."/>
      <w:lvlJc w:val="right"/>
      <w:pPr>
        <w:tabs>
          <w:tab w:val="num" w:pos="4722"/>
        </w:tabs>
        <w:ind w:left="4722" w:hanging="180"/>
      </w:pPr>
    </w:lvl>
  </w:abstractNum>
  <w:abstractNum w:abstractNumId="22" w15:restartNumberingAfterBreak="0">
    <w:nsid w:val="54003FD2"/>
    <w:multiLevelType w:val="hybridMultilevel"/>
    <w:tmpl w:val="447CE00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CB42DA4"/>
    <w:multiLevelType w:val="hybridMultilevel"/>
    <w:tmpl w:val="5EC061B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434AC0"/>
    <w:multiLevelType w:val="hybridMultilevel"/>
    <w:tmpl w:val="6838BF60"/>
    <w:lvl w:ilvl="0" w:tplc="61044FBA">
      <w:start w:val="1"/>
      <w:numFmt w:val="lowerLetter"/>
      <w:lvlText w:val="%1)"/>
      <w:lvlJc w:val="left"/>
      <w:pPr>
        <w:ind w:left="720" w:hanging="360"/>
      </w:pPr>
      <w:rPr>
        <w:rFonts w:ascii="Arial" w:hAnsi="Arial" w:cs="Arial" w:hint="default"/>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B1D72C5"/>
    <w:multiLevelType w:val="hybridMultilevel"/>
    <w:tmpl w:val="CA3A9CB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076598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24"/>
  </w:num>
  <w:num w:numId="3" w16cid:durableId="172575578">
    <w:abstractNumId w:val="6"/>
  </w:num>
  <w:num w:numId="4" w16cid:durableId="246884248">
    <w:abstractNumId w:val="0"/>
  </w:num>
  <w:num w:numId="5" w16cid:durableId="498934732">
    <w:abstractNumId w:val="13"/>
  </w:num>
  <w:num w:numId="6" w16cid:durableId="488642625">
    <w:abstractNumId w:val="15"/>
  </w:num>
  <w:num w:numId="7" w16cid:durableId="1552231392">
    <w:abstractNumId w:val="23"/>
  </w:num>
  <w:num w:numId="8" w16cid:durableId="1465927122">
    <w:abstractNumId w:val="22"/>
  </w:num>
  <w:num w:numId="9" w16cid:durableId="1119297446">
    <w:abstractNumId w:val="18"/>
  </w:num>
  <w:num w:numId="10" w16cid:durableId="410854348">
    <w:abstractNumId w:val="16"/>
  </w:num>
  <w:num w:numId="11" w16cid:durableId="1424495581">
    <w:abstractNumId w:val="20"/>
  </w:num>
  <w:num w:numId="12" w16cid:durableId="1227571465">
    <w:abstractNumId w:val="7"/>
  </w:num>
  <w:num w:numId="13" w16cid:durableId="1738622723">
    <w:abstractNumId w:val="17"/>
  </w:num>
  <w:num w:numId="14" w16cid:durableId="430008540">
    <w:abstractNumId w:val="14"/>
  </w:num>
  <w:num w:numId="15" w16cid:durableId="2137991699">
    <w:abstractNumId w:val="3"/>
    <w:lvlOverride w:ilvl="0">
      <w:startOverride w:val="1"/>
    </w:lvlOverride>
  </w:num>
  <w:num w:numId="16" w16cid:durableId="1631856408">
    <w:abstractNumId w:val="10"/>
  </w:num>
  <w:num w:numId="17" w16cid:durableId="667246716">
    <w:abstractNumId w:val="9"/>
  </w:num>
  <w:num w:numId="18" w16cid:durableId="1551066450">
    <w:abstractNumId w:val="21"/>
    <w:lvlOverride w:ilvl="0">
      <w:startOverride w:val="1"/>
    </w:lvlOverride>
  </w:num>
  <w:num w:numId="19" w16cid:durableId="1477453247">
    <w:abstractNumId w:val="1"/>
  </w:num>
  <w:num w:numId="20" w16cid:durableId="2034837147">
    <w:abstractNumId w:val="2"/>
  </w:num>
  <w:num w:numId="21" w16cid:durableId="1016738412">
    <w:abstractNumId w:val="19"/>
  </w:num>
  <w:num w:numId="22" w16cid:durableId="354238175">
    <w:abstractNumId w:val="8"/>
  </w:num>
  <w:num w:numId="23" w16cid:durableId="192495888">
    <w:abstractNumId w:val="5"/>
  </w:num>
  <w:num w:numId="24" w16cid:durableId="23987960">
    <w:abstractNumId w:val="4"/>
  </w:num>
  <w:num w:numId="25" w16cid:durableId="1402556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4969861">
    <w:abstractNumId w:val="25"/>
  </w:num>
  <w:num w:numId="27" w16cid:durableId="1437795934">
    <w:abstractNumId w:val="26"/>
  </w:num>
  <w:num w:numId="28" w16cid:durableId="6064149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4">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10DD"/>
    <w:rsid w:val="000016DA"/>
    <w:rsid w:val="0000189A"/>
    <w:rsid w:val="00001BB4"/>
    <w:rsid w:val="00001CB1"/>
    <w:rsid w:val="0000297F"/>
    <w:rsid w:val="00002EE8"/>
    <w:rsid w:val="000033A9"/>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600"/>
    <w:rsid w:val="000109F0"/>
    <w:rsid w:val="00011D36"/>
    <w:rsid w:val="00011EFB"/>
    <w:rsid w:val="00011F3B"/>
    <w:rsid w:val="000120EC"/>
    <w:rsid w:val="00012173"/>
    <w:rsid w:val="00012A01"/>
    <w:rsid w:val="00012A46"/>
    <w:rsid w:val="00012ED9"/>
    <w:rsid w:val="000135DD"/>
    <w:rsid w:val="000136FB"/>
    <w:rsid w:val="00014046"/>
    <w:rsid w:val="000146A0"/>
    <w:rsid w:val="00014A1D"/>
    <w:rsid w:val="00015560"/>
    <w:rsid w:val="00015A88"/>
    <w:rsid w:val="000161A5"/>
    <w:rsid w:val="00016291"/>
    <w:rsid w:val="0001732E"/>
    <w:rsid w:val="00017579"/>
    <w:rsid w:val="00017722"/>
    <w:rsid w:val="000179CA"/>
    <w:rsid w:val="00017DA0"/>
    <w:rsid w:val="000210A3"/>
    <w:rsid w:val="0002199B"/>
    <w:rsid w:val="00022EF3"/>
    <w:rsid w:val="00023DFC"/>
    <w:rsid w:val="00023EC9"/>
    <w:rsid w:val="00024547"/>
    <w:rsid w:val="000249FD"/>
    <w:rsid w:val="00024D13"/>
    <w:rsid w:val="0002513A"/>
    <w:rsid w:val="0002526D"/>
    <w:rsid w:val="00025393"/>
    <w:rsid w:val="00025BA4"/>
    <w:rsid w:val="00026499"/>
    <w:rsid w:val="000266C5"/>
    <w:rsid w:val="000267ED"/>
    <w:rsid w:val="00030834"/>
    <w:rsid w:val="00031C66"/>
    <w:rsid w:val="0003288E"/>
    <w:rsid w:val="00033417"/>
    <w:rsid w:val="00033594"/>
    <w:rsid w:val="000335D7"/>
    <w:rsid w:val="0003460B"/>
    <w:rsid w:val="00034A8B"/>
    <w:rsid w:val="00035382"/>
    <w:rsid w:val="00035530"/>
    <w:rsid w:val="0003574D"/>
    <w:rsid w:val="00035D55"/>
    <w:rsid w:val="000363D8"/>
    <w:rsid w:val="00036569"/>
    <w:rsid w:val="00036949"/>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49DF"/>
    <w:rsid w:val="000454A4"/>
    <w:rsid w:val="00045526"/>
    <w:rsid w:val="00046191"/>
    <w:rsid w:val="000461FB"/>
    <w:rsid w:val="000462AC"/>
    <w:rsid w:val="000468F5"/>
    <w:rsid w:val="00046C10"/>
    <w:rsid w:val="00047014"/>
    <w:rsid w:val="000472A3"/>
    <w:rsid w:val="00047ACA"/>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F9F"/>
    <w:rsid w:val="00060829"/>
    <w:rsid w:val="00061038"/>
    <w:rsid w:val="000616F7"/>
    <w:rsid w:val="00061A5C"/>
    <w:rsid w:val="00061CCF"/>
    <w:rsid w:val="00061E26"/>
    <w:rsid w:val="00062332"/>
    <w:rsid w:val="00062F49"/>
    <w:rsid w:val="00063370"/>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60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6B"/>
    <w:rsid w:val="000A24C2"/>
    <w:rsid w:val="000A3424"/>
    <w:rsid w:val="000A5DC8"/>
    <w:rsid w:val="000A6B7F"/>
    <w:rsid w:val="000A6FB6"/>
    <w:rsid w:val="000A74D8"/>
    <w:rsid w:val="000B082E"/>
    <w:rsid w:val="000B0855"/>
    <w:rsid w:val="000B1A08"/>
    <w:rsid w:val="000B2508"/>
    <w:rsid w:val="000B2AB1"/>
    <w:rsid w:val="000B2ECD"/>
    <w:rsid w:val="000B34B6"/>
    <w:rsid w:val="000B38F7"/>
    <w:rsid w:val="000B3AD7"/>
    <w:rsid w:val="000B3BF5"/>
    <w:rsid w:val="000B487A"/>
    <w:rsid w:val="000B4ABB"/>
    <w:rsid w:val="000B4B7A"/>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E59"/>
    <w:rsid w:val="000D7BBF"/>
    <w:rsid w:val="000D7C1A"/>
    <w:rsid w:val="000D7F97"/>
    <w:rsid w:val="000E15E1"/>
    <w:rsid w:val="000E1C86"/>
    <w:rsid w:val="000E2201"/>
    <w:rsid w:val="000E2465"/>
    <w:rsid w:val="000E2F50"/>
    <w:rsid w:val="000E31AD"/>
    <w:rsid w:val="000E3986"/>
    <w:rsid w:val="000E3DE6"/>
    <w:rsid w:val="000E406E"/>
    <w:rsid w:val="000E40A5"/>
    <w:rsid w:val="000E41B2"/>
    <w:rsid w:val="000E4B01"/>
    <w:rsid w:val="000E502C"/>
    <w:rsid w:val="000E59B4"/>
    <w:rsid w:val="000E5F2C"/>
    <w:rsid w:val="000E6603"/>
    <w:rsid w:val="000F0066"/>
    <w:rsid w:val="000F0573"/>
    <w:rsid w:val="000F0A8C"/>
    <w:rsid w:val="000F10F4"/>
    <w:rsid w:val="000F1751"/>
    <w:rsid w:val="000F2225"/>
    <w:rsid w:val="000F36F6"/>
    <w:rsid w:val="000F3B44"/>
    <w:rsid w:val="000F3D94"/>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A33"/>
    <w:rsid w:val="00110C6E"/>
    <w:rsid w:val="00111C7D"/>
    <w:rsid w:val="00112E72"/>
    <w:rsid w:val="001138AC"/>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4ED"/>
    <w:rsid w:val="001216B3"/>
    <w:rsid w:val="00121926"/>
    <w:rsid w:val="00121A2D"/>
    <w:rsid w:val="00121AE9"/>
    <w:rsid w:val="00122452"/>
    <w:rsid w:val="00122455"/>
    <w:rsid w:val="00122523"/>
    <w:rsid w:val="00122547"/>
    <w:rsid w:val="001225A4"/>
    <w:rsid w:val="0012326D"/>
    <w:rsid w:val="0012383E"/>
    <w:rsid w:val="00124F96"/>
    <w:rsid w:val="00125ACC"/>
    <w:rsid w:val="00126C51"/>
    <w:rsid w:val="00126CF4"/>
    <w:rsid w:val="00127EB7"/>
    <w:rsid w:val="001306B3"/>
    <w:rsid w:val="00130869"/>
    <w:rsid w:val="00131756"/>
    <w:rsid w:val="00131B5F"/>
    <w:rsid w:val="00131E8E"/>
    <w:rsid w:val="00132178"/>
    <w:rsid w:val="0013264A"/>
    <w:rsid w:val="001326EE"/>
    <w:rsid w:val="00132DDC"/>
    <w:rsid w:val="00133917"/>
    <w:rsid w:val="00133A98"/>
    <w:rsid w:val="001341F5"/>
    <w:rsid w:val="00134524"/>
    <w:rsid w:val="00134DA7"/>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9AB"/>
    <w:rsid w:val="0015419E"/>
    <w:rsid w:val="001543DB"/>
    <w:rsid w:val="00154426"/>
    <w:rsid w:val="001547D7"/>
    <w:rsid w:val="00154B1F"/>
    <w:rsid w:val="00154E51"/>
    <w:rsid w:val="00155161"/>
    <w:rsid w:val="001562E0"/>
    <w:rsid w:val="001563BD"/>
    <w:rsid w:val="0015702B"/>
    <w:rsid w:val="001571C1"/>
    <w:rsid w:val="001576C3"/>
    <w:rsid w:val="00157D61"/>
    <w:rsid w:val="001604B0"/>
    <w:rsid w:val="00160CE6"/>
    <w:rsid w:val="00160F8B"/>
    <w:rsid w:val="00161691"/>
    <w:rsid w:val="0016181B"/>
    <w:rsid w:val="00161860"/>
    <w:rsid w:val="00161A1C"/>
    <w:rsid w:val="00161AFF"/>
    <w:rsid w:val="00161C76"/>
    <w:rsid w:val="00162C2B"/>
    <w:rsid w:val="001630DB"/>
    <w:rsid w:val="00163B48"/>
    <w:rsid w:val="00164271"/>
    <w:rsid w:val="001644D7"/>
    <w:rsid w:val="00164D48"/>
    <w:rsid w:val="00165070"/>
    <w:rsid w:val="00165323"/>
    <w:rsid w:val="00165A53"/>
    <w:rsid w:val="0016613C"/>
    <w:rsid w:val="00166543"/>
    <w:rsid w:val="00170512"/>
    <w:rsid w:val="00170AC5"/>
    <w:rsid w:val="00170B40"/>
    <w:rsid w:val="00170CA2"/>
    <w:rsid w:val="00170EA0"/>
    <w:rsid w:val="00171D43"/>
    <w:rsid w:val="00172049"/>
    <w:rsid w:val="001722A1"/>
    <w:rsid w:val="001724A7"/>
    <w:rsid w:val="00172BC9"/>
    <w:rsid w:val="0017515B"/>
    <w:rsid w:val="001753DA"/>
    <w:rsid w:val="00176604"/>
    <w:rsid w:val="00176AC6"/>
    <w:rsid w:val="00176CFF"/>
    <w:rsid w:val="00176F9E"/>
    <w:rsid w:val="00176FF5"/>
    <w:rsid w:val="0017710D"/>
    <w:rsid w:val="001773FC"/>
    <w:rsid w:val="001777EA"/>
    <w:rsid w:val="00177A37"/>
    <w:rsid w:val="00177E0E"/>
    <w:rsid w:val="00180463"/>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4E83"/>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83D"/>
    <w:rsid w:val="001B091C"/>
    <w:rsid w:val="001B0AAB"/>
    <w:rsid w:val="001B1885"/>
    <w:rsid w:val="001B1BA2"/>
    <w:rsid w:val="001B2B09"/>
    <w:rsid w:val="001B2EA8"/>
    <w:rsid w:val="001B2EC9"/>
    <w:rsid w:val="001B34BA"/>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32D"/>
    <w:rsid w:val="001D7660"/>
    <w:rsid w:val="001E062F"/>
    <w:rsid w:val="001E11B8"/>
    <w:rsid w:val="001E17FE"/>
    <w:rsid w:val="001E18D2"/>
    <w:rsid w:val="001E1E78"/>
    <w:rsid w:val="001E2723"/>
    <w:rsid w:val="001E278F"/>
    <w:rsid w:val="001E2961"/>
    <w:rsid w:val="001E2A02"/>
    <w:rsid w:val="001E2C34"/>
    <w:rsid w:val="001E2FF6"/>
    <w:rsid w:val="001E31CC"/>
    <w:rsid w:val="001E3673"/>
    <w:rsid w:val="001E46B7"/>
    <w:rsid w:val="001E4922"/>
    <w:rsid w:val="001E53C1"/>
    <w:rsid w:val="001E545C"/>
    <w:rsid w:val="001E55A1"/>
    <w:rsid w:val="001E5C2E"/>
    <w:rsid w:val="001E5F00"/>
    <w:rsid w:val="001E6554"/>
    <w:rsid w:val="001E6563"/>
    <w:rsid w:val="001E7474"/>
    <w:rsid w:val="001E76E6"/>
    <w:rsid w:val="001E7872"/>
    <w:rsid w:val="001E7CB5"/>
    <w:rsid w:val="001F11EC"/>
    <w:rsid w:val="001F1512"/>
    <w:rsid w:val="001F1B70"/>
    <w:rsid w:val="001F1C13"/>
    <w:rsid w:val="001F1C75"/>
    <w:rsid w:val="001F221F"/>
    <w:rsid w:val="001F263B"/>
    <w:rsid w:val="001F2834"/>
    <w:rsid w:val="001F31C8"/>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AD5"/>
    <w:rsid w:val="002032DF"/>
    <w:rsid w:val="002036A1"/>
    <w:rsid w:val="00203EA8"/>
    <w:rsid w:val="002040C9"/>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396"/>
    <w:rsid w:val="00214645"/>
    <w:rsid w:val="00214D85"/>
    <w:rsid w:val="00215159"/>
    <w:rsid w:val="00215A52"/>
    <w:rsid w:val="00216827"/>
    <w:rsid w:val="00216C53"/>
    <w:rsid w:val="002172EC"/>
    <w:rsid w:val="002202B3"/>
    <w:rsid w:val="002204FE"/>
    <w:rsid w:val="002205B3"/>
    <w:rsid w:val="002208B4"/>
    <w:rsid w:val="002217FE"/>
    <w:rsid w:val="00221986"/>
    <w:rsid w:val="00221E7B"/>
    <w:rsid w:val="002222C9"/>
    <w:rsid w:val="00222598"/>
    <w:rsid w:val="00222921"/>
    <w:rsid w:val="002229A0"/>
    <w:rsid w:val="00222C8B"/>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2184"/>
    <w:rsid w:val="00242355"/>
    <w:rsid w:val="00242394"/>
    <w:rsid w:val="00242642"/>
    <w:rsid w:val="002426D3"/>
    <w:rsid w:val="002428E8"/>
    <w:rsid w:val="00242D64"/>
    <w:rsid w:val="002439B2"/>
    <w:rsid w:val="00243EB0"/>
    <w:rsid w:val="00243F9E"/>
    <w:rsid w:val="002441E7"/>
    <w:rsid w:val="00244B29"/>
    <w:rsid w:val="00244CA6"/>
    <w:rsid w:val="0024561F"/>
    <w:rsid w:val="0024585F"/>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4504"/>
    <w:rsid w:val="00264D70"/>
    <w:rsid w:val="00264F15"/>
    <w:rsid w:val="00265321"/>
    <w:rsid w:val="00265E4E"/>
    <w:rsid w:val="002665F0"/>
    <w:rsid w:val="00266E64"/>
    <w:rsid w:val="0026754E"/>
    <w:rsid w:val="00267717"/>
    <w:rsid w:val="002677AC"/>
    <w:rsid w:val="00270409"/>
    <w:rsid w:val="002708DC"/>
    <w:rsid w:val="00271143"/>
    <w:rsid w:val="0027122D"/>
    <w:rsid w:val="002713B1"/>
    <w:rsid w:val="00271589"/>
    <w:rsid w:val="00271EE2"/>
    <w:rsid w:val="00271F2A"/>
    <w:rsid w:val="00271F3A"/>
    <w:rsid w:val="002731FF"/>
    <w:rsid w:val="00274476"/>
    <w:rsid w:val="00274882"/>
    <w:rsid w:val="002748A0"/>
    <w:rsid w:val="00274CAA"/>
    <w:rsid w:val="00274EAB"/>
    <w:rsid w:val="00275598"/>
    <w:rsid w:val="002759B9"/>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601"/>
    <w:rsid w:val="00295DB9"/>
    <w:rsid w:val="00296479"/>
    <w:rsid w:val="00296691"/>
    <w:rsid w:val="00296863"/>
    <w:rsid w:val="002968CC"/>
    <w:rsid w:val="002968DA"/>
    <w:rsid w:val="00296B3D"/>
    <w:rsid w:val="00296E65"/>
    <w:rsid w:val="00297D2E"/>
    <w:rsid w:val="00297F8F"/>
    <w:rsid w:val="002A0A5E"/>
    <w:rsid w:val="002A0ED3"/>
    <w:rsid w:val="002A1650"/>
    <w:rsid w:val="002A1DEF"/>
    <w:rsid w:val="002A1ED7"/>
    <w:rsid w:val="002A224D"/>
    <w:rsid w:val="002A258D"/>
    <w:rsid w:val="002A278F"/>
    <w:rsid w:val="002A27EF"/>
    <w:rsid w:val="002A2C3A"/>
    <w:rsid w:val="002A2D26"/>
    <w:rsid w:val="002A4E86"/>
    <w:rsid w:val="002A52DF"/>
    <w:rsid w:val="002A54F7"/>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EA9"/>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3002"/>
    <w:rsid w:val="002D311D"/>
    <w:rsid w:val="002D3128"/>
    <w:rsid w:val="002D31A6"/>
    <w:rsid w:val="002D37B5"/>
    <w:rsid w:val="002D394C"/>
    <w:rsid w:val="002D3BE5"/>
    <w:rsid w:val="002D4049"/>
    <w:rsid w:val="002D4641"/>
    <w:rsid w:val="002D5022"/>
    <w:rsid w:val="002D53A6"/>
    <w:rsid w:val="002D5586"/>
    <w:rsid w:val="002D59F8"/>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4721"/>
    <w:rsid w:val="002E4A33"/>
    <w:rsid w:val="002E4E5C"/>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A62"/>
    <w:rsid w:val="002F6A8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BC1"/>
    <w:rsid w:val="00316BC7"/>
    <w:rsid w:val="00316DCD"/>
    <w:rsid w:val="00316F32"/>
    <w:rsid w:val="003170AD"/>
    <w:rsid w:val="0031762E"/>
    <w:rsid w:val="003176B6"/>
    <w:rsid w:val="00317BA9"/>
    <w:rsid w:val="00317E21"/>
    <w:rsid w:val="00320009"/>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30052"/>
    <w:rsid w:val="00330401"/>
    <w:rsid w:val="0033068D"/>
    <w:rsid w:val="003306F6"/>
    <w:rsid w:val="00330B05"/>
    <w:rsid w:val="00330DC5"/>
    <w:rsid w:val="00331C2B"/>
    <w:rsid w:val="003321B1"/>
    <w:rsid w:val="00332493"/>
    <w:rsid w:val="00332548"/>
    <w:rsid w:val="003326EC"/>
    <w:rsid w:val="00332718"/>
    <w:rsid w:val="00332742"/>
    <w:rsid w:val="00332C7B"/>
    <w:rsid w:val="00332F64"/>
    <w:rsid w:val="0033317E"/>
    <w:rsid w:val="00334B20"/>
    <w:rsid w:val="00334B46"/>
    <w:rsid w:val="00334EEB"/>
    <w:rsid w:val="003354FC"/>
    <w:rsid w:val="0033623F"/>
    <w:rsid w:val="00336B21"/>
    <w:rsid w:val="00337362"/>
    <w:rsid w:val="00337DA2"/>
    <w:rsid w:val="00340376"/>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A62"/>
    <w:rsid w:val="00352D4E"/>
    <w:rsid w:val="00352FC6"/>
    <w:rsid w:val="00353345"/>
    <w:rsid w:val="0035386D"/>
    <w:rsid w:val="00353994"/>
    <w:rsid w:val="0035399A"/>
    <w:rsid w:val="00353A66"/>
    <w:rsid w:val="00353D8F"/>
    <w:rsid w:val="00354474"/>
    <w:rsid w:val="00355F8D"/>
    <w:rsid w:val="00355F8E"/>
    <w:rsid w:val="003564BA"/>
    <w:rsid w:val="00356727"/>
    <w:rsid w:val="00356A21"/>
    <w:rsid w:val="00357A96"/>
    <w:rsid w:val="003608EB"/>
    <w:rsid w:val="0036093F"/>
    <w:rsid w:val="0036180D"/>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154B"/>
    <w:rsid w:val="00381837"/>
    <w:rsid w:val="00382ECC"/>
    <w:rsid w:val="003832A3"/>
    <w:rsid w:val="003841D9"/>
    <w:rsid w:val="003847F4"/>
    <w:rsid w:val="00385292"/>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70C5"/>
    <w:rsid w:val="003B72A4"/>
    <w:rsid w:val="003B774D"/>
    <w:rsid w:val="003B7B3D"/>
    <w:rsid w:val="003B7E57"/>
    <w:rsid w:val="003C00DD"/>
    <w:rsid w:val="003C08B7"/>
    <w:rsid w:val="003C0DFB"/>
    <w:rsid w:val="003C1122"/>
    <w:rsid w:val="003C2199"/>
    <w:rsid w:val="003C267E"/>
    <w:rsid w:val="003C281E"/>
    <w:rsid w:val="003C2D03"/>
    <w:rsid w:val="003C335E"/>
    <w:rsid w:val="003C3E48"/>
    <w:rsid w:val="003C4522"/>
    <w:rsid w:val="003C459A"/>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337F"/>
    <w:rsid w:val="003D4377"/>
    <w:rsid w:val="003D452F"/>
    <w:rsid w:val="003D4C99"/>
    <w:rsid w:val="003D4D22"/>
    <w:rsid w:val="003D5141"/>
    <w:rsid w:val="003D523A"/>
    <w:rsid w:val="003D5C63"/>
    <w:rsid w:val="003D5C83"/>
    <w:rsid w:val="003D601F"/>
    <w:rsid w:val="003D61F5"/>
    <w:rsid w:val="003D6451"/>
    <w:rsid w:val="003D6E2D"/>
    <w:rsid w:val="003D710C"/>
    <w:rsid w:val="003D76CD"/>
    <w:rsid w:val="003E06AF"/>
    <w:rsid w:val="003E0708"/>
    <w:rsid w:val="003E077C"/>
    <w:rsid w:val="003E08AC"/>
    <w:rsid w:val="003E0F11"/>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FF2"/>
    <w:rsid w:val="003E6554"/>
    <w:rsid w:val="003E6E19"/>
    <w:rsid w:val="003E6E45"/>
    <w:rsid w:val="003E726C"/>
    <w:rsid w:val="003F03FB"/>
    <w:rsid w:val="003F0503"/>
    <w:rsid w:val="003F0F4D"/>
    <w:rsid w:val="003F1559"/>
    <w:rsid w:val="003F197D"/>
    <w:rsid w:val="003F2451"/>
    <w:rsid w:val="003F3509"/>
    <w:rsid w:val="003F3538"/>
    <w:rsid w:val="003F48EE"/>
    <w:rsid w:val="003F5119"/>
    <w:rsid w:val="003F5358"/>
    <w:rsid w:val="003F53F9"/>
    <w:rsid w:val="003F63E8"/>
    <w:rsid w:val="003F6B29"/>
    <w:rsid w:val="003F6D88"/>
    <w:rsid w:val="003F73F5"/>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45B"/>
    <w:rsid w:val="00421160"/>
    <w:rsid w:val="0042247B"/>
    <w:rsid w:val="004227C1"/>
    <w:rsid w:val="00422EEB"/>
    <w:rsid w:val="00423244"/>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B7B"/>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3B9"/>
    <w:rsid w:val="00442669"/>
    <w:rsid w:val="004429E0"/>
    <w:rsid w:val="00442CEC"/>
    <w:rsid w:val="00442F84"/>
    <w:rsid w:val="00443092"/>
    <w:rsid w:val="00443BB6"/>
    <w:rsid w:val="00444440"/>
    <w:rsid w:val="0044448C"/>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E2"/>
    <w:rsid w:val="00454E81"/>
    <w:rsid w:val="004551D7"/>
    <w:rsid w:val="00455753"/>
    <w:rsid w:val="0045575E"/>
    <w:rsid w:val="00455CC7"/>
    <w:rsid w:val="004560E7"/>
    <w:rsid w:val="004566DF"/>
    <w:rsid w:val="004568FD"/>
    <w:rsid w:val="00460D15"/>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D4C"/>
    <w:rsid w:val="004935E7"/>
    <w:rsid w:val="00493A39"/>
    <w:rsid w:val="00494945"/>
    <w:rsid w:val="0049546F"/>
    <w:rsid w:val="0049555F"/>
    <w:rsid w:val="00495681"/>
    <w:rsid w:val="00495B96"/>
    <w:rsid w:val="00495BA1"/>
    <w:rsid w:val="0049657E"/>
    <w:rsid w:val="004969C8"/>
    <w:rsid w:val="00496C1F"/>
    <w:rsid w:val="00496C5E"/>
    <w:rsid w:val="00496E9F"/>
    <w:rsid w:val="004970D0"/>
    <w:rsid w:val="004972DE"/>
    <w:rsid w:val="00497BC6"/>
    <w:rsid w:val="004A00D4"/>
    <w:rsid w:val="004A090C"/>
    <w:rsid w:val="004A0963"/>
    <w:rsid w:val="004A0A45"/>
    <w:rsid w:val="004A0AFC"/>
    <w:rsid w:val="004A0F92"/>
    <w:rsid w:val="004A11BD"/>
    <w:rsid w:val="004A1815"/>
    <w:rsid w:val="004A1FE3"/>
    <w:rsid w:val="004A2318"/>
    <w:rsid w:val="004A24B1"/>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E31"/>
    <w:rsid w:val="004A7EED"/>
    <w:rsid w:val="004A7F60"/>
    <w:rsid w:val="004B049E"/>
    <w:rsid w:val="004B04CE"/>
    <w:rsid w:val="004B0B58"/>
    <w:rsid w:val="004B0C94"/>
    <w:rsid w:val="004B0EC3"/>
    <w:rsid w:val="004B0ECD"/>
    <w:rsid w:val="004B1C0D"/>
    <w:rsid w:val="004B1DF3"/>
    <w:rsid w:val="004B1F6F"/>
    <w:rsid w:val="004B1FB1"/>
    <w:rsid w:val="004B2DB7"/>
    <w:rsid w:val="004B325C"/>
    <w:rsid w:val="004B3768"/>
    <w:rsid w:val="004B38B2"/>
    <w:rsid w:val="004B3F90"/>
    <w:rsid w:val="004B4098"/>
    <w:rsid w:val="004B412D"/>
    <w:rsid w:val="004B42BB"/>
    <w:rsid w:val="004B468B"/>
    <w:rsid w:val="004B47F1"/>
    <w:rsid w:val="004B5378"/>
    <w:rsid w:val="004B5C2B"/>
    <w:rsid w:val="004B6CBB"/>
    <w:rsid w:val="004B6F0D"/>
    <w:rsid w:val="004B6FE9"/>
    <w:rsid w:val="004B798F"/>
    <w:rsid w:val="004B7B5B"/>
    <w:rsid w:val="004B7DA3"/>
    <w:rsid w:val="004C022C"/>
    <w:rsid w:val="004C164E"/>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4340"/>
    <w:rsid w:val="004D4515"/>
    <w:rsid w:val="004D4893"/>
    <w:rsid w:val="004D528A"/>
    <w:rsid w:val="004D54FC"/>
    <w:rsid w:val="004D6038"/>
    <w:rsid w:val="004D60C4"/>
    <w:rsid w:val="004D6DDF"/>
    <w:rsid w:val="004D71AB"/>
    <w:rsid w:val="004D76F8"/>
    <w:rsid w:val="004D7D30"/>
    <w:rsid w:val="004E0724"/>
    <w:rsid w:val="004E075A"/>
    <w:rsid w:val="004E0B29"/>
    <w:rsid w:val="004E150E"/>
    <w:rsid w:val="004E1C30"/>
    <w:rsid w:val="004E1F21"/>
    <w:rsid w:val="004E1F6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5D1"/>
    <w:rsid w:val="00505ADE"/>
    <w:rsid w:val="00505BFB"/>
    <w:rsid w:val="00505C30"/>
    <w:rsid w:val="0050610A"/>
    <w:rsid w:val="00506339"/>
    <w:rsid w:val="005065AE"/>
    <w:rsid w:val="005065ED"/>
    <w:rsid w:val="00506B30"/>
    <w:rsid w:val="00506BB8"/>
    <w:rsid w:val="00506C4E"/>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D80"/>
    <w:rsid w:val="005421A9"/>
    <w:rsid w:val="005426E5"/>
    <w:rsid w:val="005428F0"/>
    <w:rsid w:val="0054310C"/>
    <w:rsid w:val="005431EB"/>
    <w:rsid w:val="005433FA"/>
    <w:rsid w:val="005435DB"/>
    <w:rsid w:val="00543BAC"/>
    <w:rsid w:val="0054430B"/>
    <w:rsid w:val="0054487D"/>
    <w:rsid w:val="00544E8C"/>
    <w:rsid w:val="00545A26"/>
    <w:rsid w:val="00545CDE"/>
    <w:rsid w:val="005468F6"/>
    <w:rsid w:val="00547459"/>
    <w:rsid w:val="0054770A"/>
    <w:rsid w:val="00547C50"/>
    <w:rsid w:val="00550868"/>
    <w:rsid w:val="0055194D"/>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49B1"/>
    <w:rsid w:val="0056545F"/>
    <w:rsid w:val="00565A0B"/>
    <w:rsid w:val="00565DEF"/>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CE8"/>
    <w:rsid w:val="005739EE"/>
    <w:rsid w:val="00574439"/>
    <w:rsid w:val="005747A2"/>
    <w:rsid w:val="00574AF7"/>
    <w:rsid w:val="0057508B"/>
    <w:rsid w:val="00575E1F"/>
    <w:rsid w:val="0057609E"/>
    <w:rsid w:val="005764DC"/>
    <w:rsid w:val="005765F5"/>
    <w:rsid w:val="0057686E"/>
    <w:rsid w:val="00576D93"/>
    <w:rsid w:val="00577162"/>
    <w:rsid w:val="0057728B"/>
    <w:rsid w:val="00577AFA"/>
    <w:rsid w:val="00580392"/>
    <w:rsid w:val="00580A26"/>
    <w:rsid w:val="0058151B"/>
    <w:rsid w:val="00581E1F"/>
    <w:rsid w:val="00582254"/>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FD0"/>
    <w:rsid w:val="005A5062"/>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D93"/>
    <w:rsid w:val="005F1F30"/>
    <w:rsid w:val="005F2E72"/>
    <w:rsid w:val="005F31C7"/>
    <w:rsid w:val="005F321E"/>
    <w:rsid w:val="005F3641"/>
    <w:rsid w:val="005F3744"/>
    <w:rsid w:val="005F416C"/>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52D4"/>
    <w:rsid w:val="00615F18"/>
    <w:rsid w:val="0061649B"/>
    <w:rsid w:val="006164B8"/>
    <w:rsid w:val="00616AB2"/>
    <w:rsid w:val="00617DC4"/>
    <w:rsid w:val="0062011C"/>
    <w:rsid w:val="00620D79"/>
    <w:rsid w:val="006210F7"/>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40DA"/>
    <w:rsid w:val="006344FD"/>
    <w:rsid w:val="00634EE9"/>
    <w:rsid w:val="00637C18"/>
    <w:rsid w:val="00637D93"/>
    <w:rsid w:val="00640534"/>
    <w:rsid w:val="0064148A"/>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CB2"/>
    <w:rsid w:val="00672CE5"/>
    <w:rsid w:val="00674248"/>
    <w:rsid w:val="00674271"/>
    <w:rsid w:val="006743CC"/>
    <w:rsid w:val="00674440"/>
    <w:rsid w:val="006744BE"/>
    <w:rsid w:val="00674FE6"/>
    <w:rsid w:val="00675787"/>
    <w:rsid w:val="00675B5E"/>
    <w:rsid w:val="00675EBD"/>
    <w:rsid w:val="006760B6"/>
    <w:rsid w:val="00676172"/>
    <w:rsid w:val="0067681A"/>
    <w:rsid w:val="00676F00"/>
    <w:rsid w:val="0067701D"/>
    <w:rsid w:val="006770C5"/>
    <w:rsid w:val="0067799E"/>
    <w:rsid w:val="00677DE3"/>
    <w:rsid w:val="0068006E"/>
    <w:rsid w:val="00680A8C"/>
    <w:rsid w:val="00680CD1"/>
    <w:rsid w:val="00680D3D"/>
    <w:rsid w:val="0068121B"/>
    <w:rsid w:val="00681644"/>
    <w:rsid w:val="006818D0"/>
    <w:rsid w:val="00682A66"/>
    <w:rsid w:val="00682BB4"/>
    <w:rsid w:val="006846D4"/>
    <w:rsid w:val="00684726"/>
    <w:rsid w:val="0068503F"/>
    <w:rsid w:val="00685B0B"/>
    <w:rsid w:val="00685D2C"/>
    <w:rsid w:val="006869E9"/>
    <w:rsid w:val="00686A21"/>
    <w:rsid w:val="00686E3A"/>
    <w:rsid w:val="0068751E"/>
    <w:rsid w:val="00687746"/>
    <w:rsid w:val="00687C94"/>
    <w:rsid w:val="00687D8E"/>
    <w:rsid w:val="00690054"/>
    <w:rsid w:val="00690FC6"/>
    <w:rsid w:val="00691EF0"/>
    <w:rsid w:val="00692650"/>
    <w:rsid w:val="006928FE"/>
    <w:rsid w:val="00692960"/>
    <w:rsid w:val="00692973"/>
    <w:rsid w:val="0069302B"/>
    <w:rsid w:val="00693DCA"/>
    <w:rsid w:val="00693EDB"/>
    <w:rsid w:val="00694287"/>
    <w:rsid w:val="006951C5"/>
    <w:rsid w:val="00695AEA"/>
    <w:rsid w:val="00695D2D"/>
    <w:rsid w:val="0069638B"/>
    <w:rsid w:val="00696EFE"/>
    <w:rsid w:val="0069708C"/>
    <w:rsid w:val="006973F5"/>
    <w:rsid w:val="00697D8F"/>
    <w:rsid w:val="006A00CA"/>
    <w:rsid w:val="006A0927"/>
    <w:rsid w:val="006A18E6"/>
    <w:rsid w:val="006A2D4E"/>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1EB8"/>
    <w:rsid w:val="006B22BA"/>
    <w:rsid w:val="006B2D18"/>
    <w:rsid w:val="006B2EBA"/>
    <w:rsid w:val="006B363A"/>
    <w:rsid w:val="006B3797"/>
    <w:rsid w:val="006B38AD"/>
    <w:rsid w:val="006B3909"/>
    <w:rsid w:val="006B3BB6"/>
    <w:rsid w:val="006B3E47"/>
    <w:rsid w:val="006B435F"/>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DCE"/>
    <w:rsid w:val="006C7826"/>
    <w:rsid w:val="006C78DF"/>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98F"/>
    <w:rsid w:val="006D7320"/>
    <w:rsid w:val="006D7920"/>
    <w:rsid w:val="006D79D4"/>
    <w:rsid w:val="006D7F35"/>
    <w:rsid w:val="006E04CB"/>
    <w:rsid w:val="006E0673"/>
    <w:rsid w:val="006E09AA"/>
    <w:rsid w:val="006E1935"/>
    <w:rsid w:val="006E289C"/>
    <w:rsid w:val="006E2A09"/>
    <w:rsid w:val="006E314A"/>
    <w:rsid w:val="006E3CB9"/>
    <w:rsid w:val="006E48A6"/>
    <w:rsid w:val="006E4D5D"/>
    <w:rsid w:val="006E561B"/>
    <w:rsid w:val="006E565E"/>
    <w:rsid w:val="006E607B"/>
    <w:rsid w:val="006E6B51"/>
    <w:rsid w:val="006E6E01"/>
    <w:rsid w:val="006E6EB4"/>
    <w:rsid w:val="006E732B"/>
    <w:rsid w:val="006F0B1B"/>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976"/>
    <w:rsid w:val="00711EB2"/>
    <w:rsid w:val="00711EB4"/>
    <w:rsid w:val="00711FBC"/>
    <w:rsid w:val="00712382"/>
    <w:rsid w:val="0071262C"/>
    <w:rsid w:val="00712891"/>
    <w:rsid w:val="00713043"/>
    <w:rsid w:val="0071379F"/>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6F5F"/>
    <w:rsid w:val="007273AD"/>
    <w:rsid w:val="0073045E"/>
    <w:rsid w:val="007304DF"/>
    <w:rsid w:val="00730E2D"/>
    <w:rsid w:val="00731372"/>
    <w:rsid w:val="00731669"/>
    <w:rsid w:val="00731BCF"/>
    <w:rsid w:val="00732050"/>
    <w:rsid w:val="00732AC8"/>
    <w:rsid w:val="00733685"/>
    <w:rsid w:val="00733A08"/>
    <w:rsid w:val="00733A88"/>
    <w:rsid w:val="00733C97"/>
    <w:rsid w:val="00734AC6"/>
    <w:rsid w:val="00734CA4"/>
    <w:rsid w:val="00735A22"/>
    <w:rsid w:val="0073603D"/>
    <w:rsid w:val="00736189"/>
    <w:rsid w:val="007364D9"/>
    <w:rsid w:val="00736FD2"/>
    <w:rsid w:val="00740B08"/>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E7"/>
    <w:rsid w:val="00750C7C"/>
    <w:rsid w:val="00750FF6"/>
    <w:rsid w:val="00751017"/>
    <w:rsid w:val="00751951"/>
    <w:rsid w:val="00752926"/>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2620"/>
    <w:rsid w:val="00772ADE"/>
    <w:rsid w:val="00772B0A"/>
    <w:rsid w:val="007739B2"/>
    <w:rsid w:val="00773EB0"/>
    <w:rsid w:val="00774B03"/>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536A"/>
    <w:rsid w:val="00785A6D"/>
    <w:rsid w:val="00786AA0"/>
    <w:rsid w:val="007904E0"/>
    <w:rsid w:val="00790CAC"/>
    <w:rsid w:val="00792292"/>
    <w:rsid w:val="00792367"/>
    <w:rsid w:val="00792842"/>
    <w:rsid w:val="00792E68"/>
    <w:rsid w:val="007937D3"/>
    <w:rsid w:val="00793B40"/>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1ABB"/>
    <w:rsid w:val="007B2B55"/>
    <w:rsid w:val="007B2F51"/>
    <w:rsid w:val="007B37A6"/>
    <w:rsid w:val="007B3B3C"/>
    <w:rsid w:val="007B3F6E"/>
    <w:rsid w:val="007B4120"/>
    <w:rsid w:val="007B4264"/>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BB"/>
    <w:rsid w:val="007D7BC3"/>
    <w:rsid w:val="007E01BE"/>
    <w:rsid w:val="007E037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2F4"/>
    <w:rsid w:val="00811339"/>
    <w:rsid w:val="00811541"/>
    <w:rsid w:val="008122F8"/>
    <w:rsid w:val="008128DA"/>
    <w:rsid w:val="00812BCF"/>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948"/>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84B"/>
    <w:rsid w:val="0083094B"/>
    <w:rsid w:val="00830AE0"/>
    <w:rsid w:val="00830CF0"/>
    <w:rsid w:val="00830DE8"/>
    <w:rsid w:val="00830E83"/>
    <w:rsid w:val="00830FD7"/>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3CE5"/>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DFC"/>
    <w:rsid w:val="00870B6F"/>
    <w:rsid w:val="00870E59"/>
    <w:rsid w:val="008713BD"/>
    <w:rsid w:val="00871BB6"/>
    <w:rsid w:val="008724C5"/>
    <w:rsid w:val="008735A3"/>
    <w:rsid w:val="00873AD5"/>
    <w:rsid w:val="00874259"/>
    <w:rsid w:val="00874E25"/>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58CF"/>
    <w:rsid w:val="00895C3F"/>
    <w:rsid w:val="00896569"/>
    <w:rsid w:val="00896D19"/>
    <w:rsid w:val="008A027A"/>
    <w:rsid w:val="008A0731"/>
    <w:rsid w:val="008A0B8D"/>
    <w:rsid w:val="008A2193"/>
    <w:rsid w:val="008A2426"/>
    <w:rsid w:val="008A29A2"/>
    <w:rsid w:val="008A41AC"/>
    <w:rsid w:val="008A423D"/>
    <w:rsid w:val="008A44E1"/>
    <w:rsid w:val="008A47BC"/>
    <w:rsid w:val="008A6E40"/>
    <w:rsid w:val="008A70F1"/>
    <w:rsid w:val="008A7CA1"/>
    <w:rsid w:val="008A7DDB"/>
    <w:rsid w:val="008B0227"/>
    <w:rsid w:val="008B0421"/>
    <w:rsid w:val="008B10DA"/>
    <w:rsid w:val="008B18F0"/>
    <w:rsid w:val="008B39AD"/>
    <w:rsid w:val="008B3C42"/>
    <w:rsid w:val="008B4113"/>
    <w:rsid w:val="008B4307"/>
    <w:rsid w:val="008B4658"/>
    <w:rsid w:val="008B4C1E"/>
    <w:rsid w:val="008B4E48"/>
    <w:rsid w:val="008B4EF2"/>
    <w:rsid w:val="008B55FD"/>
    <w:rsid w:val="008B62DD"/>
    <w:rsid w:val="008B67AC"/>
    <w:rsid w:val="008B7507"/>
    <w:rsid w:val="008B7B75"/>
    <w:rsid w:val="008B7EA5"/>
    <w:rsid w:val="008B7F29"/>
    <w:rsid w:val="008C011A"/>
    <w:rsid w:val="008C02D2"/>
    <w:rsid w:val="008C0469"/>
    <w:rsid w:val="008C08BD"/>
    <w:rsid w:val="008C0C29"/>
    <w:rsid w:val="008C134C"/>
    <w:rsid w:val="008C3016"/>
    <w:rsid w:val="008C3945"/>
    <w:rsid w:val="008C4618"/>
    <w:rsid w:val="008C4ACD"/>
    <w:rsid w:val="008C4DF5"/>
    <w:rsid w:val="008C4EA2"/>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833"/>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E07"/>
    <w:rsid w:val="008E7438"/>
    <w:rsid w:val="008F00DA"/>
    <w:rsid w:val="008F0389"/>
    <w:rsid w:val="008F05DE"/>
    <w:rsid w:val="008F1079"/>
    <w:rsid w:val="008F1166"/>
    <w:rsid w:val="008F25BC"/>
    <w:rsid w:val="008F2748"/>
    <w:rsid w:val="008F2A23"/>
    <w:rsid w:val="008F2E24"/>
    <w:rsid w:val="008F2F9C"/>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C8F"/>
    <w:rsid w:val="00907D25"/>
    <w:rsid w:val="00910D77"/>
    <w:rsid w:val="0091168F"/>
    <w:rsid w:val="009118BE"/>
    <w:rsid w:val="0091208E"/>
    <w:rsid w:val="00912419"/>
    <w:rsid w:val="00912CDB"/>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21B6"/>
    <w:rsid w:val="009223BD"/>
    <w:rsid w:val="009226BE"/>
    <w:rsid w:val="00922A0D"/>
    <w:rsid w:val="009231D2"/>
    <w:rsid w:val="00923349"/>
    <w:rsid w:val="0092367B"/>
    <w:rsid w:val="009237C9"/>
    <w:rsid w:val="00923DB7"/>
    <w:rsid w:val="00923F87"/>
    <w:rsid w:val="00924375"/>
    <w:rsid w:val="009246BC"/>
    <w:rsid w:val="00924923"/>
    <w:rsid w:val="00924944"/>
    <w:rsid w:val="00924A05"/>
    <w:rsid w:val="00924CDC"/>
    <w:rsid w:val="00925C64"/>
    <w:rsid w:val="00925F4C"/>
    <w:rsid w:val="009260E0"/>
    <w:rsid w:val="00926463"/>
    <w:rsid w:val="009266AD"/>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177"/>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E79"/>
    <w:rsid w:val="00945156"/>
    <w:rsid w:val="00945248"/>
    <w:rsid w:val="00945282"/>
    <w:rsid w:val="009452C6"/>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E44"/>
    <w:rsid w:val="00964E72"/>
    <w:rsid w:val="00965133"/>
    <w:rsid w:val="00965248"/>
    <w:rsid w:val="00965399"/>
    <w:rsid w:val="00965416"/>
    <w:rsid w:val="0096541A"/>
    <w:rsid w:val="00965A91"/>
    <w:rsid w:val="0096701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8A7"/>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73C7"/>
    <w:rsid w:val="00997E67"/>
    <w:rsid w:val="009A001A"/>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8B6"/>
    <w:rsid w:val="009C4C06"/>
    <w:rsid w:val="009C5007"/>
    <w:rsid w:val="009C5A06"/>
    <w:rsid w:val="009C6842"/>
    <w:rsid w:val="009C68FF"/>
    <w:rsid w:val="009C69F2"/>
    <w:rsid w:val="009C6DA6"/>
    <w:rsid w:val="009C724D"/>
    <w:rsid w:val="009C785E"/>
    <w:rsid w:val="009C7E95"/>
    <w:rsid w:val="009C7F93"/>
    <w:rsid w:val="009D0491"/>
    <w:rsid w:val="009D0648"/>
    <w:rsid w:val="009D077F"/>
    <w:rsid w:val="009D12F3"/>
    <w:rsid w:val="009D1D89"/>
    <w:rsid w:val="009D1D9B"/>
    <w:rsid w:val="009D351A"/>
    <w:rsid w:val="009D3903"/>
    <w:rsid w:val="009D3949"/>
    <w:rsid w:val="009D3E05"/>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24E3"/>
    <w:rsid w:val="009F35EE"/>
    <w:rsid w:val="009F3757"/>
    <w:rsid w:val="009F577E"/>
    <w:rsid w:val="009F581C"/>
    <w:rsid w:val="009F5D7F"/>
    <w:rsid w:val="009F63DD"/>
    <w:rsid w:val="009F689F"/>
    <w:rsid w:val="009F72F9"/>
    <w:rsid w:val="00A00A50"/>
    <w:rsid w:val="00A00C17"/>
    <w:rsid w:val="00A00C47"/>
    <w:rsid w:val="00A00D09"/>
    <w:rsid w:val="00A01149"/>
    <w:rsid w:val="00A01853"/>
    <w:rsid w:val="00A019BF"/>
    <w:rsid w:val="00A02044"/>
    <w:rsid w:val="00A02369"/>
    <w:rsid w:val="00A0335E"/>
    <w:rsid w:val="00A03529"/>
    <w:rsid w:val="00A04202"/>
    <w:rsid w:val="00A04403"/>
    <w:rsid w:val="00A04E9C"/>
    <w:rsid w:val="00A05471"/>
    <w:rsid w:val="00A05E4B"/>
    <w:rsid w:val="00A060D6"/>
    <w:rsid w:val="00A0655F"/>
    <w:rsid w:val="00A0666C"/>
    <w:rsid w:val="00A0669D"/>
    <w:rsid w:val="00A066E7"/>
    <w:rsid w:val="00A067CA"/>
    <w:rsid w:val="00A0682E"/>
    <w:rsid w:val="00A06F68"/>
    <w:rsid w:val="00A07AC8"/>
    <w:rsid w:val="00A10320"/>
    <w:rsid w:val="00A105E4"/>
    <w:rsid w:val="00A110AB"/>
    <w:rsid w:val="00A11968"/>
    <w:rsid w:val="00A11992"/>
    <w:rsid w:val="00A11E18"/>
    <w:rsid w:val="00A12204"/>
    <w:rsid w:val="00A12233"/>
    <w:rsid w:val="00A128BE"/>
    <w:rsid w:val="00A12A63"/>
    <w:rsid w:val="00A130EB"/>
    <w:rsid w:val="00A13514"/>
    <w:rsid w:val="00A13818"/>
    <w:rsid w:val="00A14473"/>
    <w:rsid w:val="00A148F4"/>
    <w:rsid w:val="00A14E6B"/>
    <w:rsid w:val="00A15016"/>
    <w:rsid w:val="00A1563F"/>
    <w:rsid w:val="00A15B6C"/>
    <w:rsid w:val="00A15C16"/>
    <w:rsid w:val="00A15EBE"/>
    <w:rsid w:val="00A160C1"/>
    <w:rsid w:val="00A160F1"/>
    <w:rsid w:val="00A16B96"/>
    <w:rsid w:val="00A172A3"/>
    <w:rsid w:val="00A2092F"/>
    <w:rsid w:val="00A20C4C"/>
    <w:rsid w:val="00A2125B"/>
    <w:rsid w:val="00A2175F"/>
    <w:rsid w:val="00A2191D"/>
    <w:rsid w:val="00A22011"/>
    <w:rsid w:val="00A2208E"/>
    <w:rsid w:val="00A22A64"/>
    <w:rsid w:val="00A22B70"/>
    <w:rsid w:val="00A23A32"/>
    <w:rsid w:val="00A245B0"/>
    <w:rsid w:val="00A2479D"/>
    <w:rsid w:val="00A24FA9"/>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5DC"/>
    <w:rsid w:val="00A37819"/>
    <w:rsid w:val="00A379AF"/>
    <w:rsid w:val="00A40A30"/>
    <w:rsid w:val="00A41306"/>
    <w:rsid w:val="00A41362"/>
    <w:rsid w:val="00A4224C"/>
    <w:rsid w:val="00A42710"/>
    <w:rsid w:val="00A428B1"/>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134A"/>
    <w:rsid w:val="00A5246D"/>
    <w:rsid w:val="00A53165"/>
    <w:rsid w:val="00A53454"/>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14D3"/>
    <w:rsid w:val="00A617A2"/>
    <w:rsid w:val="00A61E06"/>
    <w:rsid w:val="00A62152"/>
    <w:rsid w:val="00A62350"/>
    <w:rsid w:val="00A6275D"/>
    <w:rsid w:val="00A632A5"/>
    <w:rsid w:val="00A63B1D"/>
    <w:rsid w:val="00A63FBD"/>
    <w:rsid w:val="00A64246"/>
    <w:rsid w:val="00A64F02"/>
    <w:rsid w:val="00A6502C"/>
    <w:rsid w:val="00A65192"/>
    <w:rsid w:val="00A65623"/>
    <w:rsid w:val="00A65957"/>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64F9"/>
    <w:rsid w:val="00A86B17"/>
    <w:rsid w:val="00A86BF4"/>
    <w:rsid w:val="00A86CAB"/>
    <w:rsid w:val="00A86E5D"/>
    <w:rsid w:val="00A86ECE"/>
    <w:rsid w:val="00A86FA3"/>
    <w:rsid w:val="00A87066"/>
    <w:rsid w:val="00A8720E"/>
    <w:rsid w:val="00A87302"/>
    <w:rsid w:val="00A90FA4"/>
    <w:rsid w:val="00A918DD"/>
    <w:rsid w:val="00A91FF9"/>
    <w:rsid w:val="00A926CA"/>
    <w:rsid w:val="00A9277E"/>
    <w:rsid w:val="00A92B9F"/>
    <w:rsid w:val="00A949B8"/>
    <w:rsid w:val="00A95DDA"/>
    <w:rsid w:val="00A95EAC"/>
    <w:rsid w:val="00A960F6"/>
    <w:rsid w:val="00A96A77"/>
    <w:rsid w:val="00A96DA8"/>
    <w:rsid w:val="00A96E1A"/>
    <w:rsid w:val="00A96EF8"/>
    <w:rsid w:val="00A9792C"/>
    <w:rsid w:val="00A97C2D"/>
    <w:rsid w:val="00A97F75"/>
    <w:rsid w:val="00AA026F"/>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D00C9"/>
    <w:rsid w:val="00AD0475"/>
    <w:rsid w:val="00AD1CD0"/>
    <w:rsid w:val="00AD21D5"/>
    <w:rsid w:val="00AD2538"/>
    <w:rsid w:val="00AD2821"/>
    <w:rsid w:val="00AD2A4F"/>
    <w:rsid w:val="00AD2DE9"/>
    <w:rsid w:val="00AD302C"/>
    <w:rsid w:val="00AD3144"/>
    <w:rsid w:val="00AD396F"/>
    <w:rsid w:val="00AD3BBD"/>
    <w:rsid w:val="00AD3C86"/>
    <w:rsid w:val="00AD4A64"/>
    <w:rsid w:val="00AD4E9D"/>
    <w:rsid w:val="00AD5CF6"/>
    <w:rsid w:val="00AD6763"/>
    <w:rsid w:val="00AD6C35"/>
    <w:rsid w:val="00AD6D53"/>
    <w:rsid w:val="00AD7259"/>
    <w:rsid w:val="00AD725E"/>
    <w:rsid w:val="00AD7C85"/>
    <w:rsid w:val="00AD7ECA"/>
    <w:rsid w:val="00AE0656"/>
    <w:rsid w:val="00AE0BD5"/>
    <w:rsid w:val="00AE0E78"/>
    <w:rsid w:val="00AE1114"/>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AD"/>
    <w:rsid w:val="00AE5DC5"/>
    <w:rsid w:val="00AE5E02"/>
    <w:rsid w:val="00AE69D7"/>
    <w:rsid w:val="00AE79A0"/>
    <w:rsid w:val="00AE7EE7"/>
    <w:rsid w:val="00AF00AA"/>
    <w:rsid w:val="00AF10CA"/>
    <w:rsid w:val="00AF14DA"/>
    <w:rsid w:val="00AF2116"/>
    <w:rsid w:val="00AF2142"/>
    <w:rsid w:val="00AF24F9"/>
    <w:rsid w:val="00AF2559"/>
    <w:rsid w:val="00AF2A93"/>
    <w:rsid w:val="00AF2DC5"/>
    <w:rsid w:val="00AF3256"/>
    <w:rsid w:val="00AF33A9"/>
    <w:rsid w:val="00AF3CB4"/>
    <w:rsid w:val="00AF467B"/>
    <w:rsid w:val="00AF46EC"/>
    <w:rsid w:val="00AF4A29"/>
    <w:rsid w:val="00AF5414"/>
    <w:rsid w:val="00AF569B"/>
    <w:rsid w:val="00AF64D8"/>
    <w:rsid w:val="00AF64E9"/>
    <w:rsid w:val="00AF6D2C"/>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C3"/>
    <w:rsid w:val="00B0325E"/>
    <w:rsid w:val="00B0374B"/>
    <w:rsid w:val="00B03B53"/>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D77"/>
    <w:rsid w:val="00B1639B"/>
    <w:rsid w:val="00B16E26"/>
    <w:rsid w:val="00B16FB4"/>
    <w:rsid w:val="00B1713D"/>
    <w:rsid w:val="00B17927"/>
    <w:rsid w:val="00B20179"/>
    <w:rsid w:val="00B207F1"/>
    <w:rsid w:val="00B2119E"/>
    <w:rsid w:val="00B21507"/>
    <w:rsid w:val="00B215F6"/>
    <w:rsid w:val="00B22E4E"/>
    <w:rsid w:val="00B2442F"/>
    <w:rsid w:val="00B24789"/>
    <w:rsid w:val="00B24825"/>
    <w:rsid w:val="00B248E5"/>
    <w:rsid w:val="00B24981"/>
    <w:rsid w:val="00B25927"/>
    <w:rsid w:val="00B25965"/>
    <w:rsid w:val="00B25A3C"/>
    <w:rsid w:val="00B272A2"/>
    <w:rsid w:val="00B27930"/>
    <w:rsid w:val="00B27A1E"/>
    <w:rsid w:val="00B27BF4"/>
    <w:rsid w:val="00B27BF6"/>
    <w:rsid w:val="00B27FA9"/>
    <w:rsid w:val="00B30400"/>
    <w:rsid w:val="00B30861"/>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3F"/>
    <w:rsid w:val="00B5278A"/>
    <w:rsid w:val="00B52BC5"/>
    <w:rsid w:val="00B52BD0"/>
    <w:rsid w:val="00B5315D"/>
    <w:rsid w:val="00B53507"/>
    <w:rsid w:val="00B53DAC"/>
    <w:rsid w:val="00B5428E"/>
    <w:rsid w:val="00B54536"/>
    <w:rsid w:val="00B545F8"/>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B60"/>
    <w:rsid w:val="00B7524C"/>
    <w:rsid w:val="00B75476"/>
    <w:rsid w:val="00B75671"/>
    <w:rsid w:val="00B760DE"/>
    <w:rsid w:val="00B7626B"/>
    <w:rsid w:val="00B76E45"/>
    <w:rsid w:val="00B772C4"/>
    <w:rsid w:val="00B77853"/>
    <w:rsid w:val="00B81152"/>
    <w:rsid w:val="00B815A3"/>
    <w:rsid w:val="00B820A2"/>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E8"/>
    <w:rsid w:val="00B94E77"/>
    <w:rsid w:val="00B95293"/>
    <w:rsid w:val="00B95B04"/>
    <w:rsid w:val="00B95B13"/>
    <w:rsid w:val="00B962FF"/>
    <w:rsid w:val="00B9648C"/>
    <w:rsid w:val="00B967E2"/>
    <w:rsid w:val="00B974D3"/>
    <w:rsid w:val="00B979DE"/>
    <w:rsid w:val="00B97CE0"/>
    <w:rsid w:val="00BA0582"/>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7CD"/>
    <w:rsid w:val="00BA6967"/>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53B2"/>
    <w:rsid w:val="00BD5D6F"/>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4E"/>
    <w:rsid w:val="00BF6ED4"/>
    <w:rsid w:val="00C00259"/>
    <w:rsid w:val="00C00686"/>
    <w:rsid w:val="00C009CF"/>
    <w:rsid w:val="00C00DC9"/>
    <w:rsid w:val="00C00E33"/>
    <w:rsid w:val="00C00ECD"/>
    <w:rsid w:val="00C00F58"/>
    <w:rsid w:val="00C010A1"/>
    <w:rsid w:val="00C01FC6"/>
    <w:rsid w:val="00C02758"/>
    <w:rsid w:val="00C02A2E"/>
    <w:rsid w:val="00C03596"/>
    <w:rsid w:val="00C04246"/>
    <w:rsid w:val="00C04C60"/>
    <w:rsid w:val="00C04E8B"/>
    <w:rsid w:val="00C05749"/>
    <w:rsid w:val="00C0598B"/>
    <w:rsid w:val="00C05F72"/>
    <w:rsid w:val="00C061B6"/>
    <w:rsid w:val="00C0678A"/>
    <w:rsid w:val="00C06D30"/>
    <w:rsid w:val="00C076EC"/>
    <w:rsid w:val="00C1006E"/>
    <w:rsid w:val="00C10803"/>
    <w:rsid w:val="00C10AD3"/>
    <w:rsid w:val="00C117A7"/>
    <w:rsid w:val="00C11810"/>
    <w:rsid w:val="00C11DE0"/>
    <w:rsid w:val="00C11EF7"/>
    <w:rsid w:val="00C124C7"/>
    <w:rsid w:val="00C125B3"/>
    <w:rsid w:val="00C12845"/>
    <w:rsid w:val="00C14101"/>
    <w:rsid w:val="00C14351"/>
    <w:rsid w:val="00C14B6F"/>
    <w:rsid w:val="00C159AD"/>
    <w:rsid w:val="00C16C50"/>
    <w:rsid w:val="00C16E68"/>
    <w:rsid w:val="00C17208"/>
    <w:rsid w:val="00C1749E"/>
    <w:rsid w:val="00C1798F"/>
    <w:rsid w:val="00C200BD"/>
    <w:rsid w:val="00C20216"/>
    <w:rsid w:val="00C216E9"/>
    <w:rsid w:val="00C21E40"/>
    <w:rsid w:val="00C2223F"/>
    <w:rsid w:val="00C23029"/>
    <w:rsid w:val="00C237F1"/>
    <w:rsid w:val="00C24318"/>
    <w:rsid w:val="00C24DB8"/>
    <w:rsid w:val="00C24EBB"/>
    <w:rsid w:val="00C2517E"/>
    <w:rsid w:val="00C2581E"/>
    <w:rsid w:val="00C275CE"/>
    <w:rsid w:val="00C275D6"/>
    <w:rsid w:val="00C279B7"/>
    <w:rsid w:val="00C317F8"/>
    <w:rsid w:val="00C318A7"/>
    <w:rsid w:val="00C31C1C"/>
    <w:rsid w:val="00C320CC"/>
    <w:rsid w:val="00C325B7"/>
    <w:rsid w:val="00C3280E"/>
    <w:rsid w:val="00C3306E"/>
    <w:rsid w:val="00C335EA"/>
    <w:rsid w:val="00C33998"/>
    <w:rsid w:val="00C33E77"/>
    <w:rsid w:val="00C341C5"/>
    <w:rsid w:val="00C342C7"/>
    <w:rsid w:val="00C350D7"/>
    <w:rsid w:val="00C351C3"/>
    <w:rsid w:val="00C361F4"/>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80C"/>
    <w:rsid w:val="00C61B41"/>
    <w:rsid w:val="00C61B75"/>
    <w:rsid w:val="00C61E22"/>
    <w:rsid w:val="00C61EEC"/>
    <w:rsid w:val="00C621BE"/>
    <w:rsid w:val="00C624FB"/>
    <w:rsid w:val="00C62C8E"/>
    <w:rsid w:val="00C630B0"/>
    <w:rsid w:val="00C6377B"/>
    <w:rsid w:val="00C63D48"/>
    <w:rsid w:val="00C63F46"/>
    <w:rsid w:val="00C63FA1"/>
    <w:rsid w:val="00C6420D"/>
    <w:rsid w:val="00C64323"/>
    <w:rsid w:val="00C64566"/>
    <w:rsid w:val="00C64666"/>
    <w:rsid w:val="00C64EB3"/>
    <w:rsid w:val="00C64EDB"/>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7D8"/>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C1"/>
    <w:rsid w:val="00C9255B"/>
    <w:rsid w:val="00C93092"/>
    <w:rsid w:val="00C9342D"/>
    <w:rsid w:val="00C93455"/>
    <w:rsid w:val="00C934D2"/>
    <w:rsid w:val="00C937AF"/>
    <w:rsid w:val="00C9490A"/>
    <w:rsid w:val="00C94F49"/>
    <w:rsid w:val="00C9510B"/>
    <w:rsid w:val="00C95366"/>
    <w:rsid w:val="00C96F0A"/>
    <w:rsid w:val="00C97049"/>
    <w:rsid w:val="00C97471"/>
    <w:rsid w:val="00CA05A0"/>
    <w:rsid w:val="00CA119A"/>
    <w:rsid w:val="00CA1212"/>
    <w:rsid w:val="00CA12F1"/>
    <w:rsid w:val="00CA206A"/>
    <w:rsid w:val="00CA299B"/>
    <w:rsid w:val="00CA2F95"/>
    <w:rsid w:val="00CA3155"/>
    <w:rsid w:val="00CA31CD"/>
    <w:rsid w:val="00CA376D"/>
    <w:rsid w:val="00CA3D5C"/>
    <w:rsid w:val="00CA3DE3"/>
    <w:rsid w:val="00CA4725"/>
    <w:rsid w:val="00CA4B04"/>
    <w:rsid w:val="00CA6059"/>
    <w:rsid w:val="00CA68B3"/>
    <w:rsid w:val="00CA6EBE"/>
    <w:rsid w:val="00CA71D0"/>
    <w:rsid w:val="00CA7A52"/>
    <w:rsid w:val="00CB07DA"/>
    <w:rsid w:val="00CB0992"/>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1CE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244"/>
    <w:rsid w:val="00CF0659"/>
    <w:rsid w:val="00CF08AF"/>
    <w:rsid w:val="00CF095F"/>
    <w:rsid w:val="00CF14A7"/>
    <w:rsid w:val="00CF15CA"/>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B4D"/>
    <w:rsid w:val="00D10C0F"/>
    <w:rsid w:val="00D113B4"/>
    <w:rsid w:val="00D11E7F"/>
    <w:rsid w:val="00D12815"/>
    <w:rsid w:val="00D12CF5"/>
    <w:rsid w:val="00D13800"/>
    <w:rsid w:val="00D13B72"/>
    <w:rsid w:val="00D153D1"/>
    <w:rsid w:val="00D16A6D"/>
    <w:rsid w:val="00D170D7"/>
    <w:rsid w:val="00D176D3"/>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1EE"/>
    <w:rsid w:val="00D4201F"/>
    <w:rsid w:val="00D435FE"/>
    <w:rsid w:val="00D43F2F"/>
    <w:rsid w:val="00D440C0"/>
    <w:rsid w:val="00D44137"/>
    <w:rsid w:val="00D44290"/>
    <w:rsid w:val="00D4451A"/>
    <w:rsid w:val="00D44601"/>
    <w:rsid w:val="00D44850"/>
    <w:rsid w:val="00D45146"/>
    <w:rsid w:val="00D4518F"/>
    <w:rsid w:val="00D4521B"/>
    <w:rsid w:val="00D45629"/>
    <w:rsid w:val="00D45631"/>
    <w:rsid w:val="00D45DA0"/>
    <w:rsid w:val="00D45EE1"/>
    <w:rsid w:val="00D4675D"/>
    <w:rsid w:val="00D46D0A"/>
    <w:rsid w:val="00D50E98"/>
    <w:rsid w:val="00D50F40"/>
    <w:rsid w:val="00D50FFB"/>
    <w:rsid w:val="00D514F5"/>
    <w:rsid w:val="00D516C0"/>
    <w:rsid w:val="00D52183"/>
    <w:rsid w:val="00D5234B"/>
    <w:rsid w:val="00D525A9"/>
    <w:rsid w:val="00D52D33"/>
    <w:rsid w:val="00D531DD"/>
    <w:rsid w:val="00D53316"/>
    <w:rsid w:val="00D534B2"/>
    <w:rsid w:val="00D537F5"/>
    <w:rsid w:val="00D53C7B"/>
    <w:rsid w:val="00D53CC8"/>
    <w:rsid w:val="00D53E1E"/>
    <w:rsid w:val="00D54472"/>
    <w:rsid w:val="00D55596"/>
    <w:rsid w:val="00D558F7"/>
    <w:rsid w:val="00D55959"/>
    <w:rsid w:val="00D55C0F"/>
    <w:rsid w:val="00D55DB6"/>
    <w:rsid w:val="00D56098"/>
    <w:rsid w:val="00D5671A"/>
    <w:rsid w:val="00D5684D"/>
    <w:rsid w:val="00D56E7B"/>
    <w:rsid w:val="00D5713D"/>
    <w:rsid w:val="00D60315"/>
    <w:rsid w:val="00D604E3"/>
    <w:rsid w:val="00D60549"/>
    <w:rsid w:val="00D60990"/>
    <w:rsid w:val="00D60B85"/>
    <w:rsid w:val="00D61014"/>
    <w:rsid w:val="00D61D4A"/>
    <w:rsid w:val="00D61F11"/>
    <w:rsid w:val="00D626C6"/>
    <w:rsid w:val="00D62829"/>
    <w:rsid w:val="00D62E1A"/>
    <w:rsid w:val="00D62F2E"/>
    <w:rsid w:val="00D63732"/>
    <w:rsid w:val="00D63744"/>
    <w:rsid w:val="00D63ACE"/>
    <w:rsid w:val="00D64A00"/>
    <w:rsid w:val="00D64AEA"/>
    <w:rsid w:val="00D64FAF"/>
    <w:rsid w:val="00D65551"/>
    <w:rsid w:val="00D6577D"/>
    <w:rsid w:val="00D65824"/>
    <w:rsid w:val="00D65BCE"/>
    <w:rsid w:val="00D65CA0"/>
    <w:rsid w:val="00D660F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33E"/>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3E6D"/>
    <w:rsid w:val="00D84728"/>
    <w:rsid w:val="00D84FF6"/>
    <w:rsid w:val="00D85BBA"/>
    <w:rsid w:val="00D8665D"/>
    <w:rsid w:val="00D866DC"/>
    <w:rsid w:val="00D86AEF"/>
    <w:rsid w:val="00D870DD"/>
    <w:rsid w:val="00D875AB"/>
    <w:rsid w:val="00D87748"/>
    <w:rsid w:val="00D879F5"/>
    <w:rsid w:val="00D87F07"/>
    <w:rsid w:val="00D90723"/>
    <w:rsid w:val="00D90C1A"/>
    <w:rsid w:val="00D90FE1"/>
    <w:rsid w:val="00D9104C"/>
    <w:rsid w:val="00D91812"/>
    <w:rsid w:val="00D926E7"/>
    <w:rsid w:val="00D92ABA"/>
    <w:rsid w:val="00D92D01"/>
    <w:rsid w:val="00D92D9C"/>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6C5"/>
    <w:rsid w:val="00DA27C9"/>
    <w:rsid w:val="00DA2862"/>
    <w:rsid w:val="00DA2C03"/>
    <w:rsid w:val="00DA48E2"/>
    <w:rsid w:val="00DA52F4"/>
    <w:rsid w:val="00DA6393"/>
    <w:rsid w:val="00DA74A1"/>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566"/>
    <w:rsid w:val="00DB5089"/>
    <w:rsid w:val="00DB5804"/>
    <w:rsid w:val="00DB5A7B"/>
    <w:rsid w:val="00DB5C91"/>
    <w:rsid w:val="00DB5E4C"/>
    <w:rsid w:val="00DB60C1"/>
    <w:rsid w:val="00DB60E1"/>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CFA"/>
    <w:rsid w:val="00DD400A"/>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7EC"/>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99E"/>
    <w:rsid w:val="00E13FB4"/>
    <w:rsid w:val="00E143A5"/>
    <w:rsid w:val="00E14FC4"/>
    <w:rsid w:val="00E15DCE"/>
    <w:rsid w:val="00E167A3"/>
    <w:rsid w:val="00E16EE2"/>
    <w:rsid w:val="00E170C8"/>
    <w:rsid w:val="00E170DB"/>
    <w:rsid w:val="00E20078"/>
    <w:rsid w:val="00E20645"/>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2533"/>
    <w:rsid w:val="00E4309F"/>
    <w:rsid w:val="00E430D8"/>
    <w:rsid w:val="00E436AE"/>
    <w:rsid w:val="00E43F47"/>
    <w:rsid w:val="00E44DEF"/>
    <w:rsid w:val="00E4522B"/>
    <w:rsid w:val="00E45C9F"/>
    <w:rsid w:val="00E46D02"/>
    <w:rsid w:val="00E474B6"/>
    <w:rsid w:val="00E474CA"/>
    <w:rsid w:val="00E47737"/>
    <w:rsid w:val="00E502FC"/>
    <w:rsid w:val="00E50857"/>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7119"/>
    <w:rsid w:val="00E67989"/>
    <w:rsid w:val="00E67A23"/>
    <w:rsid w:val="00E70462"/>
    <w:rsid w:val="00E70699"/>
    <w:rsid w:val="00E714D6"/>
    <w:rsid w:val="00E7243B"/>
    <w:rsid w:val="00E72974"/>
    <w:rsid w:val="00E72EDA"/>
    <w:rsid w:val="00E7311E"/>
    <w:rsid w:val="00E734F2"/>
    <w:rsid w:val="00E7422D"/>
    <w:rsid w:val="00E74536"/>
    <w:rsid w:val="00E77005"/>
    <w:rsid w:val="00E772FB"/>
    <w:rsid w:val="00E776D1"/>
    <w:rsid w:val="00E77ACD"/>
    <w:rsid w:val="00E77D59"/>
    <w:rsid w:val="00E810CE"/>
    <w:rsid w:val="00E815A5"/>
    <w:rsid w:val="00E815F2"/>
    <w:rsid w:val="00E81BA4"/>
    <w:rsid w:val="00E8215E"/>
    <w:rsid w:val="00E82A46"/>
    <w:rsid w:val="00E8415E"/>
    <w:rsid w:val="00E84199"/>
    <w:rsid w:val="00E84457"/>
    <w:rsid w:val="00E859F4"/>
    <w:rsid w:val="00E85E54"/>
    <w:rsid w:val="00E861A0"/>
    <w:rsid w:val="00E8635A"/>
    <w:rsid w:val="00E865E3"/>
    <w:rsid w:val="00E876B7"/>
    <w:rsid w:val="00E8777F"/>
    <w:rsid w:val="00E900C1"/>
    <w:rsid w:val="00E9101E"/>
    <w:rsid w:val="00E9115F"/>
    <w:rsid w:val="00E91450"/>
    <w:rsid w:val="00E91C1B"/>
    <w:rsid w:val="00E92D5D"/>
    <w:rsid w:val="00E92F0C"/>
    <w:rsid w:val="00E9309A"/>
    <w:rsid w:val="00E931F7"/>
    <w:rsid w:val="00E93B65"/>
    <w:rsid w:val="00E93F47"/>
    <w:rsid w:val="00E940AB"/>
    <w:rsid w:val="00E94B3A"/>
    <w:rsid w:val="00E94B94"/>
    <w:rsid w:val="00E9520F"/>
    <w:rsid w:val="00E96538"/>
    <w:rsid w:val="00E9666B"/>
    <w:rsid w:val="00E969DE"/>
    <w:rsid w:val="00E976AB"/>
    <w:rsid w:val="00E97C91"/>
    <w:rsid w:val="00EA0FE6"/>
    <w:rsid w:val="00EA1188"/>
    <w:rsid w:val="00EA12F7"/>
    <w:rsid w:val="00EA13C5"/>
    <w:rsid w:val="00EA1B1E"/>
    <w:rsid w:val="00EA1BBD"/>
    <w:rsid w:val="00EA1BE7"/>
    <w:rsid w:val="00EA22FA"/>
    <w:rsid w:val="00EA2AE9"/>
    <w:rsid w:val="00EA318D"/>
    <w:rsid w:val="00EA390E"/>
    <w:rsid w:val="00EA3B28"/>
    <w:rsid w:val="00EA3EC9"/>
    <w:rsid w:val="00EA4175"/>
    <w:rsid w:val="00EA44E7"/>
    <w:rsid w:val="00EA4582"/>
    <w:rsid w:val="00EA5CCE"/>
    <w:rsid w:val="00EA5F1D"/>
    <w:rsid w:val="00EA6281"/>
    <w:rsid w:val="00EA6762"/>
    <w:rsid w:val="00EA70AB"/>
    <w:rsid w:val="00EA718E"/>
    <w:rsid w:val="00EA734E"/>
    <w:rsid w:val="00EA79EC"/>
    <w:rsid w:val="00EA7D17"/>
    <w:rsid w:val="00EB1A8A"/>
    <w:rsid w:val="00EB258F"/>
    <w:rsid w:val="00EB26F2"/>
    <w:rsid w:val="00EB28A4"/>
    <w:rsid w:val="00EB2D35"/>
    <w:rsid w:val="00EB3B9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49A"/>
    <w:rsid w:val="00EC66E7"/>
    <w:rsid w:val="00EC6B6F"/>
    <w:rsid w:val="00EC6C04"/>
    <w:rsid w:val="00EC6F83"/>
    <w:rsid w:val="00EC6F85"/>
    <w:rsid w:val="00EC70DE"/>
    <w:rsid w:val="00EC798C"/>
    <w:rsid w:val="00ED07F7"/>
    <w:rsid w:val="00ED0D62"/>
    <w:rsid w:val="00ED1014"/>
    <w:rsid w:val="00ED18F0"/>
    <w:rsid w:val="00ED1E73"/>
    <w:rsid w:val="00ED227A"/>
    <w:rsid w:val="00ED297D"/>
    <w:rsid w:val="00ED2BE0"/>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D7B08"/>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DFD"/>
    <w:rsid w:val="00EE7242"/>
    <w:rsid w:val="00EE7310"/>
    <w:rsid w:val="00EE7ADC"/>
    <w:rsid w:val="00EE7D04"/>
    <w:rsid w:val="00EE7D70"/>
    <w:rsid w:val="00EF027A"/>
    <w:rsid w:val="00EF07A6"/>
    <w:rsid w:val="00EF0AEC"/>
    <w:rsid w:val="00EF1016"/>
    <w:rsid w:val="00EF233C"/>
    <w:rsid w:val="00EF24E3"/>
    <w:rsid w:val="00EF26ED"/>
    <w:rsid w:val="00EF28EA"/>
    <w:rsid w:val="00EF37A0"/>
    <w:rsid w:val="00EF39F2"/>
    <w:rsid w:val="00EF3A87"/>
    <w:rsid w:val="00EF3DE0"/>
    <w:rsid w:val="00EF4170"/>
    <w:rsid w:val="00EF4A65"/>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1008B"/>
    <w:rsid w:val="00F10374"/>
    <w:rsid w:val="00F10820"/>
    <w:rsid w:val="00F1089E"/>
    <w:rsid w:val="00F111DA"/>
    <w:rsid w:val="00F113AB"/>
    <w:rsid w:val="00F11555"/>
    <w:rsid w:val="00F11D50"/>
    <w:rsid w:val="00F121F8"/>
    <w:rsid w:val="00F12F2C"/>
    <w:rsid w:val="00F13013"/>
    <w:rsid w:val="00F13204"/>
    <w:rsid w:val="00F133CE"/>
    <w:rsid w:val="00F148E8"/>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2F0"/>
    <w:rsid w:val="00F218EA"/>
    <w:rsid w:val="00F21ACE"/>
    <w:rsid w:val="00F22516"/>
    <w:rsid w:val="00F22B18"/>
    <w:rsid w:val="00F22FCF"/>
    <w:rsid w:val="00F23BDF"/>
    <w:rsid w:val="00F248FE"/>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7FA"/>
    <w:rsid w:val="00F3497A"/>
    <w:rsid w:val="00F34CBE"/>
    <w:rsid w:val="00F3548A"/>
    <w:rsid w:val="00F35C6B"/>
    <w:rsid w:val="00F3616C"/>
    <w:rsid w:val="00F36229"/>
    <w:rsid w:val="00F36541"/>
    <w:rsid w:val="00F37026"/>
    <w:rsid w:val="00F3742B"/>
    <w:rsid w:val="00F37475"/>
    <w:rsid w:val="00F374E9"/>
    <w:rsid w:val="00F37A24"/>
    <w:rsid w:val="00F37C37"/>
    <w:rsid w:val="00F37DE7"/>
    <w:rsid w:val="00F40BA0"/>
    <w:rsid w:val="00F40E5B"/>
    <w:rsid w:val="00F40FEA"/>
    <w:rsid w:val="00F40FF6"/>
    <w:rsid w:val="00F41F88"/>
    <w:rsid w:val="00F41FFE"/>
    <w:rsid w:val="00F4234B"/>
    <w:rsid w:val="00F43085"/>
    <w:rsid w:val="00F435DA"/>
    <w:rsid w:val="00F43C68"/>
    <w:rsid w:val="00F44768"/>
    <w:rsid w:val="00F44939"/>
    <w:rsid w:val="00F44E70"/>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E22"/>
    <w:rsid w:val="00F50EB8"/>
    <w:rsid w:val="00F514C5"/>
    <w:rsid w:val="00F52159"/>
    <w:rsid w:val="00F52A8C"/>
    <w:rsid w:val="00F52C75"/>
    <w:rsid w:val="00F53006"/>
    <w:rsid w:val="00F5354F"/>
    <w:rsid w:val="00F537EC"/>
    <w:rsid w:val="00F540A0"/>
    <w:rsid w:val="00F55306"/>
    <w:rsid w:val="00F55433"/>
    <w:rsid w:val="00F5561C"/>
    <w:rsid w:val="00F55B85"/>
    <w:rsid w:val="00F55DCC"/>
    <w:rsid w:val="00F56066"/>
    <w:rsid w:val="00F56240"/>
    <w:rsid w:val="00F5664D"/>
    <w:rsid w:val="00F56BA2"/>
    <w:rsid w:val="00F56C72"/>
    <w:rsid w:val="00F56CE1"/>
    <w:rsid w:val="00F57631"/>
    <w:rsid w:val="00F5780E"/>
    <w:rsid w:val="00F60318"/>
    <w:rsid w:val="00F60331"/>
    <w:rsid w:val="00F607B7"/>
    <w:rsid w:val="00F60DF1"/>
    <w:rsid w:val="00F613FF"/>
    <w:rsid w:val="00F61727"/>
    <w:rsid w:val="00F61D63"/>
    <w:rsid w:val="00F61F88"/>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65"/>
    <w:rsid w:val="00F72497"/>
    <w:rsid w:val="00F72531"/>
    <w:rsid w:val="00F7297D"/>
    <w:rsid w:val="00F72F29"/>
    <w:rsid w:val="00F7380B"/>
    <w:rsid w:val="00F740BB"/>
    <w:rsid w:val="00F741DF"/>
    <w:rsid w:val="00F74DF8"/>
    <w:rsid w:val="00F7529B"/>
    <w:rsid w:val="00F75533"/>
    <w:rsid w:val="00F75894"/>
    <w:rsid w:val="00F76229"/>
    <w:rsid w:val="00F764AA"/>
    <w:rsid w:val="00F76610"/>
    <w:rsid w:val="00F769BA"/>
    <w:rsid w:val="00F76FBC"/>
    <w:rsid w:val="00F77149"/>
    <w:rsid w:val="00F771AC"/>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5D24"/>
    <w:rsid w:val="00F86535"/>
    <w:rsid w:val="00F86BBA"/>
    <w:rsid w:val="00F86F46"/>
    <w:rsid w:val="00F87180"/>
    <w:rsid w:val="00F87871"/>
    <w:rsid w:val="00F87CE3"/>
    <w:rsid w:val="00F908CB"/>
    <w:rsid w:val="00F90942"/>
    <w:rsid w:val="00F90ABB"/>
    <w:rsid w:val="00F90AE9"/>
    <w:rsid w:val="00F91511"/>
    <w:rsid w:val="00F929AF"/>
    <w:rsid w:val="00F92D5E"/>
    <w:rsid w:val="00F9378C"/>
    <w:rsid w:val="00F93DD5"/>
    <w:rsid w:val="00F94DB7"/>
    <w:rsid w:val="00F95CD2"/>
    <w:rsid w:val="00F968AD"/>
    <w:rsid w:val="00F96EB8"/>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FE8"/>
    <w:rsid w:val="00FA5585"/>
    <w:rsid w:val="00FA6BF4"/>
    <w:rsid w:val="00FA6DB8"/>
    <w:rsid w:val="00FA6FB0"/>
    <w:rsid w:val="00FA70F2"/>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D3E"/>
    <w:rsid w:val="00FB7171"/>
    <w:rsid w:val="00FB7414"/>
    <w:rsid w:val="00FC03F1"/>
    <w:rsid w:val="00FC0440"/>
    <w:rsid w:val="00FC05B1"/>
    <w:rsid w:val="00FC0A13"/>
    <w:rsid w:val="00FC0D0E"/>
    <w:rsid w:val="00FC135B"/>
    <w:rsid w:val="00FC13E5"/>
    <w:rsid w:val="00FC25B6"/>
    <w:rsid w:val="00FC284E"/>
    <w:rsid w:val="00FC31D5"/>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737"/>
    <w:rsid w:val="00FF0C3D"/>
    <w:rsid w:val="00FF2750"/>
    <w:rsid w:val="00FF34FD"/>
    <w:rsid w:val="00FF3C37"/>
    <w:rsid w:val="00FF41EF"/>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black"/>
    </o:shapedefaults>
    <o:shapelayout v:ext="edit">
      <o:idmap v:ext="edit" data="2"/>
    </o:shapelayout>
  </w:shapeDefaults>
  <w:decimalSymbol w:val=","/>
  <w:listSeparator w:val=";"/>
  <w14:docId w14:val="47C32295"/>
  <w15:chartTrackingRefBased/>
  <w15:docId w15:val="{8A10D057-3F4F-49E6-86CB-5E7AA8F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qFormat="1"/>
    <w:lsdException w:name="annotation text" w:semiHidden="1" w:uiPriority="0" w:unhideWhenUsed="1"/>
    <w:lsdException w:name="header" w:locked="0" w:semiHidden="1" w:uiPriority="0" w:unhideWhenUsed="1"/>
    <w:lsdException w:name="footer" w:locked="0"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qFormat/>
    <w:rsid w:val="0062349A"/>
    <w:pPr>
      <w:keepNext w:val="0"/>
      <w:numPr>
        <w:ilvl w:val="1"/>
      </w:numPr>
      <w:spacing w:before="120"/>
      <w:outlineLvl w:val="1"/>
    </w:pPr>
    <w:rPr>
      <w:sz w:val="22"/>
      <w:szCs w:val="22"/>
    </w:rPr>
  </w:style>
  <w:style w:type="paragraph" w:styleId="Ttulo3">
    <w:name w:val="heading 3"/>
    <w:basedOn w:val="Ttulo1"/>
    <w:next w:val="Normal"/>
    <w:link w:val="Ttulo3Car"/>
    <w:qFormat/>
    <w:rsid w:val="0062349A"/>
    <w:pPr>
      <w:numPr>
        <w:ilvl w:val="2"/>
      </w:numPr>
      <w:spacing w:before="120"/>
      <w:outlineLvl w:val="2"/>
    </w:pPr>
    <w:rPr>
      <w:sz w:val="20"/>
    </w:rPr>
  </w:style>
  <w:style w:type="paragraph" w:styleId="Ttulo4">
    <w:name w:val="heading 4"/>
    <w:basedOn w:val="Ttulo1"/>
    <w:next w:val="Normal"/>
    <w:link w:val="Ttulo4Car"/>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rsid w:val="0062349A"/>
    <w:rPr>
      <w:rFonts w:ascii="Arial" w:hAnsi="Arial"/>
      <w:b/>
      <w:snapToGrid w:val="0"/>
      <w:kern w:val="28"/>
      <w:sz w:val="22"/>
      <w:szCs w:val="22"/>
      <w:lang w:val="es-ES_tradnl" w:eastAsia="es-ES"/>
    </w:rPr>
  </w:style>
  <w:style w:type="character" w:customStyle="1" w:styleId="Ttulo3Car">
    <w:name w:val="Título 3 Car"/>
    <w:link w:val="Ttulo3"/>
    <w:rsid w:val="0062349A"/>
    <w:rPr>
      <w:rFonts w:ascii="Arial" w:hAnsi="Arial"/>
      <w:b/>
      <w:snapToGrid w:val="0"/>
      <w:kern w:val="28"/>
      <w:szCs w:val="24"/>
      <w:lang w:val="es-ES_tradnl" w:eastAsia="es-ES"/>
    </w:rPr>
  </w:style>
  <w:style w:type="character" w:customStyle="1" w:styleId="Ttulo4Car">
    <w:name w:val="Título 4 Car"/>
    <w:link w:val="Ttulo4"/>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semiHidden/>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semiHidden/>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rsid w:val="00D60549"/>
    <w:rPr>
      <w:rFonts w:ascii="Arial" w:hAnsi="Arial"/>
      <w:szCs w:val="24"/>
      <w:lang w:eastAsia="en-US" w:bidi="ar-SA"/>
    </w:rPr>
  </w:style>
  <w:style w:type="paragraph" w:customStyle="1" w:styleId="PortadaCdigo">
    <w:name w:val="Portada Código"/>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39"/>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link w:val="TextonotapieCar"/>
    <w:rsid w:val="007C6013"/>
    <w:pPr>
      <w:ind w:left="170" w:hanging="170"/>
      <w:jc w:val="both"/>
    </w:pPr>
    <w:rPr>
      <w:rFonts w:ascii="Arial" w:hAnsi="Arial"/>
      <w:i/>
      <w:sz w:val="18"/>
      <w:lang w:eastAsia="en-US"/>
    </w:rPr>
  </w:style>
  <w:style w:type="character" w:customStyle="1" w:styleId="TextonotapieCar">
    <w:name w:val="Texto nota pie Car"/>
    <w:link w:val="Textonotapie"/>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semiHidden/>
    <w:unhideWhenUsed/>
    <w:locked/>
    <w:rsid w:val="00695AEA"/>
    <w:rPr>
      <w:sz w:val="16"/>
      <w:szCs w:val="16"/>
    </w:rPr>
  </w:style>
  <w:style w:type="paragraph" w:styleId="Textocomentario">
    <w:name w:val="annotation text"/>
    <w:basedOn w:val="Normal"/>
    <w:link w:val="TextocomentarioCar"/>
    <w:unhideWhenUsed/>
    <w:locked/>
    <w:rsid w:val="00695AEA"/>
    <w:rPr>
      <w:szCs w:val="20"/>
      <w:lang w:val="x-none"/>
    </w:rPr>
  </w:style>
  <w:style w:type="character" w:customStyle="1" w:styleId="TextocomentarioCar">
    <w:name w:val="Texto comentario Car"/>
    <w:link w:val="Textocomentario"/>
    <w:rsid w:val="00695AEA"/>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locked/>
    <w:rsid w:val="00695AEA"/>
    <w:rPr>
      <w:b/>
      <w:bCs/>
    </w:rPr>
  </w:style>
  <w:style w:type="character" w:customStyle="1" w:styleId="AsuntodelcomentarioCar">
    <w:name w:val="Asunto del comentario Car"/>
    <w:link w:val="Asuntodelcomentario"/>
    <w:uiPriority w:val="99"/>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iPriority w:val="99"/>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semiHidden/>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bccr.fi.cr/sistema-de-pagos/servicios-p&#250;blico-general/transporte-p&#250;blico" TargetMode="External"/><Relationship Id="rId26" Type="http://schemas.openxmlformats.org/officeDocument/2006/relationships/image" Target="media/image10.emf"/><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proveedorsinpe-tp@bccr.fi.cr" TargetMode="External"/><Relationship Id="rId25" Type="http://schemas.openxmlformats.org/officeDocument/2006/relationships/package" Target="embeddings/Microsoft_Word_Document.doc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veedorsinpe-tp@bccr.fi.cr" TargetMode="External"/><Relationship Id="rId20" Type="http://schemas.openxmlformats.org/officeDocument/2006/relationships/image" Target="media/image6.jpeg"/><Relationship Id="rId29"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emf"/><Relationship Id="rId32" Type="http://schemas.openxmlformats.org/officeDocument/2006/relationships/footer" Target="foot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Microsoft_Word_97_-_2003_Document.doc"/><Relationship Id="rId28" Type="http://schemas.openxmlformats.org/officeDocument/2006/relationships/image" Target="media/image11.emf"/><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package" Target="embeddings/Microsoft_Word_Document1.docx"/><Relationship Id="rId30" Type="http://schemas.openxmlformats.org/officeDocument/2006/relationships/header" Target="header3.xml"/><Relationship Id="rId35"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D340069D-B144-4B66-8272-8A174F7BC3F6}"/>
</file>

<file path=customXml/itemProps3.xml><?xml version="1.0" encoding="utf-8"?>
<ds:datastoreItem xmlns:ds="http://schemas.openxmlformats.org/officeDocument/2006/customXml" ds:itemID="{E260C02B-A835-45D7-9BE6-4F2CCE95DA7A}"/>
</file>

<file path=customXml/itemProps4.xml><?xml version="1.0" encoding="utf-8"?>
<ds:datastoreItem xmlns:ds="http://schemas.openxmlformats.org/officeDocument/2006/customXml" ds:itemID="{EA093341-16C5-43C3-9F9C-0DCE88489A21}"/>
</file>

<file path=docProps/app.xml><?xml version="1.0" encoding="utf-8"?>
<Properties xmlns="http://schemas.openxmlformats.org/officeDocument/2006/extended-properties" xmlns:vt="http://schemas.openxmlformats.org/officeDocument/2006/docPropsVTypes">
  <Template>Norma complementaria -Padron de cuentas  PLANTILLA</Template>
  <TotalTime>24</TotalTime>
  <Pages>16</Pages>
  <Words>5754</Words>
  <Characters>32453</Characters>
  <Application>Microsoft Office Word</Application>
  <DocSecurity>0</DocSecurity>
  <Lines>877</Lines>
  <Paragraphs>636</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37571</CharactersWithSpaces>
  <SharedDoc>false</SharedDoc>
  <HLinks>
    <vt:vector size="258" baseType="variant">
      <vt:variant>
        <vt:i4>4194337</vt:i4>
      </vt:variant>
      <vt:variant>
        <vt:i4>258</vt:i4>
      </vt:variant>
      <vt:variant>
        <vt:i4>0</vt:i4>
      </vt:variant>
      <vt:variant>
        <vt:i4>5</vt:i4>
      </vt:variant>
      <vt:variant>
        <vt:lpwstr>mailto:DSP-SNP-COS@bccr.fi.cr</vt:lpwstr>
      </vt:variant>
      <vt:variant>
        <vt:lpwstr/>
      </vt:variant>
      <vt:variant>
        <vt:i4>1572917</vt:i4>
      </vt:variant>
      <vt:variant>
        <vt:i4>248</vt:i4>
      </vt:variant>
      <vt:variant>
        <vt:i4>0</vt:i4>
      </vt:variant>
      <vt:variant>
        <vt:i4>5</vt:i4>
      </vt:variant>
      <vt:variant>
        <vt:lpwstr/>
      </vt:variant>
      <vt:variant>
        <vt:lpwstr>_Toc103258252</vt:lpwstr>
      </vt:variant>
      <vt:variant>
        <vt:i4>1572917</vt:i4>
      </vt:variant>
      <vt:variant>
        <vt:i4>242</vt:i4>
      </vt:variant>
      <vt:variant>
        <vt:i4>0</vt:i4>
      </vt:variant>
      <vt:variant>
        <vt:i4>5</vt:i4>
      </vt:variant>
      <vt:variant>
        <vt:lpwstr/>
      </vt:variant>
      <vt:variant>
        <vt:lpwstr>_Toc103258251</vt:lpwstr>
      </vt:variant>
      <vt:variant>
        <vt:i4>1572917</vt:i4>
      </vt:variant>
      <vt:variant>
        <vt:i4>236</vt:i4>
      </vt:variant>
      <vt:variant>
        <vt:i4>0</vt:i4>
      </vt:variant>
      <vt:variant>
        <vt:i4>5</vt:i4>
      </vt:variant>
      <vt:variant>
        <vt:lpwstr/>
      </vt:variant>
      <vt:variant>
        <vt:lpwstr>_Toc103258250</vt:lpwstr>
      </vt:variant>
      <vt:variant>
        <vt:i4>1638453</vt:i4>
      </vt:variant>
      <vt:variant>
        <vt:i4>230</vt:i4>
      </vt:variant>
      <vt:variant>
        <vt:i4>0</vt:i4>
      </vt:variant>
      <vt:variant>
        <vt:i4>5</vt:i4>
      </vt:variant>
      <vt:variant>
        <vt:lpwstr/>
      </vt:variant>
      <vt:variant>
        <vt:lpwstr>_Toc103258249</vt:lpwstr>
      </vt:variant>
      <vt:variant>
        <vt:i4>1638453</vt:i4>
      </vt:variant>
      <vt:variant>
        <vt:i4>224</vt:i4>
      </vt:variant>
      <vt:variant>
        <vt:i4>0</vt:i4>
      </vt:variant>
      <vt:variant>
        <vt:i4>5</vt:i4>
      </vt:variant>
      <vt:variant>
        <vt:lpwstr/>
      </vt:variant>
      <vt:variant>
        <vt:lpwstr>_Toc103258248</vt:lpwstr>
      </vt:variant>
      <vt:variant>
        <vt:i4>1638453</vt:i4>
      </vt:variant>
      <vt:variant>
        <vt:i4>218</vt:i4>
      </vt:variant>
      <vt:variant>
        <vt:i4>0</vt:i4>
      </vt:variant>
      <vt:variant>
        <vt:i4>5</vt:i4>
      </vt:variant>
      <vt:variant>
        <vt:lpwstr/>
      </vt:variant>
      <vt:variant>
        <vt:lpwstr>_Toc103258247</vt:lpwstr>
      </vt:variant>
      <vt:variant>
        <vt:i4>1638453</vt:i4>
      </vt:variant>
      <vt:variant>
        <vt:i4>212</vt:i4>
      </vt:variant>
      <vt:variant>
        <vt:i4>0</vt:i4>
      </vt:variant>
      <vt:variant>
        <vt:i4>5</vt:i4>
      </vt:variant>
      <vt:variant>
        <vt:lpwstr/>
      </vt:variant>
      <vt:variant>
        <vt:lpwstr>_Toc103258246</vt:lpwstr>
      </vt:variant>
      <vt:variant>
        <vt:i4>1638453</vt:i4>
      </vt:variant>
      <vt:variant>
        <vt:i4>206</vt:i4>
      </vt:variant>
      <vt:variant>
        <vt:i4>0</vt:i4>
      </vt:variant>
      <vt:variant>
        <vt:i4>5</vt:i4>
      </vt:variant>
      <vt:variant>
        <vt:lpwstr/>
      </vt:variant>
      <vt:variant>
        <vt:lpwstr>_Toc103258245</vt:lpwstr>
      </vt:variant>
      <vt:variant>
        <vt:i4>1638453</vt:i4>
      </vt:variant>
      <vt:variant>
        <vt:i4>200</vt:i4>
      </vt:variant>
      <vt:variant>
        <vt:i4>0</vt:i4>
      </vt:variant>
      <vt:variant>
        <vt:i4>5</vt:i4>
      </vt:variant>
      <vt:variant>
        <vt:lpwstr/>
      </vt:variant>
      <vt:variant>
        <vt:lpwstr>_Toc103258244</vt:lpwstr>
      </vt:variant>
      <vt:variant>
        <vt:i4>1638453</vt:i4>
      </vt:variant>
      <vt:variant>
        <vt:i4>194</vt:i4>
      </vt:variant>
      <vt:variant>
        <vt:i4>0</vt:i4>
      </vt:variant>
      <vt:variant>
        <vt:i4>5</vt:i4>
      </vt:variant>
      <vt:variant>
        <vt:lpwstr/>
      </vt:variant>
      <vt:variant>
        <vt:lpwstr>_Toc103258243</vt:lpwstr>
      </vt:variant>
      <vt:variant>
        <vt:i4>1638453</vt:i4>
      </vt:variant>
      <vt:variant>
        <vt:i4>188</vt:i4>
      </vt:variant>
      <vt:variant>
        <vt:i4>0</vt:i4>
      </vt:variant>
      <vt:variant>
        <vt:i4>5</vt:i4>
      </vt:variant>
      <vt:variant>
        <vt:lpwstr/>
      </vt:variant>
      <vt:variant>
        <vt:lpwstr>_Toc103258242</vt:lpwstr>
      </vt:variant>
      <vt:variant>
        <vt:i4>1638453</vt:i4>
      </vt:variant>
      <vt:variant>
        <vt:i4>182</vt:i4>
      </vt:variant>
      <vt:variant>
        <vt:i4>0</vt:i4>
      </vt:variant>
      <vt:variant>
        <vt:i4>5</vt:i4>
      </vt:variant>
      <vt:variant>
        <vt:lpwstr/>
      </vt:variant>
      <vt:variant>
        <vt:lpwstr>_Toc103258241</vt:lpwstr>
      </vt:variant>
      <vt:variant>
        <vt:i4>1966133</vt:i4>
      </vt:variant>
      <vt:variant>
        <vt:i4>176</vt:i4>
      </vt:variant>
      <vt:variant>
        <vt:i4>0</vt:i4>
      </vt:variant>
      <vt:variant>
        <vt:i4>5</vt:i4>
      </vt:variant>
      <vt:variant>
        <vt:lpwstr/>
      </vt:variant>
      <vt:variant>
        <vt:lpwstr>_Toc103258239</vt:lpwstr>
      </vt:variant>
      <vt:variant>
        <vt:i4>1966133</vt:i4>
      </vt:variant>
      <vt:variant>
        <vt:i4>170</vt:i4>
      </vt:variant>
      <vt:variant>
        <vt:i4>0</vt:i4>
      </vt:variant>
      <vt:variant>
        <vt:i4>5</vt:i4>
      </vt:variant>
      <vt:variant>
        <vt:lpwstr/>
      </vt:variant>
      <vt:variant>
        <vt:lpwstr>_Toc103258238</vt:lpwstr>
      </vt:variant>
      <vt:variant>
        <vt:i4>1966133</vt:i4>
      </vt:variant>
      <vt:variant>
        <vt:i4>164</vt:i4>
      </vt:variant>
      <vt:variant>
        <vt:i4>0</vt:i4>
      </vt:variant>
      <vt:variant>
        <vt:i4>5</vt:i4>
      </vt:variant>
      <vt:variant>
        <vt:lpwstr/>
      </vt:variant>
      <vt:variant>
        <vt:lpwstr>_Toc103258237</vt:lpwstr>
      </vt:variant>
      <vt:variant>
        <vt:i4>1966133</vt:i4>
      </vt:variant>
      <vt:variant>
        <vt:i4>158</vt:i4>
      </vt:variant>
      <vt:variant>
        <vt:i4>0</vt:i4>
      </vt:variant>
      <vt:variant>
        <vt:i4>5</vt:i4>
      </vt:variant>
      <vt:variant>
        <vt:lpwstr/>
      </vt:variant>
      <vt:variant>
        <vt:lpwstr>_Toc103258236</vt:lpwstr>
      </vt:variant>
      <vt:variant>
        <vt:i4>2031669</vt:i4>
      </vt:variant>
      <vt:variant>
        <vt:i4>152</vt:i4>
      </vt:variant>
      <vt:variant>
        <vt:i4>0</vt:i4>
      </vt:variant>
      <vt:variant>
        <vt:i4>5</vt:i4>
      </vt:variant>
      <vt:variant>
        <vt:lpwstr/>
      </vt:variant>
      <vt:variant>
        <vt:lpwstr>_Toc103258226</vt:lpwstr>
      </vt:variant>
      <vt:variant>
        <vt:i4>2031669</vt:i4>
      </vt:variant>
      <vt:variant>
        <vt:i4>146</vt:i4>
      </vt:variant>
      <vt:variant>
        <vt:i4>0</vt:i4>
      </vt:variant>
      <vt:variant>
        <vt:i4>5</vt:i4>
      </vt:variant>
      <vt:variant>
        <vt:lpwstr/>
      </vt:variant>
      <vt:variant>
        <vt:lpwstr>_Toc103258225</vt:lpwstr>
      </vt:variant>
      <vt:variant>
        <vt:i4>2031669</vt:i4>
      </vt:variant>
      <vt:variant>
        <vt:i4>140</vt:i4>
      </vt:variant>
      <vt:variant>
        <vt:i4>0</vt:i4>
      </vt:variant>
      <vt:variant>
        <vt:i4>5</vt:i4>
      </vt:variant>
      <vt:variant>
        <vt:lpwstr/>
      </vt:variant>
      <vt:variant>
        <vt:lpwstr>_Toc103258222</vt:lpwstr>
      </vt:variant>
      <vt:variant>
        <vt:i4>2031669</vt:i4>
      </vt:variant>
      <vt:variant>
        <vt:i4>134</vt:i4>
      </vt:variant>
      <vt:variant>
        <vt:i4>0</vt:i4>
      </vt:variant>
      <vt:variant>
        <vt:i4>5</vt:i4>
      </vt:variant>
      <vt:variant>
        <vt:lpwstr/>
      </vt:variant>
      <vt:variant>
        <vt:lpwstr>_Toc103258221</vt:lpwstr>
      </vt:variant>
      <vt:variant>
        <vt:i4>1835061</vt:i4>
      </vt:variant>
      <vt:variant>
        <vt:i4>128</vt:i4>
      </vt:variant>
      <vt:variant>
        <vt:i4>0</vt:i4>
      </vt:variant>
      <vt:variant>
        <vt:i4>5</vt:i4>
      </vt:variant>
      <vt:variant>
        <vt:lpwstr/>
      </vt:variant>
      <vt:variant>
        <vt:lpwstr>_Toc103258216</vt:lpwstr>
      </vt:variant>
      <vt:variant>
        <vt:i4>1835061</vt:i4>
      </vt:variant>
      <vt:variant>
        <vt:i4>122</vt:i4>
      </vt:variant>
      <vt:variant>
        <vt:i4>0</vt:i4>
      </vt:variant>
      <vt:variant>
        <vt:i4>5</vt:i4>
      </vt:variant>
      <vt:variant>
        <vt:lpwstr/>
      </vt:variant>
      <vt:variant>
        <vt:lpwstr>_Toc103258214</vt:lpwstr>
      </vt:variant>
      <vt:variant>
        <vt:i4>1835061</vt:i4>
      </vt:variant>
      <vt:variant>
        <vt:i4>116</vt:i4>
      </vt:variant>
      <vt:variant>
        <vt:i4>0</vt:i4>
      </vt:variant>
      <vt:variant>
        <vt:i4>5</vt:i4>
      </vt:variant>
      <vt:variant>
        <vt:lpwstr/>
      </vt:variant>
      <vt:variant>
        <vt:lpwstr>_Toc103258213</vt:lpwstr>
      </vt:variant>
      <vt:variant>
        <vt:i4>1835061</vt:i4>
      </vt:variant>
      <vt:variant>
        <vt:i4>110</vt:i4>
      </vt:variant>
      <vt:variant>
        <vt:i4>0</vt:i4>
      </vt:variant>
      <vt:variant>
        <vt:i4>5</vt:i4>
      </vt:variant>
      <vt:variant>
        <vt:lpwstr/>
      </vt:variant>
      <vt:variant>
        <vt:lpwstr>_Toc103258212</vt:lpwstr>
      </vt:variant>
      <vt:variant>
        <vt:i4>1835061</vt:i4>
      </vt:variant>
      <vt:variant>
        <vt:i4>104</vt:i4>
      </vt:variant>
      <vt:variant>
        <vt:i4>0</vt:i4>
      </vt:variant>
      <vt:variant>
        <vt:i4>5</vt:i4>
      </vt:variant>
      <vt:variant>
        <vt:lpwstr/>
      </vt:variant>
      <vt:variant>
        <vt:lpwstr>_Toc103258210</vt:lpwstr>
      </vt:variant>
      <vt:variant>
        <vt:i4>1900597</vt:i4>
      </vt:variant>
      <vt:variant>
        <vt:i4>98</vt:i4>
      </vt:variant>
      <vt:variant>
        <vt:i4>0</vt:i4>
      </vt:variant>
      <vt:variant>
        <vt:i4>5</vt:i4>
      </vt:variant>
      <vt:variant>
        <vt:lpwstr/>
      </vt:variant>
      <vt:variant>
        <vt:lpwstr>_Toc103258207</vt:lpwstr>
      </vt:variant>
      <vt:variant>
        <vt:i4>1900597</vt:i4>
      </vt:variant>
      <vt:variant>
        <vt:i4>92</vt:i4>
      </vt:variant>
      <vt:variant>
        <vt:i4>0</vt:i4>
      </vt:variant>
      <vt:variant>
        <vt:i4>5</vt:i4>
      </vt:variant>
      <vt:variant>
        <vt:lpwstr/>
      </vt:variant>
      <vt:variant>
        <vt:lpwstr>_Toc103258206</vt:lpwstr>
      </vt:variant>
      <vt:variant>
        <vt:i4>1900597</vt:i4>
      </vt:variant>
      <vt:variant>
        <vt:i4>86</vt:i4>
      </vt:variant>
      <vt:variant>
        <vt:i4>0</vt:i4>
      </vt:variant>
      <vt:variant>
        <vt:i4>5</vt:i4>
      </vt:variant>
      <vt:variant>
        <vt:lpwstr/>
      </vt:variant>
      <vt:variant>
        <vt:lpwstr>_Toc103258205</vt:lpwstr>
      </vt:variant>
      <vt:variant>
        <vt:i4>1900597</vt:i4>
      </vt:variant>
      <vt:variant>
        <vt:i4>80</vt:i4>
      </vt:variant>
      <vt:variant>
        <vt:i4>0</vt:i4>
      </vt:variant>
      <vt:variant>
        <vt:i4>5</vt:i4>
      </vt:variant>
      <vt:variant>
        <vt:lpwstr/>
      </vt:variant>
      <vt:variant>
        <vt:lpwstr>_Toc103258204</vt:lpwstr>
      </vt:variant>
      <vt:variant>
        <vt:i4>1900597</vt:i4>
      </vt:variant>
      <vt:variant>
        <vt:i4>74</vt:i4>
      </vt:variant>
      <vt:variant>
        <vt:i4>0</vt:i4>
      </vt:variant>
      <vt:variant>
        <vt:i4>5</vt:i4>
      </vt:variant>
      <vt:variant>
        <vt:lpwstr/>
      </vt:variant>
      <vt:variant>
        <vt:lpwstr>_Toc103258203</vt:lpwstr>
      </vt:variant>
      <vt:variant>
        <vt:i4>1900597</vt:i4>
      </vt:variant>
      <vt:variant>
        <vt:i4>68</vt:i4>
      </vt:variant>
      <vt:variant>
        <vt:i4>0</vt:i4>
      </vt:variant>
      <vt:variant>
        <vt:i4>5</vt:i4>
      </vt:variant>
      <vt:variant>
        <vt:lpwstr/>
      </vt:variant>
      <vt:variant>
        <vt:lpwstr>_Toc103258202</vt:lpwstr>
      </vt:variant>
      <vt:variant>
        <vt:i4>1900597</vt:i4>
      </vt:variant>
      <vt:variant>
        <vt:i4>62</vt:i4>
      </vt:variant>
      <vt:variant>
        <vt:i4>0</vt:i4>
      </vt:variant>
      <vt:variant>
        <vt:i4>5</vt:i4>
      </vt:variant>
      <vt:variant>
        <vt:lpwstr/>
      </vt:variant>
      <vt:variant>
        <vt:lpwstr>_Toc103258201</vt:lpwstr>
      </vt:variant>
      <vt:variant>
        <vt:i4>1310774</vt:i4>
      </vt:variant>
      <vt:variant>
        <vt:i4>56</vt:i4>
      </vt:variant>
      <vt:variant>
        <vt:i4>0</vt:i4>
      </vt:variant>
      <vt:variant>
        <vt:i4>5</vt:i4>
      </vt:variant>
      <vt:variant>
        <vt:lpwstr/>
      </vt:variant>
      <vt:variant>
        <vt:lpwstr>_Toc103258199</vt:lpwstr>
      </vt:variant>
      <vt:variant>
        <vt:i4>1310774</vt:i4>
      </vt:variant>
      <vt:variant>
        <vt:i4>50</vt:i4>
      </vt:variant>
      <vt:variant>
        <vt:i4>0</vt:i4>
      </vt:variant>
      <vt:variant>
        <vt:i4>5</vt:i4>
      </vt:variant>
      <vt:variant>
        <vt:lpwstr/>
      </vt:variant>
      <vt:variant>
        <vt:lpwstr>_Toc103258198</vt:lpwstr>
      </vt:variant>
      <vt:variant>
        <vt:i4>1310774</vt:i4>
      </vt:variant>
      <vt:variant>
        <vt:i4>44</vt:i4>
      </vt:variant>
      <vt:variant>
        <vt:i4>0</vt:i4>
      </vt:variant>
      <vt:variant>
        <vt:i4>5</vt:i4>
      </vt:variant>
      <vt:variant>
        <vt:lpwstr/>
      </vt:variant>
      <vt:variant>
        <vt:lpwstr>_Toc103258197</vt:lpwstr>
      </vt:variant>
      <vt:variant>
        <vt:i4>1310774</vt:i4>
      </vt:variant>
      <vt:variant>
        <vt:i4>38</vt:i4>
      </vt:variant>
      <vt:variant>
        <vt:i4>0</vt:i4>
      </vt:variant>
      <vt:variant>
        <vt:i4>5</vt:i4>
      </vt:variant>
      <vt:variant>
        <vt:lpwstr/>
      </vt:variant>
      <vt:variant>
        <vt:lpwstr>_Toc103258196</vt:lpwstr>
      </vt:variant>
      <vt:variant>
        <vt:i4>1310774</vt:i4>
      </vt:variant>
      <vt:variant>
        <vt:i4>32</vt:i4>
      </vt:variant>
      <vt:variant>
        <vt:i4>0</vt:i4>
      </vt:variant>
      <vt:variant>
        <vt:i4>5</vt:i4>
      </vt:variant>
      <vt:variant>
        <vt:lpwstr/>
      </vt:variant>
      <vt:variant>
        <vt:lpwstr>_Toc103258195</vt:lpwstr>
      </vt:variant>
      <vt:variant>
        <vt:i4>1310774</vt:i4>
      </vt:variant>
      <vt:variant>
        <vt:i4>26</vt:i4>
      </vt:variant>
      <vt:variant>
        <vt:i4>0</vt:i4>
      </vt:variant>
      <vt:variant>
        <vt:i4>5</vt:i4>
      </vt:variant>
      <vt:variant>
        <vt:lpwstr/>
      </vt:variant>
      <vt:variant>
        <vt:lpwstr>_Toc103258194</vt:lpwstr>
      </vt:variant>
      <vt:variant>
        <vt:i4>1310774</vt:i4>
      </vt:variant>
      <vt:variant>
        <vt:i4>20</vt:i4>
      </vt:variant>
      <vt:variant>
        <vt:i4>0</vt:i4>
      </vt:variant>
      <vt:variant>
        <vt:i4>5</vt:i4>
      </vt:variant>
      <vt:variant>
        <vt:lpwstr/>
      </vt:variant>
      <vt:variant>
        <vt:lpwstr>_Toc103258193</vt:lpwstr>
      </vt:variant>
      <vt:variant>
        <vt:i4>1310774</vt:i4>
      </vt:variant>
      <vt:variant>
        <vt:i4>14</vt:i4>
      </vt:variant>
      <vt:variant>
        <vt:i4>0</vt:i4>
      </vt:variant>
      <vt:variant>
        <vt:i4>5</vt:i4>
      </vt:variant>
      <vt:variant>
        <vt:lpwstr/>
      </vt:variant>
      <vt:variant>
        <vt:lpwstr>_Toc103258191</vt:lpwstr>
      </vt:variant>
      <vt:variant>
        <vt:i4>1310774</vt:i4>
      </vt:variant>
      <vt:variant>
        <vt:i4>8</vt:i4>
      </vt:variant>
      <vt:variant>
        <vt:i4>0</vt:i4>
      </vt:variant>
      <vt:variant>
        <vt:i4>5</vt:i4>
      </vt:variant>
      <vt:variant>
        <vt:lpwstr/>
      </vt:variant>
      <vt:variant>
        <vt:lpwstr>_Toc103258190</vt:lpwstr>
      </vt:variant>
      <vt:variant>
        <vt:i4>1376310</vt:i4>
      </vt:variant>
      <vt:variant>
        <vt:i4>2</vt:i4>
      </vt:variant>
      <vt:variant>
        <vt:i4>0</vt:i4>
      </vt:variant>
      <vt:variant>
        <vt:i4>5</vt:i4>
      </vt:variant>
      <vt:variant>
        <vt:lpwstr/>
      </vt:variant>
      <vt:variant>
        <vt:lpwstr>_Toc103258189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Técnica Homologación de Equipos de Validación para Sinpe-TP</dc:title>
  <dc:subject/>
  <dc:creator>Julio Muñoz Zúñiga</dc:creator>
  <cp:keywords/>
  <cp:lastModifiedBy>JIMENEZ QUESADA MELVIN</cp:lastModifiedBy>
  <cp:revision>31</cp:revision>
  <cp:lastPrinted>2015-07-21T16:09:00Z</cp:lastPrinted>
  <dcterms:created xsi:type="dcterms:W3CDTF">2025-12-15T20:09:00Z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