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5.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384C" w14:textId="107A5F78" w:rsidR="00AC6C1B" w:rsidRDefault="003832A3" w:rsidP="00AC6C1B">
      <w:pPr>
        <w:pStyle w:val="TextoTablaJustificado"/>
        <w:ind w:left="-1985"/>
        <w:rPr>
          <w:color w:val="FF0000"/>
        </w:rPr>
      </w:pPr>
      <w:r>
        <w:rPr>
          <w:noProof/>
        </w:rPr>
        <mc:AlternateContent>
          <mc:Choice Requires="wps">
            <w:drawing>
              <wp:anchor distT="0" distB="0" distL="114300" distR="114300" simplePos="0" relativeHeight="251703808" behindDoc="0" locked="0" layoutInCell="1" allowOverlap="1" wp14:anchorId="6A9F5A98" wp14:editId="05ECDE8F">
                <wp:simplePos x="0" y="0"/>
                <wp:positionH relativeFrom="margin">
                  <wp:posOffset>0</wp:posOffset>
                </wp:positionH>
                <wp:positionV relativeFrom="paragraph">
                  <wp:posOffset>-445350</wp:posOffset>
                </wp:positionV>
                <wp:extent cx="5201700" cy="441960"/>
                <wp:effectExtent l="0" t="0" r="18415" b="62230"/>
                <wp:wrapNone/>
                <wp:docPr id="1652683133" name="Cuadro de texto 165268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700" cy="441960"/>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F5A98" id="_x0000_t202" coordsize="21600,21600" o:spt="202" path="m,l,21600r21600,l21600,xe">
                <v:stroke joinstyle="miter"/>
                <v:path gradientshapeok="t" o:connecttype="rect"/>
              </v:shapetype>
              <v:shape id="Cuadro de texto 1652683133" o:spid="_x0000_s1026" type="#_x0000_t202" style="position:absolute;left:0;text-align:left;margin-left:0;margin-top:-35.05pt;width:409.6pt;height:34.8pt;z-index:25170380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" filled="f" stroked="f">
                <v:shadow on="t" color="black" opacity="26214f" origin="-.5,-.5" offset=".74836mm,.74836mm"/>
                <v:textbox style="mso-fit-shape-to-text:t">
                  <w:txbxContent>
                    <w:p w14:paraId="43F76057" w14:textId="1B23539C" w:rsidR="003832A3" w:rsidRPr="0064523C" w:rsidRDefault="003832A3" w:rsidP="003832A3">
                      <w:pPr>
                        <w:pStyle w:val="PortadaConfidencialidad"/>
                        <w:rPr>
                          <w:color w:val="D9E2F3" w:themeColor="accent1" w:themeTint="33"/>
                          <w:sz w:val="56"/>
                          <w:szCs w:val="56"/>
                        </w:rPr>
                      </w:pPr>
                      <w:r w:rsidRPr="0064523C">
                        <w:rPr>
                          <w:color w:val="D9E2F3" w:themeColor="accent1" w:themeTint="33"/>
                          <w:sz w:val="56"/>
                          <w:szCs w:val="56"/>
                        </w:rPr>
                        <w:t>Banco Central de Costa Rica</w:t>
                      </w:r>
                    </w:p>
                  </w:txbxContent>
                </v:textbox>
                <w10:wrap anchorx="margin"/>
              </v:shape>
            </w:pict>
          </mc:Fallback>
        </mc:AlternateContent>
      </w:r>
      <w:r w:rsidR="00AC6C1B">
        <w:rPr>
          <w:noProof/>
        </w:rPr>
        <mc:AlternateContent>
          <mc:Choice Requires="wpg">
            <w:drawing>
              <wp:anchor distT="0" distB="0" distL="114300" distR="114300" simplePos="0" relativeHeight="251699712" behindDoc="1" locked="0" layoutInCell="1" allowOverlap="1" wp14:anchorId="3E7FB06C" wp14:editId="1EFFE78B">
                <wp:simplePos x="0" y="0"/>
                <wp:positionH relativeFrom="page">
                  <wp:align>left</wp:align>
                </wp:positionH>
                <wp:positionV relativeFrom="page">
                  <wp:align>top</wp:align>
                </wp:positionV>
                <wp:extent cx="7769694" cy="10216156"/>
                <wp:effectExtent l="0" t="0" r="3175" b="0"/>
                <wp:wrapNone/>
                <wp:docPr id="193" name="Grupo 62"/>
                <wp:cNvGraphicFramePr/>
                <a:graphic xmlns:a="http://schemas.openxmlformats.org/drawingml/2006/main">
                  <a:graphicData uri="http://schemas.microsoft.com/office/word/2010/wordprocessingGroup">
                    <wpg:wgp>
                      <wpg:cNvGrpSpPr/>
                      <wpg:grpSpPr>
                        <a:xfrm>
                          <a:off x="0" y="0"/>
                          <a:ext cx="7769694" cy="10216156"/>
                          <a:chOff x="0" y="0"/>
                          <a:chExt cx="6858000" cy="9123528"/>
                        </a:xfrm>
                        <a:solidFill>
                          <a:schemeClr val="accent1">
                            <a:lumMod val="75000"/>
                          </a:schemeClr>
                        </a:solidFill>
                      </wpg:grpSpPr>
                      <wps:wsp>
                        <wps:cNvPr id="194" name="Rectángulo 194"/>
                        <wps:cNvSpPr/>
                        <wps:spPr>
                          <a:xfrm>
                            <a:off x="0" y="0"/>
                            <a:ext cx="6858000" cy="1371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674" w14:textId="7625A640" w:rsidR="00AC6C1B" w:rsidRDefault="00AC6C1B" w:rsidP="00AC6C1B">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7FB06C" id="Grupo 62" o:spid="_x0000_s1027" style="position:absolute;left:0;text-align:left;margin-left:0;margin-top:0;width:611.8pt;height:804.4pt;z-index:-251616768;mso-position-horizontal:left;mso-position-horizontal-relative:page;mso-position-vertical:top;mso-position-vertical-relative:page"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7A0BA674" w14:textId="7625A640" w:rsidR="00AC6C1B" w:rsidRDefault="00AC6C1B" w:rsidP="00AC6C1B">
                        <w:pPr>
                          <w:pStyle w:val="Sinespaciado"/>
                          <w:spacing w:before="120"/>
                          <w:jc w:val="center"/>
                          <w:rPr>
                            <w:color w:val="FFFFFF" w:themeColor="background1"/>
                          </w:rPr>
                        </w:pPr>
                      </w:p>
                    </w:txbxContent>
                  </v:textbox>
                </v:rect>
                <w10:wrap anchorx="page" anchory="page"/>
              </v:group>
            </w:pict>
          </mc:Fallback>
        </mc:AlternateContent>
      </w:r>
    </w:p>
    <w:p w14:paraId="4F430077" w14:textId="30164AA1" w:rsidR="00D87748" w:rsidRPr="00AF467B" w:rsidRDefault="0095423F" w:rsidP="00AA69D5">
      <w:pPr>
        <w:pStyle w:val="TextoTablaJustificado"/>
        <w:rPr>
          <w:color w:val="FF0000"/>
        </w:rPr>
        <w:sectPr w:rsidR="00D87748" w:rsidRPr="00AF467B" w:rsidSect="00ED3BE1">
          <w:headerReference w:type="default" r:id="rId8"/>
          <w:footerReference w:type="even" r:id="rId9"/>
          <w:footerReference w:type="default" r:id="rId10"/>
          <w:pgSz w:w="12240" w:h="15840" w:code="1"/>
          <w:pgMar w:top="1701" w:right="1701" w:bottom="1474" w:left="2058" w:header="0" w:footer="0" w:gutter="0"/>
          <w:pgNumType w:start="1"/>
          <w:cols w:space="720"/>
          <w:docGrid w:linePitch="360"/>
        </w:sectPr>
      </w:pPr>
      <w:r>
        <w:rPr>
          <w:noProof/>
        </w:rPr>
        <mc:AlternateContent>
          <mc:Choice Requires="wps">
            <w:drawing>
              <wp:anchor distT="45720" distB="45720" distL="114300" distR="114300" simplePos="0" relativeHeight="251707904" behindDoc="0" locked="0" layoutInCell="1" allowOverlap="1" wp14:anchorId="5F26A1E6" wp14:editId="17DA8F74">
                <wp:simplePos x="0" y="0"/>
                <wp:positionH relativeFrom="margin">
                  <wp:posOffset>-682625</wp:posOffset>
                </wp:positionH>
                <wp:positionV relativeFrom="paragraph">
                  <wp:posOffset>886040</wp:posOffset>
                </wp:positionV>
                <wp:extent cx="6578600" cy="2200910"/>
                <wp:effectExtent l="0" t="0" r="0" b="508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2200910"/>
                        </a:xfrm>
                        <a:prstGeom prst="rect">
                          <a:avLst/>
                        </a:prstGeom>
                        <a:solidFill>
                          <a:srgbClr val="FFFFFF"/>
                        </a:solidFill>
                        <a:ln w="9525">
                          <a:noFill/>
                          <a:miter lim="800000"/>
                          <a:headEnd/>
                          <a:tailEnd/>
                        </a:ln>
                      </wps:spPr>
                      <wps:txbx>
                        <w:txbxContent>
                          <w:p w14:paraId="2A5ED29B" w14:textId="77777777" w:rsidR="00B46E22" w:rsidRPr="008D6CD5" w:rsidRDefault="00B46E22" w:rsidP="00FA6DB8">
                            <w:pPr>
                              <w:spacing w:line="360" w:lineRule="auto"/>
                              <w:jc w:val="center"/>
                              <w:rPr>
                                <w:b/>
                                <w:bCs/>
                                <w:color w:val="000099"/>
                                <w:sz w:val="50"/>
                                <w:szCs w:val="50"/>
                              </w:rPr>
                            </w:pPr>
                            <w:r w:rsidRPr="008D6CD5">
                              <w:rPr>
                                <w:b/>
                                <w:bCs/>
                                <w:color w:val="000099"/>
                                <w:sz w:val="50"/>
                                <w:szCs w:val="50"/>
                              </w:rPr>
                              <w:t>NORMA COMPLEMENTARIA</w:t>
                            </w:r>
                          </w:p>
                          <w:p w14:paraId="12C2522A" w14:textId="77777777" w:rsidR="00B46E22" w:rsidRDefault="00B46E22" w:rsidP="00FA6DB8">
                            <w:pPr>
                              <w:spacing w:line="360" w:lineRule="auto"/>
                              <w:jc w:val="center"/>
                              <w:rPr>
                                <w:b/>
                                <w:bCs/>
                                <w:color w:val="000000" w:themeColor="text1"/>
                                <w:sz w:val="50"/>
                                <w:szCs w:val="50"/>
                              </w:rPr>
                            </w:pPr>
                            <w:r w:rsidRPr="008D6CD5">
                              <w:rPr>
                                <w:b/>
                                <w:bCs/>
                                <w:color w:val="000000" w:themeColor="text1"/>
                                <w:sz w:val="50"/>
                                <w:szCs w:val="50"/>
                              </w:rPr>
                              <w:t>SINPE-TP</w:t>
                            </w:r>
                          </w:p>
                          <w:p w14:paraId="43D6BE2B" w14:textId="36C4E1CA" w:rsidR="00B46E22" w:rsidRPr="008D6CD5" w:rsidRDefault="00B46E22" w:rsidP="00FA6DB8">
                            <w:pPr>
                              <w:spacing w:line="360" w:lineRule="auto"/>
                              <w:jc w:val="center"/>
                              <w:rPr>
                                <w:b/>
                                <w:bCs/>
                                <w:color w:val="000099"/>
                                <w:sz w:val="44"/>
                                <w:szCs w:val="44"/>
                              </w:rPr>
                            </w:pPr>
                            <w:r w:rsidRPr="008D6CD5">
                              <w:rPr>
                                <w:b/>
                                <w:bCs/>
                                <w:color w:val="000099"/>
                                <w:sz w:val="44"/>
                                <w:szCs w:val="44"/>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26A1E6" id="Cuadro de texto 2" o:spid="_x0000_s1030" type="#_x0000_t202" style="position:absolute;left:0;text-align:left;margin-left:-53.75pt;margin-top:69.75pt;width:518pt;height:173.3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tIEQIAAP4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" stroked="f">
                <v:textbox style="mso-fit-shape-to-text:t">
                  <w:txbxContent>
                    <w:p w14:paraId="2A5ED29B" w14:textId="77777777" w:rsidR="00B46E22" w:rsidRPr="008D6CD5" w:rsidRDefault="00B46E22" w:rsidP="00FA6DB8">
                      <w:pPr>
                        <w:spacing w:line="360" w:lineRule="auto"/>
                        <w:jc w:val="center"/>
                        <w:rPr>
                          <w:b/>
                          <w:bCs/>
                          <w:color w:val="000099"/>
                          <w:sz w:val="50"/>
                          <w:szCs w:val="50"/>
                        </w:rPr>
                      </w:pPr>
                      <w:r w:rsidRPr="008D6CD5">
                        <w:rPr>
                          <w:b/>
                          <w:bCs/>
                          <w:color w:val="000099"/>
                          <w:sz w:val="50"/>
                          <w:szCs w:val="50"/>
                        </w:rPr>
                        <w:t>NORMA COMPLEMENTARIA</w:t>
                      </w:r>
                    </w:p>
                    <w:p w14:paraId="12C2522A" w14:textId="77777777" w:rsidR="00B46E22" w:rsidRDefault="00B46E22" w:rsidP="00FA6DB8">
                      <w:pPr>
                        <w:spacing w:line="360" w:lineRule="auto"/>
                        <w:jc w:val="center"/>
                        <w:rPr>
                          <w:b/>
                          <w:bCs/>
                          <w:color w:val="000000" w:themeColor="text1"/>
                          <w:sz w:val="50"/>
                          <w:szCs w:val="50"/>
                        </w:rPr>
                      </w:pPr>
                      <w:r w:rsidRPr="008D6CD5">
                        <w:rPr>
                          <w:b/>
                          <w:bCs/>
                          <w:color w:val="000000" w:themeColor="text1"/>
                          <w:sz w:val="50"/>
                          <w:szCs w:val="50"/>
                        </w:rPr>
                        <w:t>SINPE-TP</w:t>
                      </w:r>
                    </w:p>
                    <w:p w14:paraId="43D6BE2B" w14:textId="36C4E1CA" w:rsidR="00B46E22" w:rsidRPr="008D6CD5" w:rsidRDefault="00B46E22" w:rsidP="00FA6DB8">
                      <w:pPr>
                        <w:spacing w:line="360" w:lineRule="auto"/>
                        <w:jc w:val="center"/>
                        <w:rPr>
                          <w:b/>
                          <w:bCs/>
                          <w:color w:val="000099"/>
                          <w:sz w:val="44"/>
                          <w:szCs w:val="44"/>
                        </w:rPr>
                      </w:pPr>
                      <w:r w:rsidRPr="008D6CD5">
                        <w:rPr>
                          <w:b/>
                          <w:bCs/>
                          <w:color w:val="000099"/>
                          <w:sz w:val="44"/>
                          <w:szCs w:val="44"/>
                        </w:rPr>
                        <w:t>SERIE DE NORMAS TÉCNICAS DE SINPE-TP</w:t>
                      </w:r>
                    </w:p>
                  </w:txbxContent>
                </v:textbox>
                <w10:wrap type="square" anchorx="margin"/>
              </v:shape>
            </w:pict>
          </mc:Fallback>
        </mc:AlternateContent>
      </w:r>
      <w:r w:rsidR="00782D76" w:rsidRPr="002F0091">
        <w:rPr>
          <w:noProof/>
          <w:color w:val="FFFFFF" w:themeColor="background1"/>
        </w:rPr>
        <w:drawing>
          <wp:anchor distT="0" distB="0" distL="114300" distR="114300" simplePos="0" relativeHeight="251712000" behindDoc="1" locked="0" layoutInCell="1" allowOverlap="1" wp14:anchorId="6028AF65" wp14:editId="6239D19C">
            <wp:simplePos x="0" y="0"/>
            <wp:positionH relativeFrom="page">
              <wp:align>center</wp:align>
            </wp:positionH>
            <wp:positionV relativeFrom="paragraph">
              <wp:posOffset>3626965</wp:posOffset>
            </wp:positionV>
            <wp:extent cx="3554730" cy="2456180"/>
            <wp:effectExtent l="0" t="0" r="0" b="0"/>
            <wp:wrapTight wrapText="bothSides">
              <wp:wrapPolygon edited="0">
                <wp:start x="13659" y="1005"/>
                <wp:lineTo x="9723" y="1340"/>
                <wp:lineTo x="9723" y="4021"/>
                <wp:lineTo x="7408" y="4021"/>
                <wp:lineTo x="7408" y="6701"/>
                <wp:lineTo x="1389" y="6701"/>
                <wp:lineTo x="1273" y="11057"/>
                <wp:lineTo x="2315" y="12062"/>
                <wp:lineTo x="1736" y="12062"/>
                <wp:lineTo x="1736" y="16418"/>
                <wp:lineTo x="2315" y="17423"/>
                <wp:lineTo x="2315" y="17758"/>
                <wp:lineTo x="12502" y="19768"/>
                <wp:lineTo x="14006" y="20103"/>
                <wp:lineTo x="20026" y="20103"/>
                <wp:lineTo x="20141" y="19768"/>
                <wp:lineTo x="20257" y="17758"/>
                <wp:lineTo x="20257" y="16753"/>
                <wp:lineTo x="19447" y="16083"/>
                <wp:lineTo x="17132" y="14743"/>
                <wp:lineTo x="13428" y="12062"/>
                <wp:lineTo x="15280" y="9549"/>
                <wp:lineTo x="15280" y="6701"/>
                <wp:lineTo x="15743" y="3016"/>
                <wp:lineTo x="14932" y="1340"/>
                <wp:lineTo x="14354" y="1005"/>
                <wp:lineTo x="13659" y="1005"/>
              </wp:wrapPolygon>
            </wp:wrapTight>
            <wp:docPr id="1438530049" name="Imagen 8" descr="Logotipo, nombre de la empresa&#10;&#10;El contenido generado por IA puede ser incorrecto.">
              <a:extLst xmlns:a="http://schemas.openxmlformats.org/drawingml/2006/main">
                <a:ext uri="{FF2B5EF4-FFF2-40B4-BE49-F238E27FC236}">
                  <a16:creationId xmlns:a16="http://schemas.microsoft.com/office/drawing/2014/main" id="{51478104-C37B-4BE6-A57E-334FED26D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30049" name="Imagen 8" descr="Logotipo, nombre de la empresa&#10;&#10;El contenido generado por IA puede ser incorrecto.">
                      <a:extLst>
                        <a:ext uri="{FF2B5EF4-FFF2-40B4-BE49-F238E27FC236}">
                          <a16:creationId xmlns:a16="http://schemas.microsoft.com/office/drawing/2014/main" id="{51478104-C37B-4BE6-A57E-334FED26DEBC}"/>
                        </a:ext>
                      </a:extLst>
                    </pic:cNvPr>
                    <pic:cNvPicPr>
                      <a:picLocks noChangeAspect="1"/>
                    </pic:cNvPicPr>
                  </pic:nvPicPr>
                  <pic:blipFill>
                    <a:blip r:embed="rId11" cstate="print">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tretch>
                      <a:fillRect/>
                    </a:stretch>
                  </pic:blipFill>
                  <pic:spPr>
                    <a:xfrm>
                      <a:off x="0" y="0"/>
                      <a:ext cx="3554730" cy="245618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F52AE">
        <w:rPr>
          <w:noProof/>
        </w:rPr>
        <mc:AlternateContent>
          <mc:Choice Requires="wps">
            <w:drawing>
              <wp:anchor distT="0" distB="0" distL="114300" distR="114300" simplePos="0" relativeHeight="251675136" behindDoc="0" locked="0" layoutInCell="1" allowOverlap="1" wp14:anchorId="7A1FF63C" wp14:editId="1C1D47F9">
                <wp:simplePos x="0" y="0"/>
                <wp:positionH relativeFrom="column">
                  <wp:posOffset>3979545</wp:posOffset>
                </wp:positionH>
                <wp:positionV relativeFrom="paragraph">
                  <wp:posOffset>6808139</wp:posOffset>
                </wp:positionV>
                <wp:extent cx="2444115" cy="685800"/>
                <wp:effectExtent l="0" t="0" r="13335" b="5715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685800"/>
                        </a:xfrm>
                        <a:prstGeom prst="rect">
                          <a:avLst/>
                        </a:prstGeom>
                        <a:noFill/>
                        <a:ln>
                          <a:noFill/>
                        </a:ln>
                        <a:effectLst>
                          <a:outerShdw blurRad="50800" dist="38100" dir="2700000" algn="tl" rotWithShape="0">
                            <a:prstClr val="black">
                              <a:alpha val="40000"/>
                            </a:prstClr>
                          </a:outerShdw>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4AC7AA24"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8F52AE" w:rsidRPr="0064523C">
                                    <w:rPr>
                                      <w:color w:val="D9E2F3" w:themeColor="accent1" w:themeTint="33"/>
                                    </w:rPr>
                                    <w:t>C</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_x0000_s1031" type="#_x0000_t202" style="position:absolute;left:0;text-align:left;margin-left:313.35pt;margin-top:536.05pt;width:192.45pt;height: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" filled="f" stroked="f">
                <v:shadow on="t" color="black" opacity="26214f" origin="-.5,-.5" offset=".74836mm,.74836mm"/>
                <v:textbox>
                  <w:txbxContent>
                    <w:tbl>
                      <w:tblPr>
                        <w:tblW w:w="3780" w:type="dxa"/>
                        <w:tblLook w:val="01E0" w:firstRow="1" w:lastRow="1" w:firstColumn="1" w:lastColumn="1" w:noHBand="0" w:noVBand="0"/>
                      </w:tblPr>
                      <w:tblGrid>
                        <w:gridCol w:w="3780"/>
                      </w:tblGrid>
                      <w:tr w:rsidR="007D2830" w:rsidRPr="0064523C" w14:paraId="5B00AF62" w14:textId="77777777">
                        <w:tc>
                          <w:tcPr>
                            <w:tcW w:w="3780" w:type="dxa"/>
                            <w:vAlign w:val="center"/>
                            <w:hideMark/>
                          </w:tcPr>
                          <w:p w14:paraId="43C79735" w14:textId="4AC7AA24" w:rsidR="007D2830" w:rsidRPr="0064523C" w:rsidRDefault="007D2830" w:rsidP="00161860">
                            <w:pPr>
                              <w:pStyle w:val="PortadaCdigo"/>
                              <w:rPr>
                                <w:color w:val="D9E2F3" w:themeColor="accent1" w:themeTint="33"/>
                              </w:rPr>
                            </w:pPr>
                            <w:r w:rsidRPr="0064523C">
                              <w:rPr>
                                <w:color w:val="D9E2F3" w:themeColor="accent1" w:themeTint="33"/>
                              </w:rPr>
                              <w:fldChar w:fldCharType="begin"/>
                            </w:r>
                            <w:r w:rsidRPr="0064523C">
                              <w:rPr>
                                <w:color w:val="D9E2F3" w:themeColor="accent1" w:themeTint="33"/>
                              </w:rPr>
                              <w:instrText xml:space="preserve"> DOCPROPERTY  Código  \* MERGEFORMAT </w:instrText>
                            </w:r>
                            <w:r w:rsidRPr="0064523C">
                              <w:rPr>
                                <w:color w:val="D9E2F3" w:themeColor="accent1" w:themeTint="33"/>
                              </w:rPr>
                              <w:fldChar w:fldCharType="separate"/>
                            </w:r>
                            <w:r w:rsidRPr="0064523C">
                              <w:rPr>
                                <w:color w:val="D9E2F3" w:themeColor="accent1" w:themeTint="33"/>
                              </w:rPr>
                              <w:t>N</w:t>
                            </w:r>
                            <w:r w:rsidR="008F52AE" w:rsidRPr="0064523C">
                              <w:rPr>
                                <w:color w:val="D9E2F3" w:themeColor="accent1" w:themeTint="33"/>
                              </w:rPr>
                              <w:t>C</w:t>
                            </w:r>
                            <w:r w:rsidRPr="0064523C">
                              <w:rPr>
                                <w:color w:val="D9E2F3" w:themeColor="accent1" w:themeTint="33"/>
                              </w:rPr>
                              <w:t>-STP</w:t>
                            </w:r>
                            <w:r w:rsidRPr="0064523C">
                              <w:rPr>
                                <w:color w:val="D9E2F3" w:themeColor="accent1" w:themeTint="33"/>
                              </w:rPr>
                              <w:fldChar w:fldCharType="end"/>
                            </w:r>
                          </w:p>
                        </w:tc>
                      </w:tr>
                    </w:tbl>
                    <w:p w14:paraId="4455285B" w14:textId="77777777" w:rsidR="007D2830" w:rsidRPr="0064523C" w:rsidRDefault="007D2830" w:rsidP="009F577E">
                      <w:pPr>
                        <w:pStyle w:val="ContraportadaCdigo"/>
                        <w:rPr>
                          <w:color w:val="D9E2F3" w:themeColor="accent1" w:themeTint="33"/>
                        </w:rPr>
                      </w:pPr>
                    </w:p>
                  </w:txbxContent>
                </v:textbox>
              </v:shape>
            </w:pict>
          </mc:Fallback>
        </mc:AlternateContent>
      </w:r>
      <w:r w:rsidR="00057F9F">
        <w:rPr>
          <w:noProof/>
        </w:rPr>
        <mc:AlternateContent>
          <mc:Choice Requires="wps">
            <w:drawing>
              <wp:anchor distT="0" distB="0" distL="114300" distR="114300" simplePos="0" relativeHeight="251690496" behindDoc="0" locked="0" layoutInCell="1" allowOverlap="1" wp14:anchorId="3736551B" wp14:editId="7F52B49B">
                <wp:simplePos x="0" y="0"/>
                <wp:positionH relativeFrom="page">
                  <wp:align>center</wp:align>
                </wp:positionH>
                <wp:positionV relativeFrom="paragraph">
                  <wp:posOffset>8061850</wp:posOffset>
                </wp:positionV>
                <wp:extent cx="7680960" cy="44196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0" cy="441960"/>
                        </a:xfrm>
                        <a:prstGeom prst="rect">
                          <a:avLst/>
                        </a:prstGeom>
                        <a:noFill/>
                        <a:ln w="9525">
                          <a:noFill/>
                          <a:miter lim="800000"/>
                          <a:headEnd/>
                          <a:tailEnd/>
                        </a:ln>
                      </wps:spPr>
                      <wps:txbx>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Cuadro de texto 32" o:spid="_x0000_s1032" type="#_x0000_t202" style="position:absolute;left:0;text-align:left;margin-left:0;margin-top:634.8pt;width:604.8pt;height:34.8pt;z-index:251690496;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" filled="f" stroked="f">
                <v:textbox style="mso-fit-shape-to-text:t">
                  <w:txbxContent>
                    <w:p w14:paraId="162FAFE9" w14:textId="77777777" w:rsidR="002A278F" w:rsidRPr="0064523C" w:rsidRDefault="002A278F" w:rsidP="0011799E">
                      <w:pPr>
                        <w:pStyle w:val="PortadaConfidencialidad"/>
                        <w:rPr>
                          <w:color w:val="D9E2F3" w:themeColor="accent1" w:themeTint="33"/>
                          <w:sz w:val="32"/>
                          <w:szCs w:val="32"/>
                        </w:rPr>
                      </w:pPr>
                      <w:r w:rsidRPr="0064523C">
                        <w:rPr>
                          <w:color w:val="D9E2F3" w:themeColor="accent1" w:themeTint="33"/>
                          <w:sz w:val="32"/>
                          <w:szCs w:val="32"/>
                        </w:rPr>
                        <w:fldChar w:fldCharType="begin"/>
                      </w:r>
                      <w:r w:rsidRPr="0064523C">
                        <w:rPr>
                          <w:color w:val="D9E2F3" w:themeColor="accent1" w:themeTint="33"/>
                          <w:sz w:val="32"/>
                          <w:szCs w:val="32"/>
                        </w:rPr>
                        <w:instrText xml:space="preserve"> DOCPROPERTY  Confidencialidad  \* MERGEFORMAT </w:instrText>
                      </w:r>
                      <w:r w:rsidRPr="0064523C">
                        <w:rPr>
                          <w:color w:val="D9E2F3" w:themeColor="accent1" w:themeTint="33"/>
                          <w:sz w:val="32"/>
                          <w:szCs w:val="32"/>
                        </w:rPr>
                        <w:fldChar w:fldCharType="separate"/>
                      </w:r>
                      <w:r w:rsidRPr="0064523C">
                        <w:rPr>
                          <w:color w:val="D9E2F3" w:themeColor="accent1" w:themeTint="33"/>
                          <w:sz w:val="32"/>
                          <w:szCs w:val="32"/>
                        </w:rPr>
                        <w:t>Público</w:t>
                      </w:r>
                      <w:r w:rsidRPr="0064523C">
                        <w:rPr>
                          <w:color w:val="D9E2F3" w:themeColor="accent1" w:themeTint="33"/>
                          <w:sz w:val="32"/>
                          <w:szCs w:val="32"/>
                        </w:rPr>
                        <w:fldChar w:fldCharType="end"/>
                      </w:r>
                    </w:p>
                  </w:txbxContent>
                </v:textbox>
                <w10:wrap anchorx="page"/>
              </v:shape>
            </w:pict>
          </mc:Fallback>
        </mc:AlternateContent>
      </w:r>
      <w:r w:rsidR="00161860">
        <w:rPr>
          <w:noProof/>
        </w:rPr>
        <mc:AlternateContent>
          <mc:Choice Requires="wps">
            <w:drawing>
              <wp:anchor distT="0" distB="0" distL="114300" distR="114300" simplePos="0" relativeHeight="251670016" behindDoc="0" locked="0" layoutInCell="1" allowOverlap="1" wp14:anchorId="6F3AD78E" wp14:editId="26DC8957">
                <wp:simplePos x="0" y="0"/>
                <wp:positionH relativeFrom="page">
                  <wp:posOffset>7696062</wp:posOffset>
                </wp:positionH>
                <wp:positionV relativeFrom="paragraph">
                  <wp:posOffset>1798016</wp:posOffset>
                </wp:positionV>
                <wp:extent cx="5169618" cy="2178657"/>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618" cy="21786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AD78E" id="Cuadro de texto 22" o:spid="_x0000_s1033" type="#_x0000_t202" style="position:absolute;left:0;text-align:left;margin-left:606pt;margin-top:141.6pt;width:407.05pt;height:171.5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" filled="f" stroked="f">
                <v:textbox>
                  <w:txbxContent>
                    <w:p w14:paraId="4204BD7A" w14:textId="77777777" w:rsidR="002A278F" w:rsidRDefault="002A278F" w:rsidP="002A278F">
                      <w:pPr>
                        <w:pStyle w:val="PortadaTipoLibro"/>
                      </w:pPr>
                      <w:fldSimple w:instr=" DOCPROPERTY  &quot;Tipo libro&quot;  \* MERGEFORMAT ">
                        <w:r>
                          <w:t>Norma TÉCNICA</w:t>
                        </w:r>
                      </w:fldSimple>
                    </w:p>
                    <w:p w14:paraId="6E7BA0DF" w14:textId="60836BC0" w:rsidR="002A278F" w:rsidRPr="002E152D" w:rsidRDefault="002A278F" w:rsidP="002A278F">
                      <w:pPr>
                        <w:pStyle w:val="PortadaNombreServicio"/>
                        <w:spacing w:after="120"/>
                      </w:pPr>
                      <w:r w:rsidRPr="002E152D">
                        <w:fldChar w:fldCharType="begin"/>
                      </w:r>
                      <w:r w:rsidRPr="002E152D">
                        <w:instrText xml:space="preserve"> DOCPROPERTY  "Nombre servicio"  \* MERGEFORMAT </w:instrText>
                      </w:r>
                      <w:r w:rsidRPr="002E152D">
                        <w:fldChar w:fldCharType="separate"/>
                      </w:r>
                      <w:r>
                        <w:t>OPERACIÓN DEL SERVICIO DE</w:t>
                      </w:r>
                      <w:r w:rsidRPr="002E152D">
                        <w:t xml:space="preserve"> validación </w:t>
                      </w:r>
                      <w:r>
                        <w:t>DE</w:t>
                      </w:r>
                    </w:p>
                    <w:p w14:paraId="17D78393" w14:textId="77777777" w:rsidR="002A278F" w:rsidRDefault="002A278F" w:rsidP="002A278F">
                      <w:pPr>
                        <w:pStyle w:val="PortadaNombreServicio"/>
                        <w:spacing w:after="360"/>
                      </w:pPr>
                      <w:r w:rsidRPr="002E152D">
                        <w:t>sinpe-tp</w:t>
                      </w:r>
                      <w:r w:rsidRPr="002E152D">
                        <w:fldChar w:fldCharType="end"/>
                      </w:r>
                    </w:p>
                    <w:p w14:paraId="41DF5BEB" w14:textId="77777777" w:rsidR="002A278F" w:rsidRDefault="002A278F" w:rsidP="002A278F">
                      <w:pPr>
                        <w:pStyle w:val="PortadaSerieNormas"/>
                      </w:pPr>
                      <w:r>
                        <w:t>SERIE DE NORMAS Y PROCEDIMIENTOS</w:t>
                      </w:r>
                    </w:p>
                    <w:p w14:paraId="30D62515" w14:textId="77777777" w:rsidR="002A278F" w:rsidRDefault="002A278F" w:rsidP="002A278F">
                      <w:pPr>
                        <w:pStyle w:val="PortadaSerieNormas"/>
                      </w:pPr>
                    </w:p>
                    <w:p w14:paraId="225960E3" w14:textId="77777777" w:rsidR="002A278F" w:rsidRDefault="002A278F" w:rsidP="002A278F"/>
                    <w:p w14:paraId="59E6982A" w14:textId="77777777" w:rsidR="002A278F" w:rsidRDefault="002A278F" w:rsidP="002A278F">
                      <w:pPr>
                        <w:pStyle w:val="PortadaTipoLibro"/>
                      </w:pPr>
                      <w:fldSimple w:instr=" DOCPROPERTY  &quot;Tipo libro&quot;  \* MERGEFORMAT ">
                        <w:r>
                          <w:t>Norma complementaria</w:t>
                        </w:r>
                      </w:fldSimple>
                    </w:p>
                    <w:p w14:paraId="7E6869D5" w14:textId="77777777" w:rsidR="002A278F" w:rsidRDefault="002A278F" w:rsidP="002A278F">
                      <w:pPr>
                        <w:pStyle w:val="PortadaNombreServicio"/>
                      </w:pPr>
                      <w:fldSimple w:instr=" DOCPROPERTY  &quot;Nombre servicio&quot;  \* MERGEFORMAT ">
                        <w:r>
                          <w:t>[Nombre servicio o libro]</w:t>
                        </w:r>
                      </w:fldSimple>
                    </w:p>
                    <w:p w14:paraId="06B103C6" w14:textId="77777777" w:rsidR="002A278F" w:rsidRDefault="002A278F" w:rsidP="002A278F">
                      <w:pPr>
                        <w:pStyle w:val="PortadaSerieNormas"/>
                      </w:pPr>
                      <w:r>
                        <w:t>SERIE DE NORMAS Y PROCEDIMIENTOS</w:t>
                      </w:r>
                    </w:p>
                  </w:txbxContent>
                </v:textbox>
                <w10:wrap anchorx="page"/>
              </v:shape>
            </w:pict>
          </mc:Fallback>
        </mc:AlternateContent>
      </w:r>
      <w:r w:rsidR="00AC4A4A">
        <w:rPr>
          <w:color w:val="FF0000"/>
        </w:rPr>
        <w:t xml:space="preserve"> </w:t>
      </w:r>
    </w:p>
    <w:p w14:paraId="5875A2DB" w14:textId="3BF46786" w:rsidR="00D87748" w:rsidRDefault="00205BDB" w:rsidP="006C2CA4">
      <w:r>
        <w:rPr>
          <w:noProof/>
        </w:rPr>
        <w:lastRenderedPageBreak/>
        <mc:AlternateContent>
          <mc:Choice Requires="wps">
            <w:drawing>
              <wp:anchor distT="0" distB="0" distL="114300" distR="114300" simplePos="0" relativeHeight="251697664" behindDoc="0" locked="0" layoutInCell="1" allowOverlap="1" wp14:anchorId="0A5F2524" wp14:editId="47E7EF63">
                <wp:simplePos x="0" y="0"/>
                <wp:positionH relativeFrom="column">
                  <wp:posOffset>-1255426</wp:posOffset>
                </wp:positionH>
                <wp:positionV relativeFrom="paragraph">
                  <wp:posOffset>5027837</wp:posOffset>
                </wp:positionV>
                <wp:extent cx="7664605" cy="441960"/>
                <wp:effectExtent l="0" t="0" r="0" b="635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605" cy="441960"/>
                        </a:xfrm>
                        <a:prstGeom prst="rect">
                          <a:avLst/>
                        </a:prstGeom>
                        <a:noFill/>
                        <a:ln w="9525">
                          <a:noFill/>
                          <a:miter lim="800000"/>
                          <a:headEnd/>
                          <a:tailEnd/>
                        </a:ln>
                      </wps:spPr>
                      <wps:txbx>
                        <w:txbxContent>
                          <w:p w14:paraId="3B54233B" w14:textId="77777777" w:rsidR="00955867" w:rsidRDefault="00955867" w:rsidP="00205BDB">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2524" id="Cuadro de texto 12" o:spid="_x0000_s1034" type="#_x0000_t202" style="position:absolute;left:0;text-align:left;margin-left:-98.85pt;margin-top:395.9pt;width:603.5pt;height:34.8pt;z-index:25169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" filled="f" stroked="f">
                <v:textbox style="mso-fit-shape-to-text:t">
                  <w:txbxContent>
                    <w:p w14:paraId="3B54233B" w14:textId="77777777" w:rsidR="00955867" w:rsidRDefault="00955867" w:rsidP="00205BDB">
                      <w:pPr>
                        <w:pStyle w:val="PortadaConfidencialidad"/>
                      </w:pPr>
                      <w:fldSimple w:instr=" DOCPROPERTY  Confidencialidad  \* MERGEFORMAT ">
                        <w:r>
                          <w:t>Público</w:t>
                        </w:r>
                      </w:fldSimple>
                    </w:p>
                  </w:txbxContent>
                </v:textbox>
              </v:shape>
            </w:pict>
          </mc:Fallback>
        </mc:AlternateContent>
      </w:r>
      <w:r w:rsidR="002B4A89">
        <w:rPr>
          <w:noProof/>
        </w:rPr>
        <mc:AlternateContent>
          <mc:Choice Requires="wps">
            <w:drawing>
              <wp:anchor distT="45720" distB="45720" distL="114300" distR="114300" simplePos="0" relativeHeight="251709952" behindDoc="0" locked="0" layoutInCell="1" allowOverlap="1" wp14:anchorId="44F2F14E" wp14:editId="79FE375E">
                <wp:simplePos x="0" y="0"/>
                <wp:positionH relativeFrom="page">
                  <wp:posOffset>765175</wp:posOffset>
                </wp:positionH>
                <wp:positionV relativeFrom="paragraph">
                  <wp:posOffset>2901315</wp:posOffset>
                </wp:positionV>
                <wp:extent cx="6302375" cy="2200910"/>
                <wp:effectExtent l="0" t="0" r="3175" b="2540"/>
                <wp:wrapSquare wrapText="bothSides"/>
                <wp:docPr id="16200271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2375" cy="2200910"/>
                        </a:xfrm>
                        <a:prstGeom prst="rect">
                          <a:avLst/>
                        </a:prstGeom>
                        <a:solidFill>
                          <a:srgbClr val="FFFFFF"/>
                        </a:solidFill>
                        <a:ln w="9525">
                          <a:noFill/>
                          <a:miter lim="800000"/>
                          <a:headEnd/>
                          <a:tailEnd/>
                        </a:ln>
                      </wps:spPr>
                      <wps:txbx>
                        <w:txbxContent>
                          <w:p w14:paraId="0FA22DFD" w14:textId="77777777" w:rsidR="00B46E22" w:rsidRPr="00177E0E" w:rsidRDefault="00B46E22" w:rsidP="00205BDB">
                            <w:pPr>
                              <w:jc w:val="center"/>
                              <w:rPr>
                                <w:b/>
                                <w:bCs/>
                                <w:color w:val="000000" w:themeColor="text1"/>
                                <w:sz w:val="36"/>
                                <w:szCs w:val="36"/>
                              </w:rPr>
                            </w:pPr>
                            <w:r w:rsidRPr="00177E0E">
                              <w:rPr>
                                <w:b/>
                                <w:bCs/>
                                <w:color w:val="000000" w:themeColor="text1"/>
                                <w:sz w:val="36"/>
                                <w:szCs w:val="36"/>
                              </w:rPr>
                              <w:t>NORMA COMPLEMENTARIA</w:t>
                            </w:r>
                          </w:p>
                          <w:p w14:paraId="5BCAF58F" w14:textId="77777777" w:rsidR="00B46E22" w:rsidRPr="00177E0E" w:rsidRDefault="00B46E22" w:rsidP="00205BDB">
                            <w:pPr>
                              <w:jc w:val="center"/>
                              <w:rPr>
                                <w:b/>
                                <w:bCs/>
                                <w:color w:val="000000" w:themeColor="text1"/>
                                <w:sz w:val="36"/>
                                <w:szCs w:val="36"/>
                              </w:rPr>
                            </w:pPr>
                            <w:r w:rsidRPr="00177E0E">
                              <w:rPr>
                                <w:b/>
                                <w:bCs/>
                                <w:color w:val="000000" w:themeColor="text1"/>
                                <w:sz w:val="36"/>
                                <w:szCs w:val="36"/>
                              </w:rPr>
                              <w:t>SINPE-TP</w:t>
                            </w:r>
                          </w:p>
                          <w:p w14:paraId="143B6710" w14:textId="093C02E0"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F14E" id="_x0000_s1035" type="#_x0000_t202" style="position:absolute;left:0;text-align:left;margin-left:60.25pt;margin-top:228.45pt;width:496.25pt;height:173.3pt;z-index:251709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" stroked="f">
                <v:textbox style="mso-fit-shape-to-text:t">
                  <w:txbxContent>
                    <w:p w14:paraId="0FA22DFD" w14:textId="77777777" w:rsidR="00B46E22" w:rsidRPr="00177E0E" w:rsidRDefault="00B46E22" w:rsidP="00205BDB">
                      <w:pPr>
                        <w:jc w:val="center"/>
                        <w:rPr>
                          <w:b/>
                          <w:bCs/>
                          <w:color w:val="000000" w:themeColor="text1"/>
                          <w:sz w:val="36"/>
                          <w:szCs w:val="36"/>
                        </w:rPr>
                      </w:pPr>
                      <w:r w:rsidRPr="00177E0E">
                        <w:rPr>
                          <w:b/>
                          <w:bCs/>
                          <w:color w:val="000000" w:themeColor="text1"/>
                          <w:sz w:val="36"/>
                          <w:szCs w:val="36"/>
                        </w:rPr>
                        <w:t>NORMA COMPLEMENTARIA</w:t>
                      </w:r>
                    </w:p>
                    <w:p w14:paraId="5BCAF58F" w14:textId="77777777" w:rsidR="00B46E22" w:rsidRPr="00177E0E" w:rsidRDefault="00B46E22" w:rsidP="00205BDB">
                      <w:pPr>
                        <w:jc w:val="center"/>
                        <w:rPr>
                          <w:b/>
                          <w:bCs/>
                          <w:color w:val="000000" w:themeColor="text1"/>
                          <w:sz w:val="36"/>
                          <w:szCs w:val="36"/>
                        </w:rPr>
                      </w:pPr>
                      <w:r w:rsidRPr="00177E0E">
                        <w:rPr>
                          <w:b/>
                          <w:bCs/>
                          <w:color w:val="000000" w:themeColor="text1"/>
                          <w:sz w:val="36"/>
                          <w:szCs w:val="36"/>
                        </w:rPr>
                        <w:t>SINPE-TP</w:t>
                      </w:r>
                    </w:p>
                    <w:p w14:paraId="143B6710" w14:textId="093C02E0" w:rsidR="00B46E22" w:rsidRPr="00177E0E" w:rsidRDefault="00B46E22" w:rsidP="00205BDB">
                      <w:pPr>
                        <w:jc w:val="center"/>
                        <w:rPr>
                          <w:b/>
                          <w:bCs/>
                          <w:color w:val="000000" w:themeColor="text1"/>
                          <w:sz w:val="36"/>
                          <w:szCs w:val="36"/>
                        </w:rPr>
                      </w:pPr>
                      <w:r w:rsidRPr="00177E0E">
                        <w:rPr>
                          <w:b/>
                          <w:bCs/>
                          <w:color w:val="000000" w:themeColor="text1"/>
                          <w:sz w:val="36"/>
                          <w:szCs w:val="36"/>
                        </w:rPr>
                        <w:t>SERIE DE NORMAS TÉCNICAS DE SINPE-TP</w:t>
                      </w:r>
                    </w:p>
                  </w:txbxContent>
                </v:textbox>
                <w10:wrap type="square" anchorx="page"/>
              </v:shape>
            </w:pict>
          </mc:Fallback>
        </mc:AlternateContent>
      </w:r>
      <w:r w:rsidR="001B2EC9">
        <w:rPr>
          <w:noProof/>
        </w:rPr>
        <w:drawing>
          <wp:anchor distT="0" distB="0" distL="114300" distR="114300" simplePos="0" relativeHeight="251705856" behindDoc="1" locked="0" layoutInCell="1" allowOverlap="1" wp14:anchorId="790E8BD9" wp14:editId="1A6B4CB2">
            <wp:simplePos x="0" y="0"/>
            <wp:positionH relativeFrom="column">
              <wp:posOffset>3397885</wp:posOffset>
            </wp:positionH>
            <wp:positionV relativeFrom="paragraph">
              <wp:posOffset>6434269</wp:posOffset>
            </wp:positionV>
            <wp:extent cx="2405380" cy="1295400"/>
            <wp:effectExtent l="0" t="0" r="0" b="0"/>
            <wp:wrapTight wrapText="bothSides">
              <wp:wrapPolygon edited="0">
                <wp:start x="0" y="0"/>
                <wp:lineTo x="0" y="21282"/>
                <wp:lineTo x="21383" y="21282"/>
                <wp:lineTo x="21383" y="0"/>
                <wp:lineTo x="0" y="0"/>
              </wp:wrapPolygon>
            </wp:wrapTight>
            <wp:docPr id="9219430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r="5732"/>
                    <a:stretch>
                      <a:fillRect/>
                    </a:stretch>
                  </pic:blipFill>
                  <pic:spPr bwMode="auto">
                    <a:xfrm>
                      <a:off x="0" y="0"/>
                      <a:ext cx="2405380" cy="1295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169">
        <w:rPr>
          <w:noProof/>
        </w:rPr>
        <mc:AlternateContent>
          <mc:Choice Requires="wps">
            <w:drawing>
              <wp:anchor distT="0" distB="0" distL="114300" distR="114300" simplePos="0" relativeHeight="251695616" behindDoc="0" locked="0" layoutInCell="1" allowOverlap="1" wp14:anchorId="7A1FF63C" wp14:editId="5E8F67A9">
                <wp:simplePos x="0" y="0"/>
                <wp:positionH relativeFrom="column">
                  <wp:posOffset>4067314</wp:posOffset>
                </wp:positionH>
                <wp:positionV relativeFrom="paragraph">
                  <wp:posOffset>7889426</wp:posOffset>
                </wp:positionV>
                <wp:extent cx="1959610" cy="68580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4775B20A" w:rsidR="002208B4" w:rsidRDefault="002208B4" w:rsidP="00030834">
                                  <w:pPr>
                                    <w:pStyle w:val="ContraportadaCdigo"/>
                                  </w:pPr>
                                  <w:fldSimple w:instr=" DOCPROPERTY  Código  \* MERGEFORMAT ">
                                    <w:r>
                                      <w:t>N</w:t>
                                    </w:r>
                                    <w:r w:rsidR="009330DB">
                                      <w:t>C</w:t>
                                    </w:r>
                                    <w:r>
                                      <w:t>-STP</w:t>
                                    </w:r>
                                  </w:fldSimple>
                                </w:p>
                              </w:tc>
                            </w:tr>
                          </w:tbl>
                          <w:p w14:paraId="72DDB1BD" w14:textId="77777777" w:rsidR="002208B4" w:rsidRDefault="002208B4" w:rsidP="002208B4">
                            <w:pPr>
                              <w:pStyle w:val="ContraportadaCdig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FF63C" id="Cuadro de texto 13" o:spid="_x0000_s1036" type="#_x0000_t202" style="position:absolute;left:0;text-align:left;margin-left:320.25pt;margin-top:621.2pt;width:154.3pt;height:5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" filled="f" stroked="f">
                <v:textbox>
                  <w:txbxContent>
                    <w:tbl>
                      <w:tblPr>
                        <w:tblW w:w="3780" w:type="dxa"/>
                        <w:tblLook w:val="01E0" w:firstRow="1" w:lastRow="1" w:firstColumn="1" w:lastColumn="1" w:noHBand="0" w:noVBand="0"/>
                      </w:tblPr>
                      <w:tblGrid>
                        <w:gridCol w:w="3780"/>
                      </w:tblGrid>
                      <w:tr w:rsidR="002208B4" w14:paraId="3E5C3803" w14:textId="77777777">
                        <w:tc>
                          <w:tcPr>
                            <w:tcW w:w="3780" w:type="dxa"/>
                            <w:vAlign w:val="center"/>
                            <w:hideMark/>
                          </w:tcPr>
                          <w:p w14:paraId="4DCCA17E" w14:textId="4775B20A" w:rsidR="002208B4" w:rsidRDefault="002208B4" w:rsidP="00030834">
                            <w:pPr>
                              <w:pStyle w:val="ContraportadaCdigo"/>
                            </w:pPr>
                            <w:fldSimple w:instr=" DOCPROPERTY  Código  \* MERGEFORMAT ">
                              <w:r>
                                <w:t>N</w:t>
                              </w:r>
                              <w:r w:rsidR="009330DB">
                                <w:t>C</w:t>
                              </w:r>
                              <w:r>
                                <w:t>-STP</w:t>
                              </w:r>
                            </w:fldSimple>
                          </w:p>
                        </w:tc>
                      </w:tr>
                    </w:tbl>
                    <w:p w14:paraId="72DDB1BD" w14:textId="77777777" w:rsidR="002208B4" w:rsidRDefault="002208B4" w:rsidP="002208B4">
                      <w:pPr>
                        <w:pStyle w:val="ContraportadaCdigo"/>
                      </w:pPr>
                    </w:p>
                  </w:txbxContent>
                </v:textbox>
              </v:shape>
            </w:pict>
          </mc:Fallback>
        </mc:AlternateContent>
      </w:r>
      <w:r w:rsidR="001C2562">
        <w:rPr>
          <w:noProof/>
        </w:rPr>
        <w:drawing>
          <wp:anchor distT="0" distB="0" distL="114300" distR="114300" simplePos="0" relativeHeight="251659776" behindDoc="1" locked="0" layoutInCell="1" allowOverlap="1" wp14:anchorId="2BB8590E" wp14:editId="06B89F0B">
            <wp:simplePos x="0" y="0"/>
            <wp:positionH relativeFrom="page">
              <wp:posOffset>19050</wp:posOffset>
            </wp:positionH>
            <wp:positionV relativeFrom="paragraph">
              <wp:posOffset>0</wp:posOffset>
            </wp:positionV>
            <wp:extent cx="7749540" cy="9128760"/>
            <wp:effectExtent l="0" t="0" r="3810" b="0"/>
            <wp:wrapTopAndBottom/>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25112" t="10213" b="10623"/>
                    <a:stretch>
                      <a:fillRect/>
                    </a:stretch>
                  </pic:blipFill>
                  <pic:spPr bwMode="auto">
                    <a:xfrm>
                      <a:off x="0" y="0"/>
                      <a:ext cx="7749540" cy="9128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34176" behindDoc="0" locked="0" layoutInCell="1" allowOverlap="1" wp14:anchorId="5A3D3B7C" wp14:editId="02B41A82">
                <wp:simplePos x="0" y="0"/>
                <wp:positionH relativeFrom="column">
                  <wp:posOffset>1784985</wp:posOffset>
                </wp:positionH>
                <wp:positionV relativeFrom="paragraph">
                  <wp:posOffset>-5695315</wp:posOffset>
                </wp:positionV>
                <wp:extent cx="3949065" cy="169672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3B7C" id="Text Box 4" o:spid="_x0000_s1037" type="#_x0000_t202" style="position:absolute;left:0;text-align:left;margin-left:140.55pt;margin-top:-448.45pt;width:310.95pt;height:13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" filled="f" stroked="f">
                <v:textbox>
                  <w:txbxContent>
                    <w:p w14:paraId="2B4850D5" w14:textId="3A755470" w:rsidR="007D2830" w:rsidRPr="002255E4" w:rsidRDefault="007D2830" w:rsidP="00D87748">
                      <w:pPr>
                        <w:pStyle w:val="ContraportadaTipoLibro"/>
                      </w:pPr>
                      <w:fldSimple w:instr=" DOCPROPERTY  &quot;Tipo Libro&quot;  \* MERGEFORMAT ">
                        <w:r>
                          <w:t xml:space="preserve">Norma </w:t>
                        </w:r>
                        <w:r w:rsidR="00AF467B">
                          <w:t>TÉCNICA</w:t>
                        </w:r>
                      </w:fldSimple>
                      <w:r w:rsidRPr="002255E4">
                        <w:t xml:space="preserve"> </w:t>
                      </w:r>
                    </w:p>
                    <w:p w14:paraId="60B96096" w14:textId="77777777" w:rsidR="002F50F5" w:rsidRDefault="00AF467B" w:rsidP="002F50F5">
                      <w:pPr>
                        <w:pStyle w:val="ContraportadaNombreServicio"/>
                        <w:spacing w:after="60"/>
                      </w:pPr>
                      <w:r>
                        <w:t>HOMOLOGACIÓN DE</w:t>
                      </w:r>
                      <w:r w:rsidR="002F50F5">
                        <w:t xml:space="preserve"> equipos de</w:t>
                      </w:r>
                      <w:r>
                        <w:t xml:space="preserve"> VALIDA</w:t>
                      </w:r>
                      <w:r w:rsidR="002F50F5">
                        <w:t>ción</w:t>
                      </w:r>
                      <w:r>
                        <w:t xml:space="preserve"> PARA</w:t>
                      </w:r>
                    </w:p>
                    <w:p w14:paraId="1051C509" w14:textId="4C332258" w:rsidR="007D2830" w:rsidRDefault="00AF467B" w:rsidP="002F50F5">
                      <w:pPr>
                        <w:pStyle w:val="ContraportadaNombreServicio"/>
                        <w:spacing w:after="60"/>
                      </w:pPr>
                      <w:r>
                        <w:t>SINPE-TP</w:t>
                      </w:r>
                    </w:p>
                    <w:p w14:paraId="285ECD1B" w14:textId="77777777" w:rsidR="00AF467B" w:rsidRDefault="00AF467B" w:rsidP="006515E2">
                      <w:pPr>
                        <w:pStyle w:val="ContraportadaNombreServicio"/>
                        <w:spacing w:after="120"/>
                      </w:pPr>
                    </w:p>
                    <w:p w14:paraId="2C00B2F4" w14:textId="77777777" w:rsidR="007D2830" w:rsidRDefault="007D2830" w:rsidP="00D87748">
                      <w:pPr>
                        <w:pStyle w:val="ContraportadaSerieNormas"/>
                      </w:pPr>
                      <w:r w:rsidRPr="002255E4">
                        <w:t>SERIE DE NORMAS Y PROCEDIMIENTOS</w:t>
                      </w:r>
                    </w:p>
                    <w:p w14:paraId="31DDF576" w14:textId="77777777" w:rsidR="007D2830" w:rsidRPr="00977F1C" w:rsidRDefault="007D2830" w:rsidP="00D87748"/>
                    <w:p w14:paraId="2B1E79E6" w14:textId="77777777" w:rsidR="007D2830" w:rsidRDefault="007D2830" w:rsidP="00D87748"/>
                    <w:p w14:paraId="4B3731B7"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F7B060F"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4DA4395A" w14:textId="77777777" w:rsidR="007D2830" w:rsidRPr="002255E4" w:rsidRDefault="007D2830" w:rsidP="00D87748">
                      <w:pPr>
                        <w:pStyle w:val="ContraportadaSerieNormas"/>
                      </w:pPr>
                      <w:r w:rsidRPr="002255E4">
                        <w:t>SERIE DE NORMAS Y PROCEDIMIENTOS</w:t>
                      </w:r>
                    </w:p>
                    <w:p w14:paraId="30390B9C" w14:textId="77777777" w:rsidR="007D2830" w:rsidRDefault="007D2830" w:rsidP="00D87748"/>
                    <w:p w14:paraId="177F3851" w14:textId="77777777" w:rsidR="007D2830" w:rsidRDefault="007D2830" w:rsidP="00D87748"/>
                    <w:p w14:paraId="06A02A56" w14:textId="77777777" w:rsidR="007D2830" w:rsidRPr="002255E4" w:rsidRDefault="007D2830" w:rsidP="00D87748">
                      <w:pPr>
                        <w:pStyle w:val="ContraportadaTipoLibro"/>
                      </w:pPr>
                      <w:fldSimple w:instr=" DOCPROPERTY  &quot;Tipo Libro&quot;  \* MERGEFORMAT ">
                        <w:r>
                          <w:t>Norma complementaria</w:t>
                        </w:r>
                      </w:fldSimple>
                      <w:r w:rsidRPr="002255E4">
                        <w:t xml:space="preserve"> </w:t>
                      </w:r>
                    </w:p>
                    <w:p w14:paraId="4984CD7A" w14:textId="77777777" w:rsidR="007D2830" w:rsidRDefault="007D2830" w:rsidP="00D87748">
                      <w:pPr>
                        <w:pStyle w:val="ContraportadaNombreServicio"/>
                      </w:pPr>
                      <w:fldSimple w:instr=" DOCPROPERTY  &quot;Nombre Servicio&quot;  \* MERGEFORMAT ">
                        <w:r>
                          <w:t>[Nombre servicio o libro]</w:t>
                        </w:r>
                      </w:fldSimple>
                    </w:p>
                    <w:p w14:paraId="06CBAFEB" w14:textId="77777777" w:rsidR="007D2830" w:rsidRPr="002255E4" w:rsidRDefault="007D2830" w:rsidP="00D87748">
                      <w:pPr>
                        <w:pStyle w:val="ContraportadaSerieNormas"/>
                      </w:pPr>
                      <w:r w:rsidRPr="002255E4">
                        <w:t>SERIE DE NORMAS Y PROCEDIMIENTOS</w:t>
                      </w:r>
                    </w:p>
                    <w:p w14:paraId="4F2881BE" w14:textId="77777777" w:rsidR="007D2830" w:rsidRDefault="007D2830" w:rsidP="00D87748"/>
                    <w:p w14:paraId="600638C7" w14:textId="77777777" w:rsidR="007D2830" w:rsidRDefault="007D2830" w:rsidP="00D87748"/>
                    <w:p w14:paraId="69BD1391" w14:textId="77777777" w:rsidR="007D2830" w:rsidRPr="002255E4" w:rsidRDefault="007D2830" w:rsidP="00D87748">
                      <w:pPr>
                        <w:pStyle w:val="ContraportadaTipoLibro"/>
                      </w:pPr>
                      <w:r>
                        <w:fldChar w:fldCharType="begin"/>
                      </w:r>
                      <w:r>
                        <w:instrText xml:space="preserve"> DOCPROPERTY  TipoLibro  \* MERGEFORMAT </w:instrText>
                      </w:r>
                      <w:r>
                        <w:fldChar w:fldCharType="separate"/>
                      </w:r>
                      <w:r>
                        <w:rPr>
                          <w:b w:val="0"/>
                          <w:bCs/>
                          <w:lang w:val="es-ES"/>
                        </w:rPr>
                        <w:t>¡Error! Nombre desconocido de propiedad de documento.</w:t>
                      </w:r>
                      <w:r>
                        <w:fldChar w:fldCharType="end"/>
                      </w:r>
                      <w:r w:rsidRPr="002255E4">
                        <w:t xml:space="preserve"> </w:t>
                      </w:r>
                    </w:p>
                    <w:p w14:paraId="15A48363" w14:textId="77777777" w:rsidR="007D2830" w:rsidRDefault="007D2830" w:rsidP="00D87748">
                      <w:pPr>
                        <w:pStyle w:val="ContraportadaNombreServicio"/>
                      </w:pPr>
                      <w:r>
                        <w:fldChar w:fldCharType="begin"/>
                      </w:r>
                      <w:r w:rsidRPr="00C86AD0">
                        <w:instrText xml:space="preserve"> DOCPROPERTY  NombreServicio  \* MERGEFORMAT </w:instrText>
                      </w:r>
                      <w:r>
                        <w:fldChar w:fldCharType="separate"/>
                      </w:r>
                      <w:r>
                        <w:rPr>
                          <w:b w:val="0"/>
                          <w:bCs/>
                          <w:lang w:val="es-ES"/>
                        </w:rPr>
                        <w:t>¡Error! Nombre desconocido de propiedad de documento.</w:t>
                      </w:r>
                      <w:r>
                        <w:fldChar w:fldCharType="end"/>
                      </w:r>
                    </w:p>
                    <w:p w14:paraId="63511B0B" w14:textId="77777777" w:rsidR="007D2830" w:rsidRPr="002255E4" w:rsidRDefault="007D2830" w:rsidP="00D87748">
                      <w:pPr>
                        <w:pStyle w:val="ContraportadaSerieNormas"/>
                      </w:pPr>
                      <w:r w:rsidRPr="002255E4">
                        <w:t>SERIE DE NORMAS Y PROCEDIMIENTOS</w:t>
                      </w:r>
                    </w:p>
                    <w:p w14:paraId="39876A09" w14:textId="77777777" w:rsidR="007D2830" w:rsidRDefault="007D2830" w:rsidP="00D87748"/>
                  </w:txbxContent>
                </v:textbox>
              </v:shape>
            </w:pict>
          </mc:Fallback>
        </mc:AlternateContent>
      </w:r>
      <w:r w:rsidR="00277D70">
        <w:rPr>
          <w:noProof/>
        </w:rPr>
        <mc:AlternateContent>
          <mc:Choice Requires="wps">
            <w:drawing>
              <wp:anchor distT="0" distB="0" distL="114300" distR="114300" simplePos="0" relativeHeight="251639296" behindDoc="0" locked="0" layoutInCell="1" allowOverlap="1" wp14:anchorId="3736551B" wp14:editId="1C6E675E">
                <wp:simplePos x="0" y="0"/>
                <wp:positionH relativeFrom="column">
                  <wp:posOffset>921385</wp:posOffset>
                </wp:positionH>
                <wp:positionV relativeFrom="paragraph">
                  <wp:posOffset>-3733165</wp:posOffset>
                </wp:positionV>
                <wp:extent cx="4762500" cy="441960"/>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41960"/>
                        </a:xfrm>
                        <a:prstGeom prst="rect">
                          <a:avLst/>
                        </a:prstGeom>
                        <a:noFill/>
                        <a:ln w="9525">
                          <a:noFill/>
                          <a:miter lim="800000"/>
                          <a:headEnd/>
                          <a:tailEnd/>
                        </a:ln>
                      </wps:spPr>
                      <wps:txbx>
                        <w:txbxContent>
                          <w:p w14:paraId="3DB21336" w14:textId="77777777" w:rsidR="007D2830" w:rsidRDefault="007D2830" w:rsidP="00D87748">
                            <w:pPr>
                              <w:pStyle w:val="PortadaConfidencialidad"/>
                            </w:pPr>
                            <w:fldSimple w:instr=" DOCPROPERTY  Confidencialidad  \* MERGEFORMAT ">
                              <w:r>
                                <w:t>Público</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6551B" id="_x0000_s1038" type="#_x0000_t202" style="position:absolute;left:0;text-align:left;margin-left:72.55pt;margin-top:-293.95pt;width:375pt;height:34.8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" filled="f" stroked="f">
                <v:textbox style="mso-fit-shape-to-text:t">
                  <w:txbxContent>
                    <w:p w14:paraId="3DB21336" w14:textId="77777777" w:rsidR="007D2830" w:rsidRDefault="007D2830" w:rsidP="00D87748">
                      <w:pPr>
                        <w:pStyle w:val="PortadaConfidencialidad"/>
                      </w:pPr>
                      <w:fldSimple w:instr=" DOCPROPERTY  Confidencialidad  \* MERGEFORMAT ">
                        <w:r>
                          <w:t>Público</w:t>
                        </w:r>
                      </w:fldSimple>
                    </w:p>
                  </w:txbxContent>
                </v:textbox>
              </v:shape>
            </w:pict>
          </mc:Fallback>
        </mc:AlternateContent>
      </w:r>
      <w:r w:rsidR="00277D70">
        <w:rPr>
          <w:noProof/>
        </w:rPr>
        <mc:AlternateContent>
          <mc:Choice Requires="wps">
            <w:drawing>
              <wp:anchor distT="0" distB="0" distL="114300" distR="114300" simplePos="0" relativeHeight="251623936" behindDoc="0" locked="0" layoutInCell="1" allowOverlap="1" wp14:anchorId="54239ACD" wp14:editId="3445206F">
                <wp:simplePos x="0" y="0"/>
                <wp:positionH relativeFrom="column">
                  <wp:posOffset>3171825</wp:posOffset>
                </wp:positionH>
                <wp:positionV relativeFrom="paragraph">
                  <wp:posOffset>7397750</wp:posOffset>
                </wp:positionV>
                <wp:extent cx="2657475" cy="68580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39ACD" id="Text Box 3" o:spid="_x0000_s1039" type="#_x0000_t202" style="position:absolute;left:0;text-align:left;margin-left:249.75pt;margin-top:582.5pt;width:209.25pt;height:54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" filled="f" stroked="f">
                <v:textbox>
                  <w:txbxContent>
                    <w:tbl>
                      <w:tblPr>
                        <w:tblW w:w="3780" w:type="dxa"/>
                        <w:tblLook w:val="01E0" w:firstRow="1" w:lastRow="1" w:firstColumn="1" w:lastColumn="1" w:noHBand="0" w:noVBand="0"/>
                      </w:tblPr>
                      <w:tblGrid>
                        <w:gridCol w:w="3780"/>
                      </w:tblGrid>
                      <w:tr w:rsidR="007D2830" w:rsidRPr="007C4DA0" w14:paraId="5E8CBE68" w14:textId="77777777" w:rsidTr="00ED3BE1">
                        <w:tc>
                          <w:tcPr>
                            <w:tcW w:w="3780" w:type="dxa"/>
                            <w:vAlign w:val="center"/>
                          </w:tcPr>
                          <w:p w14:paraId="6BDB7E64" w14:textId="77777777" w:rsidR="007D2830" w:rsidRPr="009C59FE" w:rsidRDefault="007D2830" w:rsidP="00ED3BE1">
                            <w:pPr>
                              <w:pStyle w:val="ContraportadaCdigo"/>
                            </w:pPr>
                            <w:r w:rsidRPr="009C59FE">
                              <w:t>NC-CC</w:t>
                            </w:r>
                          </w:p>
                        </w:tc>
                      </w:tr>
                    </w:tbl>
                    <w:p w14:paraId="58719431" w14:textId="77777777" w:rsidR="007D2830" w:rsidRPr="00A65D2A" w:rsidRDefault="007D2830" w:rsidP="00D87748"/>
                    <w:p w14:paraId="184EF1AC" w14:textId="77777777" w:rsidR="007D2830" w:rsidRDefault="007D2830" w:rsidP="00D87748"/>
                    <w:tbl>
                      <w:tblPr>
                        <w:tblW w:w="3780" w:type="dxa"/>
                        <w:tblLook w:val="01E0" w:firstRow="1" w:lastRow="1" w:firstColumn="1" w:lastColumn="1" w:noHBand="0" w:noVBand="0"/>
                      </w:tblPr>
                      <w:tblGrid>
                        <w:gridCol w:w="3780"/>
                      </w:tblGrid>
                      <w:tr w:rsidR="007D2830" w:rsidRPr="007C4DA0" w14:paraId="5BF5926F" w14:textId="77777777" w:rsidTr="00ED3BE1">
                        <w:tc>
                          <w:tcPr>
                            <w:tcW w:w="3780" w:type="dxa"/>
                            <w:vAlign w:val="center"/>
                          </w:tcPr>
                          <w:p w14:paraId="279A0D1B" w14:textId="77777777" w:rsidR="007D2830" w:rsidRPr="009C59FE" w:rsidRDefault="007D2830" w:rsidP="00ED3BE1">
                            <w:pPr>
                              <w:pStyle w:val="ContraportadaCdigo"/>
                            </w:pPr>
                            <w:r w:rsidRPr="009C59FE">
                              <w:t>NC-CC</w:t>
                            </w:r>
                          </w:p>
                        </w:tc>
                      </w:tr>
                    </w:tbl>
                    <w:p w14:paraId="76FF8D0E" w14:textId="77777777" w:rsidR="007D2830" w:rsidRPr="00A65D2A" w:rsidRDefault="007D2830" w:rsidP="00D87748"/>
                  </w:txbxContent>
                </v:textbox>
              </v:shape>
            </w:pict>
          </mc:Fallback>
        </mc:AlternateContent>
      </w:r>
    </w:p>
    <w:p w14:paraId="6E13DFD3" w14:textId="0B54874A" w:rsidR="00D87748" w:rsidRPr="002A2D26" w:rsidRDefault="00D87748" w:rsidP="00BA30B6">
      <w:pPr>
        <w:pStyle w:val="TtuloTablaContenido"/>
        <w:spacing w:after="0"/>
        <w:rPr>
          <w:rFonts w:ascii="Arial" w:hAnsi="Arial" w:cs="Arial"/>
          <w:szCs w:val="36"/>
        </w:rPr>
      </w:pPr>
      <w:r w:rsidRPr="002A2D26">
        <w:rPr>
          <w:rFonts w:ascii="Arial" w:hAnsi="Arial" w:cs="Arial"/>
          <w:szCs w:val="36"/>
        </w:rPr>
        <w:lastRenderedPageBreak/>
        <w:t>Tabla de contenido</w:t>
      </w:r>
    </w:p>
    <w:p w14:paraId="728167FB" w14:textId="77777777" w:rsidR="002A2D26" w:rsidRPr="002A2D26" w:rsidRDefault="002A2D26" w:rsidP="00BA30B6">
      <w:pPr>
        <w:pStyle w:val="TtuloTablaContenido"/>
        <w:spacing w:after="0"/>
        <w:rPr>
          <w:rFonts w:ascii="Arial" w:hAnsi="Arial" w:cs="Arial"/>
          <w:szCs w:val="36"/>
        </w:rPr>
      </w:pPr>
    </w:p>
    <w:bookmarkStart w:id="0" w:name="_Hlk112695910"/>
    <w:p w14:paraId="191DB771" w14:textId="14E077E4" w:rsidR="007F7B8F" w:rsidRDefault="00D87748"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r w:rsidRPr="002A2D26">
        <w:rPr>
          <w:rFonts w:ascii="Arial" w:hAnsi="Arial" w:cs="Arial"/>
        </w:rPr>
        <w:fldChar w:fldCharType="begin"/>
      </w:r>
      <w:r w:rsidRPr="002A2D26">
        <w:rPr>
          <w:rFonts w:ascii="Arial" w:hAnsi="Arial" w:cs="Arial"/>
        </w:rPr>
        <w:instrText xml:space="preserve"> TOC \o "1-4" \h \z \u </w:instrText>
      </w:r>
      <w:r w:rsidRPr="002A2D26">
        <w:rPr>
          <w:rFonts w:ascii="Arial" w:hAnsi="Arial" w:cs="Arial"/>
        </w:rPr>
        <w:fldChar w:fldCharType="separate"/>
      </w:r>
      <w:hyperlink w:anchor="_Toc216697932" w:history="1">
        <w:r w:rsidR="007F7B8F" w:rsidRPr="00025C68">
          <w:rPr>
            <w:rStyle w:val="Hipervnculo"/>
            <w:noProof/>
            <w:lang w:val="es-CR"/>
          </w:rPr>
          <w:t>1.</w:t>
        </w:r>
        <w:r w:rsidR="007F7B8F">
          <w:rPr>
            <w:rFonts w:asciiTheme="minorHAnsi" w:eastAsiaTheme="minorEastAsia" w:hAnsiTheme="minorHAnsi" w:cstheme="minorBidi"/>
            <w:b w:val="0"/>
            <w:noProof/>
            <w:snapToGrid/>
            <w:kern w:val="2"/>
            <w:sz w:val="24"/>
            <w:szCs w:val="24"/>
            <w:lang w:val="es-CR" w:eastAsia="es-CR"/>
            <w14:ligatures w14:val="standardContextual"/>
          </w:rPr>
          <w:tab/>
        </w:r>
        <w:r w:rsidR="007F7B8F" w:rsidRPr="00025C68">
          <w:rPr>
            <w:rStyle w:val="Hipervnculo"/>
            <w:noProof/>
          </w:rPr>
          <w:t>Marco introductorio</w:t>
        </w:r>
        <w:r w:rsidR="007F7B8F">
          <w:rPr>
            <w:noProof/>
            <w:webHidden/>
          </w:rPr>
          <w:tab/>
        </w:r>
        <w:r w:rsidR="007F7B8F">
          <w:rPr>
            <w:noProof/>
            <w:webHidden/>
          </w:rPr>
          <w:fldChar w:fldCharType="begin"/>
        </w:r>
        <w:r w:rsidR="007F7B8F">
          <w:rPr>
            <w:noProof/>
            <w:webHidden/>
          </w:rPr>
          <w:instrText xml:space="preserve"> PAGEREF _Toc216697932 \h </w:instrText>
        </w:r>
        <w:r w:rsidR="007F7B8F">
          <w:rPr>
            <w:noProof/>
            <w:webHidden/>
          </w:rPr>
        </w:r>
        <w:r w:rsidR="007F7B8F">
          <w:rPr>
            <w:noProof/>
            <w:webHidden/>
          </w:rPr>
          <w:fldChar w:fldCharType="separate"/>
        </w:r>
        <w:r w:rsidR="00FA10A3">
          <w:rPr>
            <w:noProof/>
            <w:webHidden/>
          </w:rPr>
          <w:t>1</w:t>
        </w:r>
        <w:r w:rsidR="007F7B8F">
          <w:rPr>
            <w:noProof/>
            <w:webHidden/>
          </w:rPr>
          <w:fldChar w:fldCharType="end"/>
        </w:r>
      </w:hyperlink>
    </w:p>
    <w:p w14:paraId="24133774" w14:textId="7E7CC598"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3" w:history="1">
        <w:r w:rsidRPr="00025C68">
          <w:rPr>
            <w:rStyle w:val="Hipervnculo"/>
          </w:rPr>
          <w:t>1.1.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Alcance</w:t>
        </w:r>
        <w:r>
          <w:rPr>
            <w:webHidden/>
          </w:rPr>
          <w:tab/>
        </w:r>
        <w:r>
          <w:rPr>
            <w:webHidden/>
          </w:rPr>
          <w:fldChar w:fldCharType="begin"/>
        </w:r>
        <w:r>
          <w:rPr>
            <w:webHidden/>
          </w:rPr>
          <w:instrText xml:space="preserve"> PAGEREF _Toc216697933 \h </w:instrText>
        </w:r>
        <w:r>
          <w:rPr>
            <w:webHidden/>
          </w:rPr>
        </w:r>
        <w:r>
          <w:rPr>
            <w:webHidden/>
          </w:rPr>
          <w:fldChar w:fldCharType="separate"/>
        </w:r>
        <w:r w:rsidR="00FA10A3">
          <w:rPr>
            <w:webHidden/>
          </w:rPr>
          <w:t>1</w:t>
        </w:r>
        <w:r>
          <w:rPr>
            <w:webHidden/>
          </w:rPr>
          <w:fldChar w:fldCharType="end"/>
        </w:r>
      </w:hyperlink>
    </w:p>
    <w:p w14:paraId="104328F9" w14:textId="2E0B5302"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4" w:history="1">
        <w:r w:rsidRPr="00025C68">
          <w:rPr>
            <w:rStyle w:val="Hipervnculo"/>
          </w:rPr>
          <w:t>1.2.</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Términos empleados</w:t>
        </w:r>
        <w:r>
          <w:rPr>
            <w:webHidden/>
          </w:rPr>
          <w:tab/>
        </w:r>
        <w:r>
          <w:rPr>
            <w:webHidden/>
          </w:rPr>
          <w:fldChar w:fldCharType="begin"/>
        </w:r>
        <w:r>
          <w:rPr>
            <w:webHidden/>
          </w:rPr>
          <w:instrText xml:space="preserve"> PAGEREF _Toc216697934 \h </w:instrText>
        </w:r>
        <w:r>
          <w:rPr>
            <w:webHidden/>
          </w:rPr>
        </w:r>
        <w:r>
          <w:rPr>
            <w:webHidden/>
          </w:rPr>
          <w:fldChar w:fldCharType="separate"/>
        </w:r>
        <w:r w:rsidR="00FA10A3">
          <w:rPr>
            <w:webHidden/>
          </w:rPr>
          <w:t>1</w:t>
        </w:r>
        <w:r>
          <w:rPr>
            <w:webHidden/>
          </w:rPr>
          <w:fldChar w:fldCharType="end"/>
        </w:r>
      </w:hyperlink>
    </w:p>
    <w:p w14:paraId="7B878509" w14:textId="5111F85C"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5" w:history="1">
        <w:r w:rsidRPr="00025C68">
          <w:rPr>
            <w:rStyle w:val="Hipervnculo"/>
          </w:rPr>
          <w:t>1.3.</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Regulación relacionada</w:t>
        </w:r>
        <w:r>
          <w:rPr>
            <w:webHidden/>
          </w:rPr>
          <w:tab/>
        </w:r>
        <w:r>
          <w:rPr>
            <w:webHidden/>
          </w:rPr>
          <w:fldChar w:fldCharType="begin"/>
        </w:r>
        <w:r>
          <w:rPr>
            <w:webHidden/>
          </w:rPr>
          <w:instrText xml:space="preserve"> PAGEREF _Toc216697935 \h </w:instrText>
        </w:r>
        <w:r>
          <w:rPr>
            <w:webHidden/>
          </w:rPr>
        </w:r>
        <w:r>
          <w:rPr>
            <w:webHidden/>
          </w:rPr>
          <w:fldChar w:fldCharType="separate"/>
        </w:r>
        <w:r w:rsidR="00FA10A3">
          <w:rPr>
            <w:webHidden/>
          </w:rPr>
          <w:t>4</w:t>
        </w:r>
        <w:r>
          <w:rPr>
            <w:webHidden/>
          </w:rPr>
          <w:fldChar w:fldCharType="end"/>
        </w:r>
      </w:hyperlink>
    </w:p>
    <w:p w14:paraId="1907AD66" w14:textId="59E4F9A0"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36" w:history="1">
        <w:r w:rsidRPr="00025C68">
          <w:rPr>
            <w:rStyle w:val="Hipervnculo"/>
            <w:noProof/>
            <w:lang w:val="es-CR"/>
          </w:rPr>
          <w:t>2.</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noProof/>
          </w:rPr>
          <w:t>Aspectos generales</w:t>
        </w:r>
        <w:r>
          <w:rPr>
            <w:noProof/>
            <w:webHidden/>
          </w:rPr>
          <w:tab/>
        </w:r>
        <w:r>
          <w:rPr>
            <w:noProof/>
            <w:webHidden/>
          </w:rPr>
          <w:fldChar w:fldCharType="begin"/>
        </w:r>
        <w:r>
          <w:rPr>
            <w:noProof/>
            <w:webHidden/>
          </w:rPr>
          <w:instrText xml:space="preserve"> PAGEREF _Toc216697936 \h </w:instrText>
        </w:r>
        <w:r>
          <w:rPr>
            <w:noProof/>
            <w:webHidden/>
          </w:rPr>
        </w:r>
        <w:r>
          <w:rPr>
            <w:noProof/>
            <w:webHidden/>
          </w:rPr>
          <w:fldChar w:fldCharType="separate"/>
        </w:r>
        <w:r w:rsidR="00FA10A3">
          <w:rPr>
            <w:noProof/>
            <w:webHidden/>
          </w:rPr>
          <w:t>5</w:t>
        </w:r>
        <w:r>
          <w:rPr>
            <w:noProof/>
            <w:webHidden/>
          </w:rPr>
          <w:fldChar w:fldCharType="end"/>
        </w:r>
      </w:hyperlink>
    </w:p>
    <w:p w14:paraId="5693D0BC" w14:textId="573BD4FF"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7" w:history="1">
        <w:r w:rsidRPr="00025C68">
          <w:rPr>
            <w:rStyle w:val="Hipervnculo"/>
          </w:rPr>
          <w:t>2.1.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Definición del servicio</w:t>
        </w:r>
        <w:r>
          <w:rPr>
            <w:webHidden/>
          </w:rPr>
          <w:tab/>
        </w:r>
        <w:r>
          <w:rPr>
            <w:webHidden/>
          </w:rPr>
          <w:fldChar w:fldCharType="begin"/>
        </w:r>
        <w:r>
          <w:rPr>
            <w:webHidden/>
          </w:rPr>
          <w:instrText xml:space="preserve"> PAGEREF _Toc216697937 \h </w:instrText>
        </w:r>
        <w:r>
          <w:rPr>
            <w:webHidden/>
          </w:rPr>
        </w:r>
        <w:r>
          <w:rPr>
            <w:webHidden/>
          </w:rPr>
          <w:fldChar w:fldCharType="separate"/>
        </w:r>
        <w:r w:rsidR="00FA10A3">
          <w:rPr>
            <w:webHidden/>
          </w:rPr>
          <w:t>5</w:t>
        </w:r>
        <w:r>
          <w:rPr>
            <w:webHidden/>
          </w:rPr>
          <w:fldChar w:fldCharType="end"/>
        </w:r>
      </w:hyperlink>
    </w:p>
    <w:p w14:paraId="7FBB9C5A" w14:textId="6691FD9A"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8" w:history="1">
        <w:r w:rsidRPr="00025C68">
          <w:rPr>
            <w:rStyle w:val="Hipervnculo"/>
          </w:rPr>
          <w:t>2.2.</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Participantes</w:t>
        </w:r>
        <w:r>
          <w:rPr>
            <w:webHidden/>
          </w:rPr>
          <w:tab/>
        </w:r>
        <w:r>
          <w:rPr>
            <w:webHidden/>
          </w:rPr>
          <w:fldChar w:fldCharType="begin"/>
        </w:r>
        <w:r>
          <w:rPr>
            <w:webHidden/>
          </w:rPr>
          <w:instrText xml:space="preserve"> PAGEREF _Toc216697938 \h </w:instrText>
        </w:r>
        <w:r>
          <w:rPr>
            <w:webHidden/>
          </w:rPr>
        </w:r>
        <w:r>
          <w:rPr>
            <w:webHidden/>
          </w:rPr>
          <w:fldChar w:fldCharType="separate"/>
        </w:r>
        <w:r w:rsidR="00FA10A3">
          <w:rPr>
            <w:webHidden/>
          </w:rPr>
          <w:t>5</w:t>
        </w:r>
        <w:r>
          <w:rPr>
            <w:webHidden/>
          </w:rPr>
          <w:fldChar w:fldCharType="end"/>
        </w:r>
      </w:hyperlink>
    </w:p>
    <w:p w14:paraId="5B6A23A7" w14:textId="63A2E297"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39" w:history="1">
        <w:r w:rsidRPr="00025C68">
          <w:rPr>
            <w:rStyle w:val="Hipervnculo"/>
          </w:rPr>
          <w:t>2.3.</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Dispositivos de pago autorizados</w:t>
        </w:r>
        <w:r>
          <w:rPr>
            <w:webHidden/>
          </w:rPr>
          <w:tab/>
        </w:r>
        <w:r>
          <w:rPr>
            <w:webHidden/>
          </w:rPr>
          <w:fldChar w:fldCharType="begin"/>
        </w:r>
        <w:r>
          <w:rPr>
            <w:webHidden/>
          </w:rPr>
          <w:instrText xml:space="preserve"> PAGEREF _Toc216697939 \h </w:instrText>
        </w:r>
        <w:r>
          <w:rPr>
            <w:webHidden/>
          </w:rPr>
        </w:r>
        <w:r>
          <w:rPr>
            <w:webHidden/>
          </w:rPr>
          <w:fldChar w:fldCharType="separate"/>
        </w:r>
        <w:r w:rsidR="00FA10A3">
          <w:rPr>
            <w:webHidden/>
          </w:rPr>
          <w:t>5</w:t>
        </w:r>
        <w:r>
          <w:rPr>
            <w:webHidden/>
          </w:rPr>
          <w:fldChar w:fldCharType="end"/>
        </w:r>
      </w:hyperlink>
    </w:p>
    <w:p w14:paraId="11E69A5B" w14:textId="56F24AAB"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0" w:history="1">
        <w:r w:rsidRPr="00025C68">
          <w:rPr>
            <w:rStyle w:val="Hipervnculo"/>
          </w:rPr>
          <w:t>2.4.</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Registro de proveedores de servicios</w:t>
        </w:r>
        <w:r>
          <w:rPr>
            <w:webHidden/>
          </w:rPr>
          <w:tab/>
        </w:r>
        <w:r>
          <w:rPr>
            <w:webHidden/>
          </w:rPr>
          <w:fldChar w:fldCharType="begin"/>
        </w:r>
        <w:r>
          <w:rPr>
            <w:webHidden/>
          </w:rPr>
          <w:instrText xml:space="preserve"> PAGEREF _Toc216697940 \h </w:instrText>
        </w:r>
        <w:r>
          <w:rPr>
            <w:webHidden/>
          </w:rPr>
        </w:r>
        <w:r>
          <w:rPr>
            <w:webHidden/>
          </w:rPr>
          <w:fldChar w:fldCharType="separate"/>
        </w:r>
        <w:r w:rsidR="00FA10A3">
          <w:rPr>
            <w:webHidden/>
          </w:rPr>
          <w:t>6</w:t>
        </w:r>
        <w:r>
          <w:rPr>
            <w:webHidden/>
          </w:rPr>
          <w:fldChar w:fldCharType="end"/>
        </w:r>
      </w:hyperlink>
    </w:p>
    <w:p w14:paraId="56BC62FC" w14:textId="0AE8680F"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1" w:history="1">
        <w:r w:rsidRPr="00025C68">
          <w:rPr>
            <w:rStyle w:val="Hipervnculo"/>
          </w:rPr>
          <w:t>2.5.</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Horario de funcionamiento</w:t>
        </w:r>
        <w:r>
          <w:rPr>
            <w:webHidden/>
          </w:rPr>
          <w:tab/>
        </w:r>
        <w:r>
          <w:rPr>
            <w:webHidden/>
          </w:rPr>
          <w:fldChar w:fldCharType="begin"/>
        </w:r>
        <w:r>
          <w:rPr>
            <w:webHidden/>
          </w:rPr>
          <w:instrText xml:space="preserve"> PAGEREF _Toc216697941 \h </w:instrText>
        </w:r>
        <w:r>
          <w:rPr>
            <w:webHidden/>
          </w:rPr>
        </w:r>
        <w:r>
          <w:rPr>
            <w:webHidden/>
          </w:rPr>
          <w:fldChar w:fldCharType="separate"/>
        </w:r>
        <w:r w:rsidR="00FA10A3">
          <w:rPr>
            <w:webHidden/>
          </w:rPr>
          <w:t>6</w:t>
        </w:r>
        <w:r>
          <w:rPr>
            <w:webHidden/>
          </w:rPr>
          <w:fldChar w:fldCharType="end"/>
        </w:r>
      </w:hyperlink>
    </w:p>
    <w:p w14:paraId="142E33CB" w14:textId="633979E0"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2" w:history="1">
        <w:r w:rsidRPr="00025C68">
          <w:rPr>
            <w:rStyle w:val="Hipervnculo"/>
          </w:rPr>
          <w:t>2.6.</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Suscripción al servicio</w:t>
        </w:r>
        <w:r>
          <w:rPr>
            <w:webHidden/>
          </w:rPr>
          <w:tab/>
        </w:r>
        <w:r>
          <w:rPr>
            <w:webHidden/>
          </w:rPr>
          <w:fldChar w:fldCharType="begin"/>
        </w:r>
        <w:r>
          <w:rPr>
            <w:webHidden/>
          </w:rPr>
          <w:instrText xml:space="preserve"> PAGEREF _Toc216697942 \h </w:instrText>
        </w:r>
        <w:r>
          <w:rPr>
            <w:webHidden/>
          </w:rPr>
        </w:r>
        <w:r>
          <w:rPr>
            <w:webHidden/>
          </w:rPr>
          <w:fldChar w:fldCharType="separate"/>
        </w:r>
        <w:r w:rsidR="00FA10A3">
          <w:rPr>
            <w:webHidden/>
          </w:rPr>
          <w:t>6</w:t>
        </w:r>
        <w:r>
          <w:rPr>
            <w:webHidden/>
          </w:rPr>
          <w:fldChar w:fldCharType="end"/>
        </w:r>
      </w:hyperlink>
    </w:p>
    <w:p w14:paraId="4B85A8D8" w14:textId="7C712DD7"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3" w:history="1">
        <w:r w:rsidRPr="00025C68">
          <w:rPr>
            <w:rStyle w:val="Hipervnculo"/>
          </w:rPr>
          <w:t>2.7.</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Designación de enlaces técnicos</w:t>
        </w:r>
        <w:r>
          <w:rPr>
            <w:webHidden/>
          </w:rPr>
          <w:tab/>
        </w:r>
        <w:r>
          <w:rPr>
            <w:webHidden/>
          </w:rPr>
          <w:fldChar w:fldCharType="begin"/>
        </w:r>
        <w:r>
          <w:rPr>
            <w:webHidden/>
          </w:rPr>
          <w:instrText xml:space="preserve"> PAGEREF _Toc216697943 \h </w:instrText>
        </w:r>
        <w:r>
          <w:rPr>
            <w:webHidden/>
          </w:rPr>
        </w:r>
        <w:r>
          <w:rPr>
            <w:webHidden/>
          </w:rPr>
          <w:fldChar w:fldCharType="separate"/>
        </w:r>
        <w:r w:rsidR="00FA10A3">
          <w:rPr>
            <w:webHidden/>
          </w:rPr>
          <w:t>6</w:t>
        </w:r>
        <w:r>
          <w:rPr>
            <w:webHidden/>
          </w:rPr>
          <w:fldChar w:fldCharType="end"/>
        </w:r>
      </w:hyperlink>
    </w:p>
    <w:p w14:paraId="61AB45DA" w14:textId="03F47798"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4" w:history="1">
        <w:r w:rsidRPr="00025C68">
          <w:rPr>
            <w:rStyle w:val="Hipervnculo"/>
          </w:rPr>
          <w:t>2.8.</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Comité Técnico de Operadores</w:t>
        </w:r>
        <w:r>
          <w:rPr>
            <w:webHidden/>
          </w:rPr>
          <w:tab/>
        </w:r>
        <w:r>
          <w:rPr>
            <w:webHidden/>
          </w:rPr>
          <w:fldChar w:fldCharType="begin"/>
        </w:r>
        <w:r>
          <w:rPr>
            <w:webHidden/>
          </w:rPr>
          <w:instrText xml:space="preserve"> PAGEREF _Toc216697944 \h </w:instrText>
        </w:r>
        <w:r>
          <w:rPr>
            <w:webHidden/>
          </w:rPr>
        </w:r>
        <w:r>
          <w:rPr>
            <w:webHidden/>
          </w:rPr>
          <w:fldChar w:fldCharType="separate"/>
        </w:r>
        <w:r w:rsidR="00FA10A3">
          <w:rPr>
            <w:webHidden/>
          </w:rPr>
          <w:t>7</w:t>
        </w:r>
        <w:r>
          <w:rPr>
            <w:webHidden/>
          </w:rPr>
          <w:fldChar w:fldCharType="end"/>
        </w:r>
      </w:hyperlink>
    </w:p>
    <w:p w14:paraId="02A39ECE" w14:textId="183E7E82"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5" w:history="1">
        <w:r w:rsidRPr="00025C68">
          <w:rPr>
            <w:rStyle w:val="Hipervnculo"/>
          </w:rPr>
          <w:t>2.9.</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Procesamiento de transacciones</w:t>
        </w:r>
        <w:r>
          <w:rPr>
            <w:webHidden/>
          </w:rPr>
          <w:tab/>
        </w:r>
        <w:r>
          <w:rPr>
            <w:webHidden/>
          </w:rPr>
          <w:fldChar w:fldCharType="begin"/>
        </w:r>
        <w:r>
          <w:rPr>
            <w:webHidden/>
          </w:rPr>
          <w:instrText xml:space="preserve"> PAGEREF _Toc216697945 \h </w:instrText>
        </w:r>
        <w:r>
          <w:rPr>
            <w:webHidden/>
          </w:rPr>
        </w:r>
        <w:r>
          <w:rPr>
            <w:webHidden/>
          </w:rPr>
          <w:fldChar w:fldCharType="separate"/>
        </w:r>
        <w:r w:rsidR="00FA10A3">
          <w:rPr>
            <w:webHidden/>
          </w:rPr>
          <w:t>8</w:t>
        </w:r>
        <w:r>
          <w:rPr>
            <w:webHidden/>
          </w:rPr>
          <w:fldChar w:fldCharType="end"/>
        </w:r>
      </w:hyperlink>
    </w:p>
    <w:p w14:paraId="5A0FF9CF" w14:textId="6A0E5735"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6" w:history="1">
        <w:r w:rsidRPr="00025C68">
          <w:rPr>
            <w:rStyle w:val="Hipervnculo"/>
          </w:rPr>
          <w:t>2.10.</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Evaluaciones de seguridad</w:t>
        </w:r>
        <w:r>
          <w:rPr>
            <w:webHidden/>
          </w:rPr>
          <w:tab/>
        </w:r>
        <w:r>
          <w:rPr>
            <w:webHidden/>
          </w:rPr>
          <w:fldChar w:fldCharType="begin"/>
        </w:r>
        <w:r>
          <w:rPr>
            <w:webHidden/>
          </w:rPr>
          <w:instrText xml:space="preserve"> PAGEREF _Toc216697946 \h </w:instrText>
        </w:r>
        <w:r>
          <w:rPr>
            <w:webHidden/>
          </w:rPr>
        </w:r>
        <w:r>
          <w:rPr>
            <w:webHidden/>
          </w:rPr>
          <w:fldChar w:fldCharType="separate"/>
        </w:r>
        <w:r w:rsidR="00FA10A3">
          <w:rPr>
            <w:webHidden/>
          </w:rPr>
          <w:t>8</w:t>
        </w:r>
        <w:r>
          <w:rPr>
            <w:webHidden/>
          </w:rPr>
          <w:fldChar w:fldCharType="end"/>
        </w:r>
      </w:hyperlink>
    </w:p>
    <w:p w14:paraId="31EF6427" w14:textId="5095E657"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7" w:history="1">
        <w:r w:rsidRPr="00025C68">
          <w:rPr>
            <w:rStyle w:val="Hipervnculo"/>
          </w:rPr>
          <w:t>2.11.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Vigilancia</w:t>
        </w:r>
        <w:r>
          <w:rPr>
            <w:webHidden/>
          </w:rPr>
          <w:tab/>
        </w:r>
        <w:r>
          <w:rPr>
            <w:webHidden/>
          </w:rPr>
          <w:fldChar w:fldCharType="begin"/>
        </w:r>
        <w:r>
          <w:rPr>
            <w:webHidden/>
          </w:rPr>
          <w:instrText xml:space="preserve"> PAGEREF _Toc216697947 \h </w:instrText>
        </w:r>
        <w:r>
          <w:rPr>
            <w:webHidden/>
          </w:rPr>
        </w:r>
        <w:r>
          <w:rPr>
            <w:webHidden/>
          </w:rPr>
          <w:fldChar w:fldCharType="separate"/>
        </w:r>
        <w:r w:rsidR="00FA10A3">
          <w:rPr>
            <w:webHidden/>
          </w:rPr>
          <w:t>8</w:t>
        </w:r>
        <w:r>
          <w:rPr>
            <w:webHidden/>
          </w:rPr>
          <w:fldChar w:fldCharType="end"/>
        </w:r>
      </w:hyperlink>
    </w:p>
    <w:p w14:paraId="47E1F081" w14:textId="581B388A"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48" w:history="1">
        <w:r w:rsidRPr="00025C68">
          <w:rPr>
            <w:rStyle w:val="Hipervnculo"/>
            <w:noProof/>
            <w:lang w:val="es-CR"/>
          </w:rPr>
          <w:t>3.</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noProof/>
          </w:rPr>
          <w:t>Gestión Financiera</w:t>
        </w:r>
        <w:r>
          <w:rPr>
            <w:noProof/>
            <w:webHidden/>
          </w:rPr>
          <w:tab/>
        </w:r>
        <w:r>
          <w:rPr>
            <w:noProof/>
            <w:webHidden/>
          </w:rPr>
          <w:fldChar w:fldCharType="begin"/>
        </w:r>
        <w:r>
          <w:rPr>
            <w:noProof/>
            <w:webHidden/>
          </w:rPr>
          <w:instrText xml:space="preserve"> PAGEREF _Toc216697948 \h </w:instrText>
        </w:r>
        <w:r>
          <w:rPr>
            <w:noProof/>
            <w:webHidden/>
          </w:rPr>
        </w:r>
        <w:r>
          <w:rPr>
            <w:noProof/>
            <w:webHidden/>
          </w:rPr>
          <w:fldChar w:fldCharType="separate"/>
        </w:r>
        <w:r w:rsidR="00FA10A3">
          <w:rPr>
            <w:noProof/>
            <w:webHidden/>
          </w:rPr>
          <w:t>9</w:t>
        </w:r>
        <w:r>
          <w:rPr>
            <w:noProof/>
            <w:webHidden/>
          </w:rPr>
          <w:fldChar w:fldCharType="end"/>
        </w:r>
      </w:hyperlink>
    </w:p>
    <w:p w14:paraId="41D45184" w14:textId="7EBF3E03"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49" w:history="1">
        <w:r w:rsidRPr="00025C68">
          <w:rPr>
            <w:rStyle w:val="Hipervnculo"/>
          </w:rPr>
          <w:t>3.1.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Manejo de riesgo y responsabilidades</w:t>
        </w:r>
        <w:r>
          <w:rPr>
            <w:webHidden/>
          </w:rPr>
          <w:tab/>
        </w:r>
        <w:r>
          <w:rPr>
            <w:webHidden/>
          </w:rPr>
          <w:fldChar w:fldCharType="begin"/>
        </w:r>
        <w:r>
          <w:rPr>
            <w:webHidden/>
          </w:rPr>
          <w:instrText xml:space="preserve"> PAGEREF _Toc216697949 \h </w:instrText>
        </w:r>
        <w:r>
          <w:rPr>
            <w:webHidden/>
          </w:rPr>
        </w:r>
        <w:r>
          <w:rPr>
            <w:webHidden/>
          </w:rPr>
          <w:fldChar w:fldCharType="separate"/>
        </w:r>
        <w:r w:rsidR="00FA10A3">
          <w:rPr>
            <w:webHidden/>
          </w:rPr>
          <w:t>9</w:t>
        </w:r>
        <w:r>
          <w:rPr>
            <w:webHidden/>
          </w:rPr>
          <w:fldChar w:fldCharType="end"/>
        </w:r>
      </w:hyperlink>
    </w:p>
    <w:p w14:paraId="094807D4" w14:textId="65705E9D"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0" w:history="1">
        <w:r w:rsidRPr="00025C68">
          <w:rPr>
            <w:rStyle w:val="Hipervnculo"/>
          </w:rPr>
          <w:t>3.2.</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Del ciclo de operación del servicio</w:t>
        </w:r>
        <w:r>
          <w:rPr>
            <w:webHidden/>
          </w:rPr>
          <w:tab/>
        </w:r>
        <w:r>
          <w:rPr>
            <w:webHidden/>
          </w:rPr>
          <w:fldChar w:fldCharType="begin"/>
        </w:r>
        <w:r>
          <w:rPr>
            <w:webHidden/>
          </w:rPr>
          <w:instrText xml:space="preserve"> PAGEREF _Toc216697950 \h </w:instrText>
        </w:r>
        <w:r>
          <w:rPr>
            <w:webHidden/>
          </w:rPr>
        </w:r>
        <w:r>
          <w:rPr>
            <w:webHidden/>
          </w:rPr>
          <w:fldChar w:fldCharType="separate"/>
        </w:r>
        <w:r w:rsidR="00FA10A3">
          <w:rPr>
            <w:webHidden/>
          </w:rPr>
          <w:t>9</w:t>
        </w:r>
        <w:r>
          <w:rPr>
            <w:webHidden/>
          </w:rPr>
          <w:fldChar w:fldCharType="end"/>
        </w:r>
      </w:hyperlink>
    </w:p>
    <w:p w14:paraId="2B60FF72" w14:textId="1DA08A61"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1" w:history="1">
        <w:r w:rsidRPr="00025C68">
          <w:rPr>
            <w:rStyle w:val="Hipervnculo"/>
          </w:rPr>
          <w:t>3.3.</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Cálculo de la liquidación de los ingresos tarifarios</w:t>
        </w:r>
        <w:r>
          <w:rPr>
            <w:webHidden/>
          </w:rPr>
          <w:tab/>
        </w:r>
        <w:r>
          <w:rPr>
            <w:webHidden/>
          </w:rPr>
          <w:fldChar w:fldCharType="begin"/>
        </w:r>
        <w:r>
          <w:rPr>
            <w:webHidden/>
          </w:rPr>
          <w:instrText xml:space="preserve"> PAGEREF _Toc216697951 \h </w:instrText>
        </w:r>
        <w:r>
          <w:rPr>
            <w:webHidden/>
          </w:rPr>
        </w:r>
        <w:r>
          <w:rPr>
            <w:webHidden/>
          </w:rPr>
          <w:fldChar w:fldCharType="separate"/>
        </w:r>
        <w:r w:rsidR="00FA10A3">
          <w:rPr>
            <w:webHidden/>
          </w:rPr>
          <w:t>10</w:t>
        </w:r>
        <w:r>
          <w:rPr>
            <w:webHidden/>
          </w:rPr>
          <w:fldChar w:fldCharType="end"/>
        </w:r>
      </w:hyperlink>
    </w:p>
    <w:p w14:paraId="4334916E" w14:textId="42E28A9A"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2" w:history="1">
        <w:r w:rsidRPr="00025C68">
          <w:rPr>
            <w:rStyle w:val="Hipervnculo"/>
          </w:rPr>
          <w:t>3.4.</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Morosidad</w:t>
        </w:r>
        <w:r>
          <w:rPr>
            <w:webHidden/>
          </w:rPr>
          <w:tab/>
        </w:r>
        <w:r>
          <w:rPr>
            <w:webHidden/>
          </w:rPr>
          <w:fldChar w:fldCharType="begin"/>
        </w:r>
        <w:r>
          <w:rPr>
            <w:webHidden/>
          </w:rPr>
          <w:instrText xml:space="preserve"> PAGEREF _Toc216697952 \h </w:instrText>
        </w:r>
        <w:r>
          <w:rPr>
            <w:webHidden/>
          </w:rPr>
        </w:r>
        <w:r>
          <w:rPr>
            <w:webHidden/>
          </w:rPr>
          <w:fldChar w:fldCharType="separate"/>
        </w:r>
        <w:r w:rsidR="00FA10A3">
          <w:rPr>
            <w:webHidden/>
          </w:rPr>
          <w:t>11</w:t>
        </w:r>
        <w:r>
          <w:rPr>
            <w:webHidden/>
          </w:rPr>
          <w:fldChar w:fldCharType="end"/>
        </w:r>
      </w:hyperlink>
    </w:p>
    <w:p w14:paraId="52BBFAB5" w14:textId="07377769"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3" w:history="1">
        <w:r w:rsidRPr="00025C68">
          <w:rPr>
            <w:rStyle w:val="Hipervnculo"/>
          </w:rPr>
          <w:t>3.5.</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Incobrabilidad</w:t>
        </w:r>
        <w:r>
          <w:rPr>
            <w:webHidden/>
          </w:rPr>
          <w:tab/>
        </w:r>
        <w:r>
          <w:rPr>
            <w:webHidden/>
          </w:rPr>
          <w:fldChar w:fldCharType="begin"/>
        </w:r>
        <w:r>
          <w:rPr>
            <w:webHidden/>
          </w:rPr>
          <w:instrText xml:space="preserve"> PAGEREF _Toc216697953 \h </w:instrText>
        </w:r>
        <w:r>
          <w:rPr>
            <w:webHidden/>
          </w:rPr>
        </w:r>
        <w:r>
          <w:rPr>
            <w:webHidden/>
          </w:rPr>
          <w:fldChar w:fldCharType="separate"/>
        </w:r>
        <w:r w:rsidR="00FA10A3">
          <w:rPr>
            <w:webHidden/>
          </w:rPr>
          <w:t>11</w:t>
        </w:r>
        <w:r>
          <w:rPr>
            <w:webHidden/>
          </w:rPr>
          <w:fldChar w:fldCharType="end"/>
        </w:r>
      </w:hyperlink>
    </w:p>
    <w:p w14:paraId="108DD21D" w14:textId="121B55CB"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4" w:history="1">
        <w:r w:rsidRPr="00025C68">
          <w:rPr>
            <w:rStyle w:val="Hipervnculo"/>
          </w:rPr>
          <w:t>3.6.</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Procedimiento de recuperación de deudas</w:t>
        </w:r>
        <w:r>
          <w:rPr>
            <w:webHidden/>
          </w:rPr>
          <w:tab/>
        </w:r>
        <w:r>
          <w:rPr>
            <w:webHidden/>
          </w:rPr>
          <w:fldChar w:fldCharType="begin"/>
        </w:r>
        <w:r>
          <w:rPr>
            <w:webHidden/>
          </w:rPr>
          <w:instrText xml:space="preserve"> PAGEREF _Toc216697954 \h </w:instrText>
        </w:r>
        <w:r>
          <w:rPr>
            <w:webHidden/>
          </w:rPr>
        </w:r>
        <w:r>
          <w:rPr>
            <w:webHidden/>
          </w:rPr>
          <w:fldChar w:fldCharType="separate"/>
        </w:r>
        <w:r w:rsidR="00FA10A3">
          <w:rPr>
            <w:webHidden/>
          </w:rPr>
          <w:t>11</w:t>
        </w:r>
        <w:r>
          <w:rPr>
            <w:webHidden/>
          </w:rPr>
          <w:fldChar w:fldCharType="end"/>
        </w:r>
      </w:hyperlink>
    </w:p>
    <w:p w14:paraId="2BC26CA4" w14:textId="3011E212"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5" w:history="1">
        <w:r w:rsidRPr="00025C68">
          <w:rPr>
            <w:rStyle w:val="Hipervnculo"/>
          </w:rPr>
          <w:t>3.7.</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Administración de la lista de denegación</w:t>
        </w:r>
        <w:r>
          <w:rPr>
            <w:webHidden/>
          </w:rPr>
          <w:tab/>
        </w:r>
        <w:r>
          <w:rPr>
            <w:webHidden/>
          </w:rPr>
          <w:fldChar w:fldCharType="begin"/>
        </w:r>
        <w:r>
          <w:rPr>
            <w:webHidden/>
          </w:rPr>
          <w:instrText xml:space="preserve"> PAGEREF _Toc216697955 \h </w:instrText>
        </w:r>
        <w:r>
          <w:rPr>
            <w:webHidden/>
          </w:rPr>
        </w:r>
        <w:r>
          <w:rPr>
            <w:webHidden/>
          </w:rPr>
          <w:fldChar w:fldCharType="separate"/>
        </w:r>
        <w:r w:rsidR="00FA10A3">
          <w:rPr>
            <w:webHidden/>
          </w:rPr>
          <w:t>12</w:t>
        </w:r>
        <w:r>
          <w:rPr>
            <w:webHidden/>
          </w:rPr>
          <w:fldChar w:fldCharType="end"/>
        </w:r>
      </w:hyperlink>
    </w:p>
    <w:p w14:paraId="5CCE9BB4" w14:textId="4CC9FBCB"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6" w:history="1">
        <w:r w:rsidRPr="00025C68">
          <w:rPr>
            <w:rStyle w:val="Hipervnculo"/>
          </w:rPr>
          <w:t>3.8.</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Inspección del pago de pasajes</w:t>
        </w:r>
        <w:r>
          <w:rPr>
            <w:webHidden/>
          </w:rPr>
          <w:tab/>
        </w:r>
        <w:r>
          <w:rPr>
            <w:webHidden/>
          </w:rPr>
          <w:fldChar w:fldCharType="begin"/>
        </w:r>
        <w:r>
          <w:rPr>
            <w:webHidden/>
          </w:rPr>
          <w:instrText xml:space="preserve"> PAGEREF _Toc216697956 \h </w:instrText>
        </w:r>
        <w:r>
          <w:rPr>
            <w:webHidden/>
          </w:rPr>
        </w:r>
        <w:r>
          <w:rPr>
            <w:webHidden/>
          </w:rPr>
          <w:fldChar w:fldCharType="separate"/>
        </w:r>
        <w:r w:rsidR="00FA10A3">
          <w:rPr>
            <w:webHidden/>
          </w:rPr>
          <w:t>12</w:t>
        </w:r>
        <w:r>
          <w:rPr>
            <w:webHidden/>
          </w:rPr>
          <w:fldChar w:fldCharType="end"/>
        </w:r>
      </w:hyperlink>
    </w:p>
    <w:p w14:paraId="7D383735" w14:textId="121B85E5"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7" w:history="1">
        <w:r w:rsidRPr="00025C68">
          <w:rPr>
            <w:rStyle w:val="Hipervnculo"/>
          </w:rPr>
          <w:t>3.9.</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Notificación de transacciones</w:t>
        </w:r>
        <w:r>
          <w:rPr>
            <w:webHidden/>
          </w:rPr>
          <w:tab/>
        </w:r>
        <w:r>
          <w:rPr>
            <w:webHidden/>
          </w:rPr>
          <w:fldChar w:fldCharType="begin"/>
        </w:r>
        <w:r>
          <w:rPr>
            <w:webHidden/>
          </w:rPr>
          <w:instrText xml:space="preserve"> PAGEREF _Toc216697957 \h </w:instrText>
        </w:r>
        <w:r>
          <w:rPr>
            <w:webHidden/>
          </w:rPr>
        </w:r>
        <w:r>
          <w:rPr>
            <w:webHidden/>
          </w:rPr>
          <w:fldChar w:fldCharType="separate"/>
        </w:r>
        <w:r w:rsidR="00FA10A3">
          <w:rPr>
            <w:webHidden/>
          </w:rPr>
          <w:t>12</w:t>
        </w:r>
        <w:r>
          <w:rPr>
            <w:webHidden/>
          </w:rPr>
          <w:fldChar w:fldCharType="end"/>
        </w:r>
      </w:hyperlink>
    </w:p>
    <w:p w14:paraId="70AADEE4" w14:textId="39D8D035"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58" w:history="1">
        <w:r w:rsidRPr="00025C68">
          <w:rPr>
            <w:rStyle w:val="Hipervnculo"/>
            <w:noProof/>
            <w:lang w:val="es-CR"/>
          </w:rPr>
          <w:t>4.</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noProof/>
          </w:rPr>
          <w:t>Manejo de información</w:t>
        </w:r>
        <w:r>
          <w:rPr>
            <w:noProof/>
            <w:webHidden/>
          </w:rPr>
          <w:tab/>
        </w:r>
        <w:r>
          <w:rPr>
            <w:noProof/>
            <w:webHidden/>
          </w:rPr>
          <w:fldChar w:fldCharType="begin"/>
        </w:r>
        <w:r>
          <w:rPr>
            <w:noProof/>
            <w:webHidden/>
          </w:rPr>
          <w:instrText xml:space="preserve"> PAGEREF _Toc216697958 \h </w:instrText>
        </w:r>
        <w:r>
          <w:rPr>
            <w:noProof/>
            <w:webHidden/>
          </w:rPr>
        </w:r>
        <w:r>
          <w:rPr>
            <w:noProof/>
            <w:webHidden/>
          </w:rPr>
          <w:fldChar w:fldCharType="separate"/>
        </w:r>
        <w:r w:rsidR="00FA10A3">
          <w:rPr>
            <w:noProof/>
            <w:webHidden/>
          </w:rPr>
          <w:t>12</w:t>
        </w:r>
        <w:r>
          <w:rPr>
            <w:noProof/>
            <w:webHidden/>
          </w:rPr>
          <w:fldChar w:fldCharType="end"/>
        </w:r>
      </w:hyperlink>
    </w:p>
    <w:p w14:paraId="6635CDBB" w14:textId="339FC3FF"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59" w:history="1">
        <w:r w:rsidRPr="00025C68">
          <w:rPr>
            <w:rStyle w:val="Hipervnculo"/>
          </w:rPr>
          <w:t>4.1.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Principio registral</w:t>
        </w:r>
        <w:r>
          <w:rPr>
            <w:webHidden/>
          </w:rPr>
          <w:tab/>
        </w:r>
        <w:r>
          <w:rPr>
            <w:webHidden/>
          </w:rPr>
          <w:fldChar w:fldCharType="begin"/>
        </w:r>
        <w:r>
          <w:rPr>
            <w:webHidden/>
          </w:rPr>
          <w:instrText xml:space="preserve"> PAGEREF _Toc216697959 \h </w:instrText>
        </w:r>
        <w:r>
          <w:rPr>
            <w:webHidden/>
          </w:rPr>
        </w:r>
        <w:r>
          <w:rPr>
            <w:webHidden/>
          </w:rPr>
          <w:fldChar w:fldCharType="separate"/>
        </w:r>
        <w:r w:rsidR="00FA10A3">
          <w:rPr>
            <w:webHidden/>
          </w:rPr>
          <w:t>13</w:t>
        </w:r>
        <w:r>
          <w:rPr>
            <w:webHidden/>
          </w:rPr>
          <w:fldChar w:fldCharType="end"/>
        </w:r>
      </w:hyperlink>
    </w:p>
    <w:p w14:paraId="39227758" w14:textId="08481272"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0" w:history="1">
        <w:r w:rsidRPr="00025C68">
          <w:rPr>
            <w:rStyle w:val="Hipervnculo"/>
          </w:rPr>
          <w:t>4.2.</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Información a cargo del CTP</w:t>
        </w:r>
        <w:r>
          <w:rPr>
            <w:webHidden/>
          </w:rPr>
          <w:tab/>
        </w:r>
        <w:r>
          <w:rPr>
            <w:webHidden/>
          </w:rPr>
          <w:fldChar w:fldCharType="begin"/>
        </w:r>
        <w:r>
          <w:rPr>
            <w:webHidden/>
          </w:rPr>
          <w:instrText xml:space="preserve"> PAGEREF _Toc216697960 \h </w:instrText>
        </w:r>
        <w:r>
          <w:rPr>
            <w:webHidden/>
          </w:rPr>
        </w:r>
        <w:r>
          <w:rPr>
            <w:webHidden/>
          </w:rPr>
          <w:fldChar w:fldCharType="separate"/>
        </w:r>
        <w:r w:rsidR="00FA10A3">
          <w:rPr>
            <w:webHidden/>
          </w:rPr>
          <w:t>13</w:t>
        </w:r>
        <w:r>
          <w:rPr>
            <w:webHidden/>
          </w:rPr>
          <w:fldChar w:fldCharType="end"/>
        </w:r>
      </w:hyperlink>
    </w:p>
    <w:p w14:paraId="7A4940D5" w14:textId="057C7BE6"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1" w:history="1">
        <w:r w:rsidRPr="00025C68">
          <w:rPr>
            <w:rStyle w:val="Hipervnculo"/>
          </w:rPr>
          <w:t>4.3.</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Información a cargo de la Aresep</w:t>
        </w:r>
        <w:r>
          <w:rPr>
            <w:webHidden/>
          </w:rPr>
          <w:tab/>
        </w:r>
        <w:r>
          <w:rPr>
            <w:webHidden/>
          </w:rPr>
          <w:fldChar w:fldCharType="begin"/>
        </w:r>
        <w:r>
          <w:rPr>
            <w:webHidden/>
          </w:rPr>
          <w:instrText xml:space="preserve"> PAGEREF _Toc216697961 \h </w:instrText>
        </w:r>
        <w:r>
          <w:rPr>
            <w:webHidden/>
          </w:rPr>
        </w:r>
        <w:r>
          <w:rPr>
            <w:webHidden/>
          </w:rPr>
          <w:fldChar w:fldCharType="separate"/>
        </w:r>
        <w:r w:rsidR="00FA10A3">
          <w:rPr>
            <w:webHidden/>
          </w:rPr>
          <w:t>13</w:t>
        </w:r>
        <w:r>
          <w:rPr>
            <w:webHidden/>
          </w:rPr>
          <w:fldChar w:fldCharType="end"/>
        </w:r>
      </w:hyperlink>
    </w:p>
    <w:p w14:paraId="674931B9" w14:textId="7726AAAD"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2" w:history="1">
        <w:r w:rsidRPr="00025C68">
          <w:rPr>
            <w:rStyle w:val="Hipervnculo"/>
          </w:rPr>
          <w:t>4.4.</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Información a cargo de los operadores del servicio de autobús</w:t>
        </w:r>
        <w:r>
          <w:rPr>
            <w:webHidden/>
          </w:rPr>
          <w:tab/>
        </w:r>
        <w:r>
          <w:rPr>
            <w:webHidden/>
          </w:rPr>
          <w:fldChar w:fldCharType="begin"/>
        </w:r>
        <w:r>
          <w:rPr>
            <w:webHidden/>
          </w:rPr>
          <w:instrText xml:space="preserve"> PAGEREF _Toc216697962 \h </w:instrText>
        </w:r>
        <w:r>
          <w:rPr>
            <w:webHidden/>
          </w:rPr>
        </w:r>
        <w:r>
          <w:rPr>
            <w:webHidden/>
          </w:rPr>
          <w:fldChar w:fldCharType="separate"/>
        </w:r>
        <w:r w:rsidR="00FA10A3">
          <w:rPr>
            <w:webHidden/>
          </w:rPr>
          <w:t>13</w:t>
        </w:r>
        <w:r>
          <w:rPr>
            <w:webHidden/>
          </w:rPr>
          <w:fldChar w:fldCharType="end"/>
        </w:r>
      </w:hyperlink>
    </w:p>
    <w:p w14:paraId="7E057A44" w14:textId="2ED9907D"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3" w:history="1">
        <w:r w:rsidRPr="00025C68">
          <w:rPr>
            <w:rStyle w:val="Hipervnculo"/>
          </w:rPr>
          <w:t>4.5.</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Información a cargo de Incofer</w:t>
        </w:r>
        <w:r>
          <w:rPr>
            <w:webHidden/>
          </w:rPr>
          <w:tab/>
        </w:r>
        <w:r>
          <w:rPr>
            <w:webHidden/>
          </w:rPr>
          <w:fldChar w:fldCharType="begin"/>
        </w:r>
        <w:r>
          <w:rPr>
            <w:webHidden/>
          </w:rPr>
          <w:instrText xml:space="preserve"> PAGEREF _Toc216697963 \h </w:instrText>
        </w:r>
        <w:r>
          <w:rPr>
            <w:webHidden/>
          </w:rPr>
        </w:r>
        <w:r>
          <w:rPr>
            <w:webHidden/>
          </w:rPr>
          <w:fldChar w:fldCharType="separate"/>
        </w:r>
        <w:r w:rsidR="00FA10A3">
          <w:rPr>
            <w:webHidden/>
          </w:rPr>
          <w:t>13</w:t>
        </w:r>
        <w:r>
          <w:rPr>
            <w:webHidden/>
          </w:rPr>
          <w:fldChar w:fldCharType="end"/>
        </w:r>
      </w:hyperlink>
    </w:p>
    <w:p w14:paraId="333090C5" w14:textId="7A2F23B1"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4" w:history="1">
        <w:r w:rsidRPr="00025C68">
          <w:rPr>
            <w:rStyle w:val="Hipervnculo"/>
          </w:rPr>
          <w:t>4.6.</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Información a cargo del BCCR</w:t>
        </w:r>
        <w:r>
          <w:rPr>
            <w:webHidden/>
          </w:rPr>
          <w:tab/>
        </w:r>
        <w:r>
          <w:rPr>
            <w:webHidden/>
          </w:rPr>
          <w:fldChar w:fldCharType="begin"/>
        </w:r>
        <w:r>
          <w:rPr>
            <w:webHidden/>
          </w:rPr>
          <w:instrText xml:space="preserve"> PAGEREF _Toc216697964 \h </w:instrText>
        </w:r>
        <w:r>
          <w:rPr>
            <w:webHidden/>
          </w:rPr>
        </w:r>
        <w:r>
          <w:rPr>
            <w:webHidden/>
          </w:rPr>
          <w:fldChar w:fldCharType="separate"/>
        </w:r>
        <w:r w:rsidR="00FA10A3">
          <w:rPr>
            <w:webHidden/>
          </w:rPr>
          <w:t>14</w:t>
        </w:r>
        <w:r>
          <w:rPr>
            <w:webHidden/>
          </w:rPr>
          <w:fldChar w:fldCharType="end"/>
        </w:r>
      </w:hyperlink>
    </w:p>
    <w:p w14:paraId="692E9807" w14:textId="2D6D644E"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5" w:history="1">
        <w:r w:rsidRPr="00025C68">
          <w:rPr>
            <w:rStyle w:val="Hipervnculo"/>
          </w:rPr>
          <w:t>4.7.</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Suministro automático de datos</w:t>
        </w:r>
        <w:r>
          <w:rPr>
            <w:webHidden/>
          </w:rPr>
          <w:tab/>
        </w:r>
        <w:r>
          <w:rPr>
            <w:webHidden/>
          </w:rPr>
          <w:fldChar w:fldCharType="begin"/>
        </w:r>
        <w:r>
          <w:rPr>
            <w:webHidden/>
          </w:rPr>
          <w:instrText xml:space="preserve"> PAGEREF _Toc216697965 \h </w:instrText>
        </w:r>
        <w:r>
          <w:rPr>
            <w:webHidden/>
          </w:rPr>
        </w:r>
        <w:r>
          <w:rPr>
            <w:webHidden/>
          </w:rPr>
          <w:fldChar w:fldCharType="separate"/>
        </w:r>
        <w:r w:rsidR="00FA10A3">
          <w:rPr>
            <w:webHidden/>
          </w:rPr>
          <w:t>14</w:t>
        </w:r>
        <w:r>
          <w:rPr>
            <w:webHidden/>
          </w:rPr>
          <w:fldChar w:fldCharType="end"/>
        </w:r>
      </w:hyperlink>
    </w:p>
    <w:p w14:paraId="3B8B22CE" w14:textId="1D826071"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6" w:history="1">
        <w:r w:rsidRPr="00025C68">
          <w:rPr>
            <w:rStyle w:val="Hipervnculo"/>
          </w:rPr>
          <w:t>4.8.</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Actualizaciones</w:t>
        </w:r>
        <w:r>
          <w:rPr>
            <w:webHidden/>
          </w:rPr>
          <w:tab/>
        </w:r>
        <w:r>
          <w:rPr>
            <w:webHidden/>
          </w:rPr>
          <w:fldChar w:fldCharType="begin"/>
        </w:r>
        <w:r>
          <w:rPr>
            <w:webHidden/>
          </w:rPr>
          <w:instrText xml:space="preserve"> PAGEREF _Toc216697966 \h </w:instrText>
        </w:r>
        <w:r>
          <w:rPr>
            <w:webHidden/>
          </w:rPr>
        </w:r>
        <w:r>
          <w:rPr>
            <w:webHidden/>
          </w:rPr>
          <w:fldChar w:fldCharType="separate"/>
        </w:r>
        <w:r w:rsidR="00FA10A3">
          <w:rPr>
            <w:webHidden/>
          </w:rPr>
          <w:t>14</w:t>
        </w:r>
        <w:r>
          <w:rPr>
            <w:webHidden/>
          </w:rPr>
          <w:fldChar w:fldCharType="end"/>
        </w:r>
      </w:hyperlink>
    </w:p>
    <w:p w14:paraId="63C2FFA4" w14:textId="6875F7F8"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7" w:history="1">
        <w:r w:rsidRPr="00025C68">
          <w:rPr>
            <w:rStyle w:val="Hipervnculo"/>
          </w:rPr>
          <w:t>4.9.</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Seguridad de la información sensible</w:t>
        </w:r>
        <w:r>
          <w:rPr>
            <w:webHidden/>
          </w:rPr>
          <w:tab/>
        </w:r>
        <w:r>
          <w:rPr>
            <w:webHidden/>
          </w:rPr>
          <w:fldChar w:fldCharType="begin"/>
        </w:r>
        <w:r>
          <w:rPr>
            <w:webHidden/>
          </w:rPr>
          <w:instrText xml:space="preserve"> PAGEREF _Toc216697967 \h </w:instrText>
        </w:r>
        <w:r>
          <w:rPr>
            <w:webHidden/>
          </w:rPr>
        </w:r>
        <w:r>
          <w:rPr>
            <w:webHidden/>
          </w:rPr>
          <w:fldChar w:fldCharType="separate"/>
        </w:r>
        <w:r w:rsidR="00FA10A3">
          <w:rPr>
            <w:webHidden/>
          </w:rPr>
          <w:t>14</w:t>
        </w:r>
        <w:r>
          <w:rPr>
            <w:webHidden/>
          </w:rPr>
          <w:fldChar w:fldCharType="end"/>
        </w:r>
      </w:hyperlink>
    </w:p>
    <w:p w14:paraId="4AD6295E" w14:textId="520BF75A"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68" w:history="1">
        <w:r w:rsidRPr="00025C68">
          <w:rPr>
            <w:rStyle w:val="Hipervnculo"/>
            <w:noProof/>
            <w:lang w:val="es-CR"/>
          </w:rPr>
          <w:t>5.</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noProof/>
          </w:rPr>
          <w:t>Servicios</w:t>
        </w:r>
        <w:r>
          <w:rPr>
            <w:noProof/>
            <w:webHidden/>
          </w:rPr>
          <w:tab/>
        </w:r>
        <w:r>
          <w:rPr>
            <w:noProof/>
            <w:webHidden/>
          </w:rPr>
          <w:fldChar w:fldCharType="begin"/>
        </w:r>
        <w:r>
          <w:rPr>
            <w:noProof/>
            <w:webHidden/>
          </w:rPr>
          <w:instrText xml:space="preserve"> PAGEREF _Toc216697968 \h </w:instrText>
        </w:r>
        <w:r>
          <w:rPr>
            <w:noProof/>
            <w:webHidden/>
          </w:rPr>
        </w:r>
        <w:r>
          <w:rPr>
            <w:noProof/>
            <w:webHidden/>
          </w:rPr>
          <w:fldChar w:fldCharType="separate"/>
        </w:r>
        <w:r w:rsidR="00FA10A3">
          <w:rPr>
            <w:noProof/>
            <w:webHidden/>
          </w:rPr>
          <w:t>15</w:t>
        </w:r>
        <w:r>
          <w:rPr>
            <w:noProof/>
            <w:webHidden/>
          </w:rPr>
          <w:fldChar w:fldCharType="end"/>
        </w:r>
      </w:hyperlink>
    </w:p>
    <w:p w14:paraId="14FDDF7B" w14:textId="672DBB51"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69" w:history="1">
        <w:r w:rsidRPr="00025C68">
          <w:rPr>
            <w:rStyle w:val="Hipervnculo"/>
          </w:rPr>
          <w:t>5.1.</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Servicio de adquirencia</w:t>
        </w:r>
        <w:r>
          <w:rPr>
            <w:webHidden/>
          </w:rPr>
          <w:tab/>
        </w:r>
        <w:r>
          <w:rPr>
            <w:webHidden/>
          </w:rPr>
          <w:fldChar w:fldCharType="begin"/>
        </w:r>
        <w:r>
          <w:rPr>
            <w:webHidden/>
          </w:rPr>
          <w:instrText xml:space="preserve"> PAGEREF _Toc216697969 \h </w:instrText>
        </w:r>
        <w:r>
          <w:rPr>
            <w:webHidden/>
          </w:rPr>
        </w:r>
        <w:r>
          <w:rPr>
            <w:webHidden/>
          </w:rPr>
          <w:fldChar w:fldCharType="separate"/>
        </w:r>
        <w:r w:rsidR="00FA10A3">
          <w:rPr>
            <w:webHidden/>
          </w:rPr>
          <w:t>15</w:t>
        </w:r>
        <w:r>
          <w:rPr>
            <w:webHidden/>
          </w:rPr>
          <w:fldChar w:fldCharType="end"/>
        </w:r>
      </w:hyperlink>
    </w:p>
    <w:p w14:paraId="6A732D79" w14:textId="77FF8CB6" w:rsidR="007F7B8F" w:rsidRDefault="007F7B8F" w:rsidP="007F7B8F">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697970" w:history="1">
        <w:r w:rsidRPr="00025C68">
          <w:rPr>
            <w:rStyle w:val="Hipervnculo"/>
          </w:rPr>
          <w:t>5.1.1.</w:t>
        </w:r>
        <w:r>
          <w:rPr>
            <w:rFonts w:asciiTheme="minorHAnsi" w:eastAsiaTheme="minorEastAsia" w:hAnsiTheme="minorHAnsi" w:cstheme="minorBidi"/>
            <w:snapToGrid/>
            <w:color w:val="auto"/>
            <w:kern w:val="2"/>
            <w:sz w:val="24"/>
            <w:szCs w:val="24"/>
            <w:lang w:val="es-CR" w:eastAsia="es-CR"/>
            <w14:ligatures w14:val="standardContextual"/>
          </w:rPr>
          <w:tab/>
        </w:r>
        <w:r w:rsidRPr="00025C68">
          <w:rPr>
            <w:rStyle w:val="Hipervnculo"/>
          </w:rPr>
          <w:t>Cobro y liquidación de comisiones</w:t>
        </w:r>
        <w:r>
          <w:rPr>
            <w:webHidden/>
          </w:rPr>
          <w:tab/>
        </w:r>
        <w:r>
          <w:rPr>
            <w:webHidden/>
          </w:rPr>
          <w:fldChar w:fldCharType="begin"/>
        </w:r>
        <w:r>
          <w:rPr>
            <w:webHidden/>
          </w:rPr>
          <w:instrText xml:space="preserve"> PAGEREF _Toc216697970 \h </w:instrText>
        </w:r>
        <w:r>
          <w:rPr>
            <w:webHidden/>
          </w:rPr>
        </w:r>
        <w:r>
          <w:rPr>
            <w:webHidden/>
          </w:rPr>
          <w:fldChar w:fldCharType="separate"/>
        </w:r>
        <w:r w:rsidR="00FA10A3">
          <w:rPr>
            <w:webHidden/>
          </w:rPr>
          <w:t>15</w:t>
        </w:r>
        <w:r>
          <w:rPr>
            <w:webHidden/>
          </w:rPr>
          <w:fldChar w:fldCharType="end"/>
        </w:r>
      </w:hyperlink>
    </w:p>
    <w:p w14:paraId="5FA47936" w14:textId="479E46DE"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1" w:history="1">
        <w:r w:rsidRPr="00025C68">
          <w:rPr>
            <w:rStyle w:val="Hipervnculo"/>
          </w:rPr>
          <w:t>5.2.</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Conservación de datos de la autorización de transacciones</w:t>
        </w:r>
        <w:r>
          <w:rPr>
            <w:webHidden/>
          </w:rPr>
          <w:tab/>
        </w:r>
        <w:r>
          <w:rPr>
            <w:webHidden/>
          </w:rPr>
          <w:fldChar w:fldCharType="begin"/>
        </w:r>
        <w:r>
          <w:rPr>
            <w:webHidden/>
          </w:rPr>
          <w:instrText xml:space="preserve"> PAGEREF _Toc216697971 \h </w:instrText>
        </w:r>
        <w:r>
          <w:rPr>
            <w:webHidden/>
          </w:rPr>
        </w:r>
        <w:r>
          <w:rPr>
            <w:webHidden/>
          </w:rPr>
          <w:fldChar w:fldCharType="separate"/>
        </w:r>
        <w:r w:rsidR="00FA10A3">
          <w:rPr>
            <w:webHidden/>
          </w:rPr>
          <w:t>16</w:t>
        </w:r>
        <w:r>
          <w:rPr>
            <w:webHidden/>
          </w:rPr>
          <w:fldChar w:fldCharType="end"/>
        </w:r>
      </w:hyperlink>
    </w:p>
    <w:p w14:paraId="43CAE8EE" w14:textId="1FC665ED"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2" w:history="1">
        <w:r w:rsidRPr="00025C68">
          <w:rPr>
            <w:rStyle w:val="Hipervnculo"/>
          </w:rPr>
          <w:t>5.3.</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Interoperabilidad de pagos</w:t>
        </w:r>
        <w:r>
          <w:rPr>
            <w:webHidden/>
          </w:rPr>
          <w:tab/>
        </w:r>
        <w:r>
          <w:rPr>
            <w:webHidden/>
          </w:rPr>
          <w:fldChar w:fldCharType="begin"/>
        </w:r>
        <w:r>
          <w:rPr>
            <w:webHidden/>
          </w:rPr>
          <w:instrText xml:space="preserve"> PAGEREF _Toc216697972 \h </w:instrText>
        </w:r>
        <w:r>
          <w:rPr>
            <w:webHidden/>
          </w:rPr>
        </w:r>
        <w:r>
          <w:rPr>
            <w:webHidden/>
          </w:rPr>
          <w:fldChar w:fldCharType="separate"/>
        </w:r>
        <w:r w:rsidR="00FA10A3">
          <w:rPr>
            <w:webHidden/>
          </w:rPr>
          <w:t>16</w:t>
        </w:r>
        <w:r>
          <w:rPr>
            <w:webHidden/>
          </w:rPr>
          <w:fldChar w:fldCharType="end"/>
        </w:r>
      </w:hyperlink>
    </w:p>
    <w:p w14:paraId="5A56C3E8" w14:textId="69D3C4D3"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3" w:history="1">
        <w:r w:rsidRPr="00025C68">
          <w:rPr>
            <w:rStyle w:val="Hipervnculo"/>
          </w:rPr>
          <w:t>5.4.</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Servicio de pasarela de pagos</w:t>
        </w:r>
        <w:r>
          <w:rPr>
            <w:webHidden/>
          </w:rPr>
          <w:tab/>
        </w:r>
        <w:r>
          <w:rPr>
            <w:webHidden/>
          </w:rPr>
          <w:fldChar w:fldCharType="begin"/>
        </w:r>
        <w:r>
          <w:rPr>
            <w:webHidden/>
          </w:rPr>
          <w:instrText xml:space="preserve"> PAGEREF _Toc216697973 \h </w:instrText>
        </w:r>
        <w:r>
          <w:rPr>
            <w:webHidden/>
          </w:rPr>
        </w:r>
        <w:r>
          <w:rPr>
            <w:webHidden/>
          </w:rPr>
          <w:fldChar w:fldCharType="separate"/>
        </w:r>
        <w:r w:rsidR="00FA10A3">
          <w:rPr>
            <w:webHidden/>
          </w:rPr>
          <w:t>16</w:t>
        </w:r>
        <w:r>
          <w:rPr>
            <w:webHidden/>
          </w:rPr>
          <w:fldChar w:fldCharType="end"/>
        </w:r>
      </w:hyperlink>
    </w:p>
    <w:p w14:paraId="4DA68621" w14:textId="3FA88897" w:rsidR="007F7B8F" w:rsidRDefault="007F7B8F" w:rsidP="007F7B8F">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697974" w:history="1">
        <w:r w:rsidRPr="00025C68">
          <w:rPr>
            <w:rStyle w:val="Hipervnculo"/>
          </w:rPr>
          <w:t>5.4.1.</w:t>
        </w:r>
        <w:r>
          <w:rPr>
            <w:rFonts w:asciiTheme="minorHAnsi" w:eastAsiaTheme="minorEastAsia" w:hAnsiTheme="minorHAnsi" w:cstheme="minorBidi"/>
            <w:snapToGrid/>
            <w:color w:val="auto"/>
            <w:kern w:val="2"/>
            <w:sz w:val="24"/>
            <w:szCs w:val="24"/>
            <w:lang w:val="es-CR" w:eastAsia="es-CR"/>
            <w14:ligatures w14:val="standardContextual"/>
          </w:rPr>
          <w:tab/>
        </w:r>
        <w:r w:rsidRPr="00025C68">
          <w:rPr>
            <w:rStyle w:val="Hipervnculo"/>
          </w:rPr>
          <w:t>Cobro y liquidación de comisiones</w:t>
        </w:r>
        <w:r>
          <w:rPr>
            <w:webHidden/>
          </w:rPr>
          <w:tab/>
        </w:r>
        <w:r>
          <w:rPr>
            <w:webHidden/>
          </w:rPr>
          <w:fldChar w:fldCharType="begin"/>
        </w:r>
        <w:r>
          <w:rPr>
            <w:webHidden/>
          </w:rPr>
          <w:instrText xml:space="preserve"> PAGEREF _Toc216697974 \h </w:instrText>
        </w:r>
        <w:r>
          <w:rPr>
            <w:webHidden/>
          </w:rPr>
        </w:r>
        <w:r>
          <w:rPr>
            <w:webHidden/>
          </w:rPr>
          <w:fldChar w:fldCharType="separate"/>
        </w:r>
        <w:r w:rsidR="00FA10A3">
          <w:rPr>
            <w:webHidden/>
          </w:rPr>
          <w:t>16</w:t>
        </w:r>
        <w:r>
          <w:rPr>
            <w:webHidden/>
          </w:rPr>
          <w:fldChar w:fldCharType="end"/>
        </w:r>
      </w:hyperlink>
    </w:p>
    <w:p w14:paraId="08747A95" w14:textId="1C9684AE"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5" w:history="1">
        <w:r w:rsidRPr="00025C68">
          <w:rPr>
            <w:rStyle w:val="Hipervnculo"/>
          </w:rPr>
          <w:t>5.5.</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Servicio de validación</w:t>
        </w:r>
        <w:r>
          <w:rPr>
            <w:webHidden/>
          </w:rPr>
          <w:tab/>
        </w:r>
        <w:r>
          <w:rPr>
            <w:webHidden/>
          </w:rPr>
          <w:fldChar w:fldCharType="begin"/>
        </w:r>
        <w:r>
          <w:rPr>
            <w:webHidden/>
          </w:rPr>
          <w:instrText xml:space="preserve"> PAGEREF _Toc216697975 \h </w:instrText>
        </w:r>
        <w:r>
          <w:rPr>
            <w:webHidden/>
          </w:rPr>
        </w:r>
        <w:r>
          <w:rPr>
            <w:webHidden/>
          </w:rPr>
          <w:fldChar w:fldCharType="separate"/>
        </w:r>
        <w:r w:rsidR="00FA10A3">
          <w:rPr>
            <w:webHidden/>
          </w:rPr>
          <w:t>16</w:t>
        </w:r>
        <w:r>
          <w:rPr>
            <w:webHidden/>
          </w:rPr>
          <w:fldChar w:fldCharType="end"/>
        </w:r>
      </w:hyperlink>
    </w:p>
    <w:p w14:paraId="778F4A64" w14:textId="4B0E57E6" w:rsidR="007F7B8F" w:rsidRDefault="007F7B8F" w:rsidP="007F7B8F">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697976" w:history="1">
        <w:r w:rsidRPr="00025C68">
          <w:rPr>
            <w:rStyle w:val="Hipervnculo"/>
          </w:rPr>
          <w:t>5.5.1.</w:t>
        </w:r>
        <w:r>
          <w:rPr>
            <w:rFonts w:asciiTheme="minorHAnsi" w:eastAsiaTheme="minorEastAsia" w:hAnsiTheme="minorHAnsi" w:cstheme="minorBidi"/>
            <w:snapToGrid/>
            <w:color w:val="auto"/>
            <w:kern w:val="2"/>
            <w:sz w:val="24"/>
            <w:szCs w:val="24"/>
            <w:lang w:val="es-CR" w:eastAsia="es-CR"/>
            <w14:ligatures w14:val="standardContextual"/>
          </w:rPr>
          <w:tab/>
        </w:r>
        <w:r w:rsidRPr="00025C68">
          <w:rPr>
            <w:rStyle w:val="Hipervnculo"/>
          </w:rPr>
          <w:t>Configuración de parámetros en los equipos de validación</w:t>
        </w:r>
        <w:r>
          <w:rPr>
            <w:webHidden/>
          </w:rPr>
          <w:tab/>
        </w:r>
        <w:r>
          <w:rPr>
            <w:webHidden/>
          </w:rPr>
          <w:fldChar w:fldCharType="begin"/>
        </w:r>
        <w:r>
          <w:rPr>
            <w:webHidden/>
          </w:rPr>
          <w:instrText xml:space="preserve"> PAGEREF _Toc216697976 \h </w:instrText>
        </w:r>
        <w:r>
          <w:rPr>
            <w:webHidden/>
          </w:rPr>
        </w:r>
        <w:r>
          <w:rPr>
            <w:webHidden/>
          </w:rPr>
          <w:fldChar w:fldCharType="separate"/>
        </w:r>
        <w:r w:rsidR="00FA10A3">
          <w:rPr>
            <w:webHidden/>
          </w:rPr>
          <w:t>17</w:t>
        </w:r>
        <w:r>
          <w:rPr>
            <w:webHidden/>
          </w:rPr>
          <w:fldChar w:fldCharType="end"/>
        </w:r>
      </w:hyperlink>
    </w:p>
    <w:p w14:paraId="4F25DB3C" w14:textId="6CF84592" w:rsidR="007F7B8F" w:rsidRDefault="007F7B8F" w:rsidP="007F7B8F">
      <w:pPr>
        <w:pStyle w:val="TDC3"/>
        <w:spacing w:line="360" w:lineRule="auto"/>
        <w:rPr>
          <w:rFonts w:asciiTheme="minorHAnsi" w:eastAsiaTheme="minorEastAsia" w:hAnsiTheme="minorHAnsi" w:cstheme="minorBidi"/>
          <w:snapToGrid/>
          <w:color w:val="auto"/>
          <w:kern w:val="2"/>
          <w:sz w:val="24"/>
          <w:szCs w:val="24"/>
          <w:lang w:val="es-CR" w:eastAsia="es-CR"/>
          <w14:ligatures w14:val="standardContextual"/>
        </w:rPr>
      </w:pPr>
      <w:hyperlink w:anchor="_Toc216697977" w:history="1">
        <w:r w:rsidRPr="00025C68">
          <w:rPr>
            <w:rStyle w:val="Hipervnculo"/>
          </w:rPr>
          <w:t>5.5.2.</w:t>
        </w:r>
        <w:r>
          <w:rPr>
            <w:rFonts w:asciiTheme="minorHAnsi" w:eastAsiaTheme="minorEastAsia" w:hAnsiTheme="minorHAnsi" w:cstheme="minorBidi"/>
            <w:snapToGrid/>
            <w:color w:val="auto"/>
            <w:kern w:val="2"/>
            <w:sz w:val="24"/>
            <w:szCs w:val="24"/>
            <w:lang w:val="es-CR" w:eastAsia="es-CR"/>
            <w14:ligatures w14:val="standardContextual"/>
          </w:rPr>
          <w:tab/>
        </w:r>
        <w:r w:rsidRPr="00025C68">
          <w:rPr>
            <w:rStyle w:val="Hipervnculo"/>
          </w:rPr>
          <w:t>Certificación de los validadores</w:t>
        </w:r>
        <w:r>
          <w:rPr>
            <w:webHidden/>
          </w:rPr>
          <w:tab/>
        </w:r>
        <w:r>
          <w:rPr>
            <w:webHidden/>
          </w:rPr>
          <w:fldChar w:fldCharType="begin"/>
        </w:r>
        <w:r>
          <w:rPr>
            <w:webHidden/>
          </w:rPr>
          <w:instrText xml:space="preserve"> PAGEREF _Toc216697977 \h </w:instrText>
        </w:r>
        <w:r>
          <w:rPr>
            <w:webHidden/>
          </w:rPr>
        </w:r>
        <w:r>
          <w:rPr>
            <w:webHidden/>
          </w:rPr>
          <w:fldChar w:fldCharType="separate"/>
        </w:r>
        <w:r w:rsidR="00FA10A3">
          <w:rPr>
            <w:webHidden/>
          </w:rPr>
          <w:t>17</w:t>
        </w:r>
        <w:r>
          <w:rPr>
            <w:webHidden/>
          </w:rPr>
          <w:fldChar w:fldCharType="end"/>
        </w:r>
      </w:hyperlink>
    </w:p>
    <w:p w14:paraId="7A585ED7" w14:textId="76C26EC7"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8" w:history="1">
        <w:r w:rsidRPr="00025C68">
          <w:rPr>
            <w:rStyle w:val="Hipervnculo"/>
          </w:rPr>
          <w:t>5.6.</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Servicios de capacitación</w:t>
        </w:r>
        <w:r>
          <w:rPr>
            <w:webHidden/>
          </w:rPr>
          <w:tab/>
        </w:r>
        <w:r>
          <w:rPr>
            <w:webHidden/>
          </w:rPr>
          <w:fldChar w:fldCharType="begin"/>
        </w:r>
        <w:r>
          <w:rPr>
            <w:webHidden/>
          </w:rPr>
          <w:instrText xml:space="preserve"> PAGEREF _Toc216697978 \h </w:instrText>
        </w:r>
        <w:r>
          <w:rPr>
            <w:webHidden/>
          </w:rPr>
        </w:r>
        <w:r>
          <w:rPr>
            <w:webHidden/>
          </w:rPr>
          <w:fldChar w:fldCharType="separate"/>
        </w:r>
        <w:r w:rsidR="00FA10A3">
          <w:rPr>
            <w:webHidden/>
          </w:rPr>
          <w:t>17</w:t>
        </w:r>
        <w:r>
          <w:rPr>
            <w:webHidden/>
          </w:rPr>
          <w:fldChar w:fldCharType="end"/>
        </w:r>
      </w:hyperlink>
    </w:p>
    <w:p w14:paraId="2B3B5A57" w14:textId="2F3FF2C0"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79" w:history="1">
        <w:r w:rsidRPr="00025C68">
          <w:rPr>
            <w:rStyle w:val="Hipervnculo"/>
          </w:rPr>
          <w:t>5.7.</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Servicio de atención a los participantes</w:t>
        </w:r>
        <w:r>
          <w:rPr>
            <w:webHidden/>
          </w:rPr>
          <w:tab/>
        </w:r>
        <w:r>
          <w:rPr>
            <w:webHidden/>
          </w:rPr>
          <w:fldChar w:fldCharType="begin"/>
        </w:r>
        <w:r>
          <w:rPr>
            <w:webHidden/>
          </w:rPr>
          <w:instrText xml:space="preserve"> PAGEREF _Toc216697979 \h </w:instrText>
        </w:r>
        <w:r>
          <w:rPr>
            <w:webHidden/>
          </w:rPr>
        </w:r>
        <w:r>
          <w:rPr>
            <w:webHidden/>
          </w:rPr>
          <w:fldChar w:fldCharType="separate"/>
        </w:r>
        <w:r w:rsidR="00FA10A3">
          <w:rPr>
            <w:webHidden/>
          </w:rPr>
          <w:t>17</w:t>
        </w:r>
        <w:r>
          <w:rPr>
            <w:webHidden/>
          </w:rPr>
          <w:fldChar w:fldCharType="end"/>
        </w:r>
      </w:hyperlink>
    </w:p>
    <w:p w14:paraId="1F057561" w14:textId="04145386" w:rsidR="007F7B8F" w:rsidRDefault="007F7B8F" w:rsidP="007F7B8F">
      <w:pPr>
        <w:pStyle w:val="TDC2"/>
        <w:spacing w:line="360" w:lineRule="auto"/>
        <w:rPr>
          <w:rFonts w:asciiTheme="minorHAnsi" w:eastAsiaTheme="minorEastAsia" w:hAnsiTheme="minorHAnsi" w:cstheme="minorBidi"/>
          <w:snapToGrid/>
          <w:kern w:val="2"/>
          <w:sz w:val="24"/>
          <w:szCs w:val="24"/>
          <w:lang w:val="es-CR" w:eastAsia="es-CR"/>
          <w14:ligatures w14:val="standardContextual"/>
        </w:rPr>
      </w:pPr>
      <w:hyperlink w:anchor="_Toc216697980" w:history="1">
        <w:r w:rsidRPr="00025C68">
          <w:rPr>
            <w:rStyle w:val="Hipervnculo"/>
          </w:rPr>
          <w:t>5.8.</w:t>
        </w:r>
        <w:r>
          <w:rPr>
            <w:rFonts w:asciiTheme="minorHAnsi" w:eastAsiaTheme="minorEastAsia" w:hAnsiTheme="minorHAnsi" w:cstheme="minorBidi"/>
            <w:snapToGrid/>
            <w:kern w:val="2"/>
            <w:sz w:val="24"/>
            <w:szCs w:val="24"/>
            <w:lang w:val="es-CR" w:eastAsia="es-CR"/>
            <w14:ligatures w14:val="standardContextual"/>
          </w:rPr>
          <w:tab/>
        </w:r>
        <w:r w:rsidRPr="00025C68">
          <w:rPr>
            <w:rStyle w:val="Hipervnculo"/>
          </w:rPr>
          <w:t>Aplicaciones móviles del servicio SINPE-TP</w:t>
        </w:r>
        <w:r>
          <w:rPr>
            <w:webHidden/>
          </w:rPr>
          <w:tab/>
        </w:r>
        <w:r>
          <w:rPr>
            <w:webHidden/>
          </w:rPr>
          <w:fldChar w:fldCharType="begin"/>
        </w:r>
        <w:r>
          <w:rPr>
            <w:webHidden/>
          </w:rPr>
          <w:instrText xml:space="preserve"> PAGEREF _Toc216697980 \h </w:instrText>
        </w:r>
        <w:r>
          <w:rPr>
            <w:webHidden/>
          </w:rPr>
        </w:r>
        <w:r>
          <w:rPr>
            <w:webHidden/>
          </w:rPr>
          <w:fldChar w:fldCharType="separate"/>
        </w:r>
        <w:r w:rsidR="00FA10A3">
          <w:rPr>
            <w:webHidden/>
          </w:rPr>
          <w:t>18</w:t>
        </w:r>
        <w:r>
          <w:rPr>
            <w:webHidden/>
          </w:rPr>
          <w:fldChar w:fldCharType="end"/>
        </w:r>
      </w:hyperlink>
    </w:p>
    <w:p w14:paraId="2F74BF70" w14:textId="73F099D5"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81" w:history="1">
        <w:r w:rsidRPr="00025C68">
          <w:rPr>
            <w:rStyle w:val="Hipervnculo"/>
            <w:noProof/>
            <w:lang w:val="es-CR"/>
          </w:rPr>
          <w:t>6.</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noProof/>
          </w:rPr>
          <w:t>Vigencia de la norma</w:t>
        </w:r>
        <w:r>
          <w:rPr>
            <w:noProof/>
            <w:webHidden/>
          </w:rPr>
          <w:tab/>
        </w:r>
        <w:r>
          <w:rPr>
            <w:noProof/>
            <w:webHidden/>
          </w:rPr>
          <w:fldChar w:fldCharType="begin"/>
        </w:r>
        <w:r>
          <w:rPr>
            <w:noProof/>
            <w:webHidden/>
          </w:rPr>
          <w:instrText xml:space="preserve"> PAGEREF _Toc216697981 \h </w:instrText>
        </w:r>
        <w:r>
          <w:rPr>
            <w:noProof/>
            <w:webHidden/>
          </w:rPr>
        </w:r>
        <w:r>
          <w:rPr>
            <w:noProof/>
            <w:webHidden/>
          </w:rPr>
          <w:fldChar w:fldCharType="separate"/>
        </w:r>
        <w:r w:rsidR="00FA10A3">
          <w:rPr>
            <w:noProof/>
            <w:webHidden/>
          </w:rPr>
          <w:t>18</w:t>
        </w:r>
        <w:r>
          <w:rPr>
            <w:noProof/>
            <w:webHidden/>
          </w:rPr>
          <w:fldChar w:fldCharType="end"/>
        </w:r>
      </w:hyperlink>
    </w:p>
    <w:p w14:paraId="2CE1042E" w14:textId="73FA540B" w:rsidR="007F7B8F" w:rsidRDefault="007F7B8F" w:rsidP="007F7B8F">
      <w:pPr>
        <w:pStyle w:val="TDC1"/>
        <w:spacing w:line="360" w:lineRule="auto"/>
        <w:rPr>
          <w:rFonts w:asciiTheme="minorHAnsi" w:eastAsiaTheme="minorEastAsia" w:hAnsiTheme="minorHAnsi" w:cstheme="minorBidi"/>
          <w:b w:val="0"/>
          <w:noProof/>
          <w:snapToGrid/>
          <w:kern w:val="2"/>
          <w:sz w:val="24"/>
          <w:szCs w:val="24"/>
          <w:lang w:val="es-CR" w:eastAsia="es-CR"/>
          <w14:ligatures w14:val="standardContextual"/>
        </w:rPr>
      </w:pPr>
      <w:hyperlink w:anchor="_Toc216697982" w:history="1">
        <w:r w:rsidRPr="00025C68">
          <w:rPr>
            <w:rStyle w:val="Hipervnculo"/>
            <w:noProof/>
            <w:lang w:val="es-CR"/>
          </w:rPr>
          <w:t>7.</w:t>
        </w:r>
        <w:r>
          <w:rPr>
            <w:rFonts w:asciiTheme="minorHAnsi" w:eastAsiaTheme="minorEastAsia" w:hAnsiTheme="minorHAnsi" w:cstheme="minorBidi"/>
            <w:b w:val="0"/>
            <w:noProof/>
            <w:snapToGrid/>
            <w:kern w:val="2"/>
            <w:sz w:val="24"/>
            <w:szCs w:val="24"/>
            <w:lang w:val="es-CR" w:eastAsia="es-CR"/>
            <w14:ligatures w14:val="standardContextual"/>
          </w:rPr>
          <w:tab/>
        </w:r>
        <w:r w:rsidRPr="00025C68">
          <w:rPr>
            <w:rStyle w:val="Hipervnculo"/>
            <w:rFonts w:cs="Arial"/>
            <w:noProof/>
          </w:rPr>
          <w:t>Anexos</w:t>
        </w:r>
        <w:r>
          <w:rPr>
            <w:noProof/>
            <w:webHidden/>
          </w:rPr>
          <w:tab/>
        </w:r>
        <w:r>
          <w:rPr>
            <w:noProof/>
            <w:webHidden/>
          </w:rPr>
          <w:fldChar w:fldCharType="begin"/>
        </w:r>
        <w:r>
          <w:rPr>
            <w:noProof/>
            <w:webHidden/>
          </w:rPr>
          <w:instrText xml:space="preserve"> PAGEREF _Toc216697982 \h </w:instrText>
        </w:r>
        <w:r>
          <w:rPr>
            <w:noProof/>
            <w:webHidden/>
          </w:rPr>
        </w:r>
        <w:r>
          <w:rPr>
            <w:noProof/>
            <w:webHidden/>
          </w:rPr>
          <w:fldChar w:fldCharType="separate"/>
        </w:r>
        <w:r w:rsidR="00FA10A3">
          <w:rPr>
            <w:noProof/>
            <w:webHidden/>
          </w:rPr>
          <w:t>19</w:t>
        </w:r>
        <w:r>
          <w:rPr>
            <w:noProof/>
            <w:webHidden/>
          </w:rPr>
          <w:fldChar w:fldCharType="end"/>
        </w:r>
      </w:hyperlink>
    </w:p>
    <w:p w14:paraId="7C21CDC9" w14:textId="4F6A200B" w:rsidR="00D87748" w:rsidRPr="002A2D26" w:rsidRDefault="00D87748" w:rsidP="007F7B8F">
      <w:pPr>
        <w:pStyle w:val="TDC1"/>
        <w:spacing w:before="0" w:after="0" w:line="360" w:lineRule="auto"/>
        <w:rPr>
          <w:rFonts w:cs="Arial"/>
        </w:rPr>
      </w:pPr>
      <w:r w:rsidRPr="002A2D26">
        <w:rPr>
          <w:rFonts w:cs="Arial"/>
        </w:rPr>
        <w:fldChar w:fldCharType="end"/>
      </w:r>
      <w:bookmarkEnd w:id="0"/>
    </w:p>
    <w:p w14:paraId="1C264284" w14:textId="2183E928" w:rsidR="002A2D26" w:rsidRDefault="002A2D26" w:rsidP="007F7B8F">
      <w:pPr>
        <w:shd w:val="clear" w:color="auto" w:fill="FFFFFF"/>
        <w:spacing w:before="0" w:after="0" w:line="360" w:lineRule="auto"/>
      </w:pPr>
    </w:p>
    <w:p w14:paraId="37E08BA2" w14:textId="77777777" w:rsidR="00D87748" w:rsidRPr="00A067CA" w:rsidRDefault="00D87748" w:rsidP="007F7B8F">
      <w:pPr>
        <w:spacing w:before="0" w:after="0" w:line="360" w:lineRule="auto"/>
        <w:sectPr w:rsidR="00D87748" w:rsidRPr="00A067CA" w:rsidSect="00B21507">
          <w:headerReference w:type="default" r:id="rId14"/>
          <w:footerReference w:type="default" r:id="rId15"/>
          <w:pgSz w:w="12240" w:h="15840"/>
          <w:pgMar w:top="993" w:right="1325" w:bottom="1469" w:left="2059" w:header="720" w:footer="720" w:gutter="0"/>
          <w:pgNumType w:start="2"/>
          <w:cols w:space="720"/>
          <w:docGrid w:linePitch="212"/>
        </w:sectPr>
      </w:pPr>
    </w:p>
    <w:p w14:paraId="3C59AA2E" w14:textId="7864504A" w:rsidR="00D87748" w:rsidRPr="007C189E" w:rsidRDefault="00D87748" w:rsidP="00D87748">
      <w:pPr>
        <w:pStyle w:val="TextoInicial"/>
        <w:rPr>
          <w:sz w:val="24"/>
        </w:rPr>
      </w:pPr>
      <w:r w:rsidRPr="007C189E">
        <w:rPr>
          <w:sz w:val="24"/>
        </w:rPr>
        <w:lastRenderedPageBreak/>
        <w:t xml:space="preserve">Sistema Nacional </w:t>
      </w:r>
      <w:r w:rsidR="007C189E" w:rsidRPr="007C189E">
        <w:rPr>
          <w:sz w:val="24"/>
        </w:rPr>
        <w:t>de Pago Electrónico en el Transporte Público</w:t>
      </w:r>
    </w:p>
    <w:tbl>
      <w:tblPr>
        <w:tblW w:w="0" w:type="auto"/>
        <w:tblBorders>
          <w:top w:val="single" w:sz="8" w:space="0" w:color="auto"/>
          <w:bottom w:val="single" w:sz="8" w:space="0" w:color="auto"/>
        </w:tblBorders>
        <w:tblLook w:val="01E0" w:firstRow="1" w:lastRow="1" w:firstColumn="1" w:lastColumn="1" w:noHBand="0" w:noVBand="0"/>
      </w:tblPr>
      <w:tblGrid>
        <w:gridCol w:w="7797"/>
        <w:gridCol w:w="1275"/>
      </w:tblGrid>
      <w:tr w:rsidR="00D87748" w:rsidRPr="00580676" w14:paraId="414E7E72" w14:textId="77777777" w:rsidTr="008432DD">
        <w:trPr>
          <w:trHeight w:val="465"/>
        </w:trPr>
        <w:tc>
          <w:tcPr>
            <w:tcW w:w="7797" w:type="dxa"/>
          </w:tcPr>
          <w:p w14:paraId="56E288DE" w14:textId="19455130" w:rsidR="00D87748" w:rsidRPr="00580676" w:rsidRDefault="008F2F9C" w:rsidP="00ED3BE1">
            <w:pPr>
              <w:pStyle w:val="TextoIntroductorio"/>
            </w:pPr>
            <w:r>
              <w:t xml:space="preserve">División </w:t>
            </w:r>
            <w:fldSimple w:instr=" DOCPROPERTY  Autor  \* MERGEFORMAT ">
              <w:r w:rsidR="00A607A2">
                <w:t>Sistemas de Pago - BCCR</w:t>
              </w:r>
            </w:fldSimple>
          </w:p>
        </w:tc>
        <w:tc>
          <w:tcPr>
            <w:tcW w:w="1275" w:type="dxa"/>
          </w:tcPr>
          <w:p w14:paraId="4BA9848A" w14:textId="10D731CA" w:rsidR="00D87748" w:rsidRPr="00580676" w:rsidRDefault="00D87748" w:rsidP="002C1131">
            <w:pPr>
              <w:pStyle w:val="TextoIntroductorio"/>
            </w:pPr>
            <w:r w:rsidRPr="00580676">
              <w:t xml:space="preserve">Año </w:t>
            </w:r>
            <w:r w:rsidR="008F2F9C">
              <w:t>202</w:t>
            </w:r>
            <w:r w:rsidR="007C189E">
              <w:t>5</w:t>
            </w:r>
          </w:p>
        </w:tc>
      </w:tr>
    </w:tbl>
    <w:p w14:paraId="640891AF" w14:textId="77777777" w:rsidR="007A7839" w:rsidRDefault="007A7839" w:rsidP="00E23D98">
      <w:pPr>
        <w:pStyle w:val="Ttulo1"/>
        <w:numPr>
          <w:ilvl w:val="0"/>
          <w:numId w:val="3"/>
        </w:numPr>
        <w:tabs>
          <w:tab w:val="clear" w:pos="340"/>
        </w:tabs>
        <w:spacing w:line="276" w:lineRule="auto"/>
        <w:ind w:left="426" w:hanging="426"/>
      </w:pPr>
      <w:bookmarkStart w:id="1" w:name="_Toc213828748"/>
      <w:bookmarkStart w:id="2" w:name="_Toc216697932"/>
      <w:r>
        <w:t>Marco introductorio</w:t>
      </w:r>
      <w:bookmarkEnd w:id="1"/>
      <w:bookmarkEnd w:id="2"/>
    </w:p>
    <w:p w14:paraId="37C9C236" w14:textId="77777777" w:rsidR="007A7839" w:rsidRPr="004676E6" w:rsidRDefault="007A7839" w:rsidP="00E23D98">
      <w:bookmarkStart w:id="3" w:name="OLE_LINK1"/>
      <w:bookmarkStart w:id="4" w:name="OLE_LINK2"/>
      <w:r w:rsidRPr="004676E6">
        <w:t xml:space="preserve">La presente norma </w:t>
      </w:r>
      <w:r>
        <w:t xml:space="preserve">técnica </w:t>
      </w:r>
      <w:r w:rsidRPr="004676E6">
        <w:t xml:space="preserve">establece las disposiciones </w:t>
      </w:r>
      <w:r>
        <w:t xml:space="preserve">operativas que complementan el </w:t>
      </w:r>
      <w:r w:rsidRPr="004676E6">
        <w:t xml:space="preserve">Reglamento del Sistema </w:t>
      </w:r>
      <w:r>
        <w:t xml:space="preserve">Nacional de Pago Electrónico en el Transporte Público </w:t>
      </w:r>
      <w:r w:rsidRPr="004676E6">
        <w:t xml:space="preserve">para </w:t>
      </w:r>
      <w:r>
        <w:t xml:space="preserve">regular </w:t>
      </w:r>
      <w:r w:rsidRPr="004676E6">
        <w:t xml:space="preserve">el servicio SINPE-TP, provisto por el Banco Central de Costa Rica </w:t>
      </w:r>
      <w:r>
        <w:t>para realizar la recaudación electrónica de los ingresos tarifarias del transporte público colectivo de personas.</w:t>
      </w:r>
    </w:p>
    <w:bookmarkEnd w:id="3"/>
    <w:bookmarkEnd w:id="4"/>
    <w:p w14:paraId="522C7113" w14:textId="77777777" w:rsidR="007A7839" w:rsidRDefault="007A7839" w:rsidP="00E23D98">
      <w:r w:rsidRPr="008A0C76">
        <w:t xml:space="preserve">La norma define las condiciones bajo las cuales funciona </w:t>
      </w:r>
      <w:r>
        <w:t xml:space="preserve">la plataforma de pagos de </w:t>
      </w:r>
      <w:r w:rsidRPr="008A0C76">
        <w:t xml:space="preserve">SINPE-TP para el cobro de </w:t>
      </w:r>
      <w:r>
        <w:t xml:space="preserve">las </w:t>
      </w:r>
      <w:r w:rsidRPr="008A0C76">
        <w:t>tarifa</w:t>
      </w:r>
      <w:r>
        <w:t>s</w:t>
      </w:r>
      <w:r w:rsidRPr="008A0C76">
        <w:t xml:space="preserve"> en los servicios de autobús de ruta regular</w:t>
      </w:r>
      <w:r w:rsidRPr="00B64802">
        <w:t xml:space="preserve"> y tren de pasajeros</w:t>
      </w:r>
      <w:r w:rsidRPr="008A0C76">
        <w:t xml:space="preserve">, así como la forma en que se relaciona e interactúa con </w:t>
      </w:r>
      <w:r>
        <w:t xml:space="preserve">sus </w:t>
      </w:r>
      <w:r w:rsidRPr="008A0C76">
        <w:t>participantes</w:t>
      </w:r>
      <w:r>
        <w:t>.</w:t>
      </w:r>
    </w:p>
    <w:p w14:paraId="0DFACF7B" w14:textId="77777777" w:rsidR="007A7839" w:rsidRDefault="007A7839" w:rsidP="00E23D98">
      <w:pPr>
        <w:pStyle w:val="Ttulo2"/>
        <w:numPr>
          <w:ilvl w:val="1"/>
          <w:numId w:val="3"/>
        </w:numPr>
        <w:tabs>
          <w:tab w:val="clear" w:pos="510"/>
        </w:tabs>
        <w:spacing w:line="276" w:lineRule="auto"/>
        <w:ind w:left="567" w:hanging="567"/>
      </w:pPr>
      <w:bookmarkStart w:id="5" w:name="_Toc347829981"/>
      <w:bookmarkStart w:id="6" w:name="_Toc213828749"/>
      <w:bookmarkStart w:id="7" w:name="_Toc216697933"/>
      <w:r>
        <w:t>Alcance</w:t>
      </w:r>
      <w:bookmarkEnd w:id="5"/>
      <w:bookmarkEnd w:id="6"/>
      <w:bookmarkEnd w:id="7"/>
    </w:p>
    <w:p w14:paraId="69F65289" w14:textId="77777777" w:rsidR="007A7839" w:rsidRPr="004676E6" w:rsidRDefault="007A7839" w:rsidP="00E23D98">
      <w:bookmarkStart w:id="8" w:name="_Hlk121209240"/>
      <w:r w:rsidRPr="004676E6">
        <w:t xml:space="preserve">Las disposiciones de la presente norma </w:t>
      </w:r>
      <w:r>
        <w:t xml:space="preserve">complementaria </w:t>
      </w:r>
      <w:r w:rsidRPr="004676E6">
        <w:t xml:space="preserve">son aplicables a las instituciones, empresas, personas e infraestructuras que participan </w:t>
      </w:r>
      <w:r>
        <w:t>o</w:t>
      </w:r>
      <w:r w:rsidRPr="004676E6">
        <w:t xml:space="preserve"> intervienen en el funcionamiento del servicio SINPE</w:t>
      </w:r>
      <w:r w:rsidRPr="004676E6">
        <w:noBreakHyphen/>
        <w:t>TP, como elementos de su ecosistema de pagos.</w:t>
      </w:r>
    </w:p>
    <w:bookmarkEnd w:id="8"/>
    <w:p w14:paraId="29C93C18" w14:textId="77777777" w:rsidR="007A7839" w:rsidRDefault="007A7839" w:rsidP="00E23D98">
      <w:r w:rsidRPr="008A0C76">
        <w:t xml:space="preserve">La norma </w:t>
      </w:r>
      <w:r>
        <w:t>desarrolla</w:t>
      </w:r>
      <w:r w:rsidRPr="008A0C76">
        <w:t xml:space="preserve"> las condiciones y reglas operativas que regulan el funcionamiento de SINPE-TP en los servicios de autobús de ruta regular</w:t>
      </w:r>
      <w:r w:rsidRPr="00B64802">
        <w:t xml:space="preserve"> y tren de pasajeros</w:t>
      </w:r>
      <w:r>
        <w:t>.</w:t>
      </w:r>
    </w:p>
    <w:p w14:paraId="281334E5" w14:textId="77777777" w:rsidR="007A7839" w:rsidRDefault="007A7839" w:rsidP="00E23D98">
      <w:pPr>
        <w:pStyle w:val="Ttulo2"/>
        <w:numPr>
          <w:ilvl w:val="1"/>
          <w:numId w:val="3"/>
        </w:numPr>
        <w:tabs>
          <w:tab w:val="clear" w:pos="510"/>
        </w:tabs>
        <w:spacing w:line="276" w:lineRule="auto"/>
        <w:ind w:left="567" w:hanging="567"/>
      </w:pPr>
      <w:bookmarkStart w:id="9" w:name="_Toc347829982"/>
      <w:bookmarkStart w:id="10" w:name="_Toc213828750"/>
      <w:bookmarkStart w:id="11" w:name="_Toc216697934"/>
      <w:r>
        <w:t>Términos empleados</w:t>
      </w:r>
      <w:bookmarkEnd w:id="9"/>
      <w:bookmarkEnd w:id="10"/>
      <w:bookmarkEnd w:id="11"/>
    </w:p>
    <w:p w14:paraId="03E0F64F" w14:textId="77777777" w:rsidR="007A7839" w:rsidRPr="00C8760F" w:rsidRDefault="007A7839" w:rsidP="00E23D98">
      <w:r w:rsidRPr="00756514">
        <w:t>Para los fines interpretativos de la presente norma complementaria</w:t>
      </w:r>
      <w:r>
        <w:t xml:space="preserve"> </w:t>
      </w:r>
      <w:r w:rsidRPr="00756514">
        <w:t>se entiende por</w:t>
      </w:r>
      <w:r w:rsidRPr="00C8760F">
        <w:t>:</w:t>
      </w:r>
    </w:p>
    <w:p w14:paraId="6855E241" w14:textId="77777777" w:rsidR="007A7839" w:rsidRPr="009B42CB" w:rsidRDefault="007A7839" w:rsidP="00E23D98">
      <w:pPr>
        <w:pStyle w:val="ListaVietas"/>
        <w:tabs>
          <w:tab w:val="clear" w:pos="425"/>
        </w:tabs>
        <w:spacing w:line="276" w:lineRule="auto"/>
        <w:rPr>
          <w:rFonts w:cs="Arial"/>
        </w:rPr>
      </w:pPr>
      <w:r w:rsidRPr="00415EFA">
        <w:t>Adquirente:</w:t>
      </w:r>
      <w:r>
        <w:t xml:space="preserve"> </w:t>
      </w:r>
      <w:bookmarkStart w:id="12" w:name="_Hlk210566864"/>
      <w:r w:rsidRPr="00DF0E20">
        <w:rPr>
          <w:color w:val="000000"/>
        </w:rPr>
        <w:t xml:space="preserve">institución bancaria que provee servicios de aceptación y procesamiento de las transacciones realizadas con dispositivos de pago en la plataforma de </w:t>
      </w:r>
      <w:r w:rsidRPr="00DF0E20">
        <w:rPr>
          <w:rFonts w:cs="Arial"/>
          <w:color w:val="000000"/>
        </w:rPr>
        <w:t>SINPE−TP.</w:t>
      </w:r>
      <w:bookmarkEnd w:id="12"/>
    </w:p>
    <w:p w14:paraId="41D5C23D" w14:textId="77777777" w:rsidR="007A7839" w:rsidRPr="00472856" w:rsidRDefault="007A7839" w:rsidP="00E23D98">
      <w:pPr>
        <w:pStyle w:val="ListaVietas"/>
        <w:tabs>
          <w:tab w:val="clear" w:pos="425"/>
        </w:tabs>
        <w:spacing w:line="276" w:lineRule="auto"/>
      </w:pPr>
      <w:r w:rsidRPr="00472856">
        <w:t>API: siglas</w:t>
      </w:r>
      <w:r w:rsidRPr="00472856">
        <w:rPr>
          <w:rFonts w:eastAsia="Calibri"/>
        </w:rPr>
        <w:t xml:space="preserve"> de “</w:t>
      </w:r>
      <w:r w:rsidRPr="00CF263B">
        <w:rPr>
          <w:rFonts w:eastAsia="Calibri"/>
          <w:i/>
          <w:iCs/>
        </w:rPr>
        <w:t>Application Programming Interface</w:t>
      </w:r>
      <w:r w:rsidRPr="00472856">
        <w:rPr>
          <w:rFonts w:eastAsia="Calibri"/>
        </w:rPr>
        <w:t>” (Interfaz de programación de aplicaciones); es un conjunto de funciones, reglas</w:t>
      </w:r>
      <w:r>
        <w:rPr>
          <w:rFonts w:eastAsia="Calibri"/>
        </w:rPr>
        <w:t xml:space="preserve">, </w:t>
      </w:r>
      <w:r w:rsidRPr="00472856">
        <w:rPr>
          <w:rFonts w:eastAsia="Calibri"/>
        </w:rPr>
        <w:t xml:space="preserve">códigos, procedimientos y especificaciones, que ofrecen una biblioteca de programación (como capa de abstracción) para que sea utilizada por otro programa informático con el fin de </w:t>
      </w:r>
      <w:r w:rsidRPr="001C1C14">
        <w:rPr>
          <w:rFonts w:eastAsia="Calibri"/>
        </w:rPr>
        <w:t>establecer una comunicación</w:t>
      </w:r>
      <w:r w:rsidRPr="00472856">
        <w:rPr>
          <w:rFonts w:eastAsia="Calibri"/>
        </w:rPr>
        <w:t xml:space="preserve"> entre ellos.</w:t>
      </w:r>
    </w:p>
    <w:p w14:paraId="408963D8" w14:textId="77777777" w:rsidR="007A7839" w:rsidRPr="004676E6" w:rsidRDefault="007A7839" w:rsidP="00E23D98">
      <w:pPr>
        <w:pStyle w:val="ListaVietas"/>
        <w:tabs>
          <w:tab w:val="clear" w:pos="425"/>
        </w:tabs>
        <w:spacing w:line="276" w:lineRule="auto"/>
      </w:pPr>
      <w:r w:rsidRPr="004676E6">
        <w:t xml:space="preserve">App: del inglés </w:t>
      </w:r>
      <w:r>
        <w:t>“</w:t>
      </w:r>
      <w:r w:rsidRPr="00CF263B">
        <w:rPr>
          <w:i/>
          <w:iCs/>
        </w:rPr>
        <w:t>application</w:t>
      </w:r>
      <w:r>
        <w:t xml:space="preserve">”. Es una aplicación de software diseñada por el BCCR para ejecutarse en dispositivos móviles, con el propósito de que los pasajeros y </w:t>
      </w:r>
      <w:r w:rsidRPr="004D7550">
        <w:t>los operadores</w:t>
      </w:r>
      <w:r>
        <w:t xml:space="preserve"> de transporte interactúen con el servicio SINPE-TP.</w:t>
      </w:r>
    </w:p>
    <w:p w14:paraId="71C82C75" w14:textId="77777777" w:rsidR="007A7839" w:rsidRPr="004676E6" w:rsidRDefault="007A7839" w:rsidP="00E23D98">
      <w:pPr>
        <w:pStyle w:val="ListaVietas"/>
        <w:tabs>
          <w:tab w:val="clear" w:pos="425"/>
        </w:tabs>
        <w:spacing w:line="276" w:lineRule="auto"/>
      </w:pPr>
      <w:r w:rsidRPr="004676E6">
        <w:t>Aresep: Autoridad Reguladora de los Servicios Públicos</w:t>
      </w:r>
      <w:r>
        <w:t xml:space="preserve">. Es el </w:t>
      </w:r>
      <w:r w:rsidRPr="004676E6">
        <w:t xml:space="preserve">ente competente </w:t>
      </w:r>
      <w:r>
        <w:t>que calcula y autoriza las fijaciones tarifarias de los servicios del transporte público costarricense.</w:t>
      </w:r>
    </w:p>
    <w:p w14:paraId="275E804A" w14:textId="77777777" w:rsidR="007A7839" w:rsidRPr="00630C39" w:rsidRDefault="007A7839" w:rsidP="00E23D98">
      <w:pPr>
        <w:pStyle w:val="ListaVietas"/>
        <w:tabs>
          <w:tab w:val="clear" w:pos="425"/>
        </w:tabs>
        <w:spacing w:line="276" w:lineRule="auto"/>
        <w:rPr>
          <w:rFonts w:cs="Arial"/>
        </w:rPr>
      </w:pPr>
      <w:r>
        <w:t>Autobús: unidad de transporte autorizada por el CTP para operar en una ruta regular del servicio de transporte público remunerado de personas.</w:t>
      </w:r>
    </w:p>
    <w:p w14:paraId="6F6C4D0E" w14:textId="77777777" w:rsidR="007A7839" w:rsidRDefault="007A7839" w:rsidP="00E23D98">
      <w:pPr>
        <w:pStyle w:val="ListaVietas"/>
        <w:tabs>
          <w:tab w:val="clear" w:pos="425"/>
        </w:tabs>
        <w:spacing w:line="276" w:lineRule="auto"/>
        <w:rPr>
          <w:rFonts w:cs="Arial"/>
        </w:rPr>
      </w:pPr>
      <w:r w:rsidRPr="00147E0A">
        <w:rPr>
          <w:rFonts w:cs="Arial"/>
        </w:rPr>
        <w:t>BCCR: Banco Central de Costa Rica</w:t>
      </w:r>
      <w:r>
        <w:rPr>
          <w:rFonts w:cs="Arial"/>
        </w:rPr>
        <w:t xml:space="preserve">. Es </w:t>
      </w:r>
      <w:r w:rsidRPr="00147E0A">
        <w:rPr>
          <w:rFonts w:cs="Arial"/>
        </w:rPr>
        <w:t xml:space="preserve">el ente rector del sistema de pagos costarricense, </w:t>
      </w:r>
      <w:r w:rsidRPr="00AE3F77">
        <w:rPr>
          <w:rFonts w:cs="Arial"/>
        </w:rPr>
        <w:t>el regulador del servicio SINPE−TP y el gestor de su plataforma de pagos</w:t>
      </w:r>
      <w:r w:rsidRPr="00147E0A">
        <w:rPr>
          <w:rFonts w:cs="Arial"/>
        </w:rPr>
        <w:t>.</w:t>
      </w:r>
    </w:p>
    <w:p w14:paraId="28D4F871" w14:textId="77777777" w:rsidR="007A7839" w:rsidRDefault="007A7839" w:rsidP="00E23D98">
      <w:pPr>
        <w:pStyle w:val="ListaVietas"/>
        <w:tabs>
          <w:tab w:val="clear" w:pos="425"/>
        </w:tabs>
        <w:spacing w:line="276" w:lineRule="auto"/>
        <w:rPr>
          <w:rFonts w:cs="Arial"/>
        </w:rPr>
      </w:pPr>
      <w:bookmarkStart w:id="13" w:name="_Hlk134107214"/>
      <w:bookmarkStart w:id="14" w:name="_Hlk134101154"/>
      <w:r>
        <w:rPr>
          <w:rFonts w:cs="Arial"/>
        </w:rPr>
        <w:t>Cobrador: p</w:t>
      </w:r>
      <w:r w:rsidRPr="00CF263B">
        <w:rPr>
          <w:rFonts w:cs="Arial"/>
        </w:rPr>
        <w:t xml:space="preserve">ersona física que labora para un operador </w:t>
      </w:r>
      <w:r>
        <w:rPr>
          <w:rFonts w:cs="Arial"/>
        </w:rPr>
        <w:t xml:space="preserve">de transporte </w:t>
      </w:r>
      <w:r w:rsidRPr="00CF263B">
        <w:rPr>
          <w:rFonts w:cs="Arial"/>
        </w:rPr>
        <w:t xml:space="preserve">en la captura de cobros electrónicos por medio </w:t>
      </w:r>
      <w:r>
        <w:rPr>
          <w:rFonts w:cs="Arial"/>
        </w:rPr>
        <w:t xml:space="preserve">del servicio </w:t>
      </w:r>
      <w:r w:rsidRPr="00CF263B">
        <w:rPr>
          <w:rFonts w:cs="Arial"/>
        </w:rPr>
        <w:t xml:space="preserve">SINPE-TP, a nombre </w:t>
      </w:r>
      <w:r>
        <w:rPr>
          <w:rFonts w:cs="Arial"/>
        </w:rPr>
        <w:t xml:space="preserve">del </w:t>
      </w:r>
      <w:r w:rsidRPr="00CF263B">
        <w:rPr>
          <w:rFonts w:cs="Arial"/>
        </w:rPr>
        <w:t>operador y en virtud de la recaudación de sus ingresos tarifarios.</w:t>
      </w:r>
    </w:p>
    <w:p w14:paraId="0D4BBF53" w14:textId="77777777" w:rsidR="007A7839" w:rsidRDefault="007A7839" w:rsidP="00E23D98">
      <w:pPr>
        <w:pStyle w:val="ListaVietas"/>
        <w:tabs>
          <w:tab w:val="clear" w:pos="425"/>
        </w:tabs>
        <w:spacing w:line="276" w:lineRule="auto"/>
        <w:rPr>
          <w:rFonts w:cs="Arial"/>
        </w:rPr>
      </w:pPr>
      <w:r w:rsidRPr="00543B9B">
        <w:rPr>
          <w:rFonts w:cs="Arial"/>
        </w:rPr>
        <w:lastRenderedPageBreak/>
        <w:t xml:space="preserve">Consola: equipo </w:t>
      </w:r>
      <w:r>
        <w:rPr>
          <w:rFonts w:cs="Arial"/>
        </w:rPr>
        <w:t xml:space="preserve">tecnológico </w:t>
      </w:r>
      <w:r w:rsidRPr="00543B9B">
        <w:rPr>
          <w:rFonts w:cs="Arial"/>
        </w:rPr>
        <w:t>integrado a un validador</w:t>
      </w:r>
      <w:r>
        <w:rPr>
          <w:rFonts w:cs="Arial"/>
        </w:rPr>
        <w:t xml:space="preserve"> de SINPE-TP, por medio del cual se selecciona el tramo efectivo de viaje del pasajero para establecer la tarifa de cobro </w:t>
      </w:r>
      <w:r w:rsidRPr="00543B9B">
        <w:rPr>
          <w:rFonts w:cs="Arial"/>
        </w:rPr>
        <w:t xml:space="preserve">en </w:t>
      </w:r>
      <w:r>
        <w:rPr>
          <w:rFonts w:cs="Arial"/>
        </w:rPr>
        <w:t xml:space="preserve">rutas de </w:t>
      </w:r>
      <w:r w:rsidRPr="00543B9B">
        <w:rPr>
          <w:rFonts w:cs="Arial"/>
        </w:rPr>
        <w:t>tarifa fraccionada</w:t>
      </w:r>
      <w:r>
        <w:rPr>
          <w:rFonts w:cs="Arial"/>
        </w:rPr>
        <w:t>.</w:t>
      </w:r>
    </w:p>
    <w:p w14:paraId="2DF79670" w14:textId="77777777" w:rsidR="007A7839" w:rsidRDefault="007A7839" w:rsidP="00E23D98">
      <w:pPr>
        <w:pStyle w:val="ListaVietas"/>
        <w:tabs>
          <w:tab w:val="clear" w:pos="425"/>
        </w:tabs>
        <w:spacing w:line="276" w:lineRule="auto"/>
        <w:rPr>
          <w:rFonts w:cs="Arial"/>
        </w:rPr>
      </w:pPr>
      <w:r w:rsidRPr="007964FB">
        <w:rPr>
          <w:rFonts w:cs="Arial"/>
        </w:rPr>
        <w:t xml:space="preserve">Contactless: </w:t>
      </w:r>
      <w:r w:rsidRPr="00216007">
        <w:rPr>
          <w:rFonts w:cs="Arial"/>
        </w:rPr>
        <w:t>pago sin contacto o pago por proximidad</w:t>
      </w:r>
      <w:r>
        <w:rPr>
          <w:rFonts w:cs="Arial"/>
        </w:rPr>
        <w:t xml:space="preserve">. Es </w:t>
      </w:r>
      <w:r w:rsidRPr="00216007">
        <w:rPr>
          <w:rFonts w:cs="Arial"/>
        </w:rPr>
        <w:t>un protocolo de comunicación que permite realizar pagos con tarjetas utilizando tecnología de identificación por radiofrecuencia (RFID, por sus siglas en inglés), cumpliendo con la norma ISO 14443, relacionada con las tarjetas inteligentes (</w:t>
      </w:r>
      <w:r w:rsidRPr="00CF263B">
        <w:rPr>
          <w:rFonts w:cs="Arial"/>
          <w:i/>
          <w:iCs/>
        </w:rPr>
        <w:t>SmartCards</w:t>
      </w:r>
      <w:r w:rsidRPr="00216007">
        <w:rPr>
          <w:rFonts w:cs="Arial"/>
        </w:rPr>
        <w:t xml:space="preserve">). </w:t>
      </w:r>
      <w:r>
        <w:rPr>
          <w:rFonts w:cs="Arial"/>
        </w:rPr>
        <w:t xml:space="preserve">Por medio de </w:t>
      </w:r>
      <w:r w:rsidRPr="00216007">
        <w:rPr>
          <w:rFonts w:cs="Arial"/>
        </w:rPr>
        <w:t xml:space="preserve">una antena incorporada en </w:t>
      </w:r>
      <w:r>
        <w:rPr>
          <w:rFonts w:cs="Arial"/>
        </w:rPr>
        <w:t xml:space="preserve">el dispositivo de pago </w:t>
      </w:r>
      <w:r w:rsidRPr="00216007">
        <w:rPr>
          <w:rFonts w:cs="Arial"/>
        </w:rPr>
        <w:t xml:space="preserve">y </w:t>
      </w:r>
      <w:r>
        <w:rPr>
          <w:rFonts w:cs="Arial"/>
        </w:rPr>
        <w:t xml:space="preserve">otra </w:t>
      </w:r>
      <w:r w:rsidRPr="00216007">
        <w:rPr>
          <w:rFonts w:cs="Arial"/>
        </w:rPr>
        <w:t>en el</w:t>
      </w:r>
      <w:r>
        <w:rPr>
          <w:rFonts w:cs="Arial"/>
        </w:rPr>
        <w:t xml:space="preserve"> </w:t>
      </w:r>
      <w:r w:rsidRPr="00216007">
        <w:rPr>
          <w:rFonts w:cs="Arial"/>
        </w:rPr>
        <w:t xml:space="preserve">validador, la comunicación ocurre cuando ambos objetos se encuentran a una distancia máxima de 5 centímetros, </w:t>
      </w:r>
      <w:r>
        <w:rPr>
          <w:rFonts w:cs="Arial"/>
        </w:rPr>
        <w:t xml:space="preserve">con lo cual se agiliza el registro de </w:t>
      </w:r>
      <w:r w:rsidRPr="00216007">
        <w:rPr>
          <w:rFonts w:cs="Arial"/>
        </w:rPr>
        <w:t>las transacciones en la red del transporte público.</w:t>
      </w:r>
      <w:bookmarkEnd w:id="13"/>
    </w:p>
    <w:bookmarkEnd w:id="14"/>
    <w:p w14:paraId="0E5324E0" w14:textId="77777777" w:rsidR="007A7839" w:rsidRDefault="007A7839" w:rsidP="00E23D98">
      <w:pPr>
        <w:pStyle w:val="ListaVietas"/>
        <w:tabs>
          <w:tab w:val="clear" w:pos="425"/>
        </w:tabs>
        <w:spacing w:line="276" w:lineRule="auto"/>
      </w:pPr>
      <w:r w:rsidRPr="00DB60C1">
        <w:rPr>
          <w:rFonts w:cs="Arial"/>
        </w:rPr>
        <w:t xml:space="preserve">CTP: </w:t>
      </w:r>
      <w:r w:rsidRPr="00C70FA8">
        <w:rPr>
          <w:rFonts w:cs="Arial"/>
        </w:rPr>
        <w:t>Consejo de</w:t>
      </w:r>
      <w:r w:rsidRPr="008A0C76">
        <w:rPr>
          <w:rFonts w:cs="Arial"/>
        </w:rPr>
        <w:t xml:space="preserve"> Transporte Público</w:t>
      </w:r>
      <w:r>
        <w:rPr>
          <w:rFonts w:cs="Arial"/>
        </w:rPr>
        <w:t xml:space="preserve">. Es </w:t>
      </w:r>
      <w:r w:rsidRPr="008A0C76">
        <w:rPr>
          <w:rFonts w:cs="Arial"/>
        </w:rPr>
        <w:t>un órgano de desconcentración máxima del MOPT,</w:t>
      </w:r>
      <w:r w:rsidRPr="008A0C76">
        <w:t xml:space="preserve"> responsable de regular, planificar y supervisar la operación de los servicios de transporte en la modalidad </w:t>
      </w:r>
      <w:r>
        <w:t xml:space="preserve">de </w:t>
      </w:r>
      <w:r w:rsidRPr="008A0C76">
        <w:t>autobús de ruta regular.</w:t>
      </w:r>
    </w:p>
    <w:p w14:paraId="26BA6537" w14:textId="77777777" w:rsidR="007A7839" w:rsidRDefault="007A7839" w:rsidP="00E23D98">
      <w:pPr>
        <w:pStyle w:val="ListaVietas"/>
        <w:tabs>
          <w:tab w:val="clear" w:pos="425"/>
        </w:tabs>
        <w:spacing w:line="276" w:lineRule="auto"/>
        <w:rPr>
          <w:rFonts w:cs="Arial"/>
        </w:rPr>
      </w:pPr>
      <w:r>
        <w:rPr>
          <w:rFonts w:cs="Arial"/>
        </w:rPr>
        <w:t>Cuenta SINPE: cuenta de fondos abierta por una entidad financiera en el BCCR para atender la liquidación de sus operaciones en el sistema de pagos.</w:t>
      </w:r>
    </w:p>
    <w:p w14:paraId="57C9BF87" w14:textId="77777777" w:rsidR="007A7839" w:rsidRPr="007C33C8" w:rsidRDefault="007A7839" w:rsidP="00E23D98">
      <w:pPr>
        <w:pStyle w:val="ListaVietas"/>
        <w:tabs>
          <w:tab w:val="clear" w:pos="425"/>
        </w:tabs>
        <w:spacing w:line="276" w:lineRule="auto"/>
        <w:ind w:left="397" w:hanging="340"/>
        <w:rPr>
          <w:rFonts w:cs="Arial"/>
        </w:rPr>
      </w:pPr>
      <w:bookmarkStart w:id="15" w:name="_Hlk134107372"/>
      <w:r>
        <w:rPr>
          <w:rFonts w:cs="Arial"/>
        </w:rPr>
        <w:t xml:space="preserve">Departamento SINPE-TP: </w:t>
      </w:r>
      <w:r w:rsidRPr="00793F98">
        <w:rPr>
          <w:rFonts w:cs="Arial"/>
        </w:rPr>
        <w:t xml:space="preserve">Departamento Sistema </w:t>
      </w:r>
      <w:r>
        <w:rPr>
          <w:rFonts w:cs="Arial"/>
        </w:rPr>
        <w:t xml:space="preserve">Nacional </w:t>
      </w:r>
      <w:r w:rsidRPr="00793F98">
        <w:rPr>
          <w:rFonts w:cs="Arial"/>
        </w:rPr>
        <w:t>de Pago Electrónico en el Transporte Público</w:t>
      </w:r>
      <w:r>
        <w:rPr>
          <w:rFonts w:cs="Arial"/>
        </w:rPr>
        <w:t xml:space="preserve">, </w:t>
      </w:r>
      <w:r w:rsidRPr="009F78D7">
        <w:rPr>
          <w:rFonts w:cs="Arial"/>
          <w:lang w:val="es-ES_tradnl" w:eastAsia="es-ES"/>
        </w:rPr>
        <w:t>adscrito a la División Sistemas de Pago</w:t>
      </w:r>
      <w:r>
        <w:rPr>
          <w:rFonts w:cs="Arial"/>
          <w:lang w:val="es-ES_tradnl" w:eastAsia="es-ES"/>
        </w:rPr>
        <w:t xml:space="preserve"> del BCCR.</w:t>
      </w:r>
    </w:p>
    <w:p w14:paraId="71C581FF" w14:textId="77777777" w:rsidR="007A7839" w:rsidRPr="007964FB" w:rsidRDefault="007A7839" w:rsidP="00E23D98">
      <w:pPr>
        <w:pStyle w:val="ListaVietas"/>
        <w:tabs>
          <w:tab w:val="clear" w:pos="425"/>
        </w:tabs>
        <w:spacing w:line="276" w:lineRule="auto"/>
        <w:rPr>
          <w:rFonts w:cs="Arial"/>
        </w:rPr>
      </w:pPr>
      <w:r>
        <w:t xml:space="preserve">Dispositivo de pago: instrumento de pago </w:t>
      </w:r>
      <w:r w:rsidRPr="00CF263B">
        <w:rPr>
          <w:i/>
          <w:iCs/>
        </w:rPr>
        <w:t>EMV-Contactless</w:t>
      </w:r>
      <w:r>
        <w:t xml:space="preserve"> en sus diferentes presentaciones, tales como: tarjetas de débito, crédito o prepago, así como wearables y cualquier otro tipo de instrumento </w:t>
      </w:r>
      <w:r w:rsidRPr="003A264C">
        <w:t>EMV</w:t>
      </w:r>
      <w:r>
        <w:t xml:space="preserve"> emitido bajo una marca de tarjetas y vinculado a cuentas de débito, crédito o prepago, o cualquier otro tipo de cuenta de fondo de los clientes.</w:t>
      </w:r>
    </w:p>
    <w:p w14:paraId="4118F951" w14:textId="77777777" w:rsidR="007A7839" w:rsidRPr="00A914F9" w:rsidRDefault="007A7839" w:rsidP="00E23D98">
      <w:pPr>
        <w:pStyle w:val="ListaVietas"/>
        <w:tabs>
          <w:tab w:val="clear" w:pos="425"/>
        </w:tabs>
        <w:spacing w:line="276" w:lineRule="auto"/>
        <w:rPr>
          <w:rFonts w:cs="Arial"/>
        </w:rPr>
      </w:pPr>
      <w:r w:rsidRPr="007964FB">
        <w:rPr>
          <w:rFonts w:cs="Arial"/>
          <w:lang w:val="es-ES_tradnl"/>
        </w:rPr>
        <w:t>Emisor</w:t>
      </w:r>
      <w:r w:rsidRPr="00A914F9">
        <w:rPr>
          <w:rFonts w:cs="Arial"/>
        </w:rPr>
        <w:t xml:space="preserve">: entidad financiera que entrega dispositivos de pago </w:t>
      </w:r>
      <w:r w:rsidRPr="00CF263B">
        <w:rPr>
          <w:i/>
          <w:iCs/>
        </w:rPr>
        <w:t>EMV-Contactless</w:t>
      </w:r>
      <w:r w:rsidRPr="00A914F9">
        <w:rPr>
          <w:rFonts w:cs="Arial"/>
        </w:rPr>
        <w:t xml:space="preserve"> a sus clientes, emitidos bajo las franquicias de las marcas </w:t>
      </w:r>
      <w:r>
        <w:rPr>
          <w:rFonts w:cs="Arial"/>
        </w:rPr>
        <w:t>de tarjetas</w:t>
      </w:r>
      <w:r w:rsidRPr="00A914F9">
        <w:rPr>
          <w:rFonts w:cs="Arial"/>
        </w:rPr>
        <w:t xml:space="preserve"> VISA, MasterCard y American Express.</w:t>
      </w:r>
      <w:r>
        <w:rPr>
          <w:rFonts w:cs="Arial"/>
        </w:rPr>
        <w:t xml:space="preserve"> </w:t>
      </w:r>
      <w:r w:rsidRPr="00A914F9">
        <w:rPr>
          <w:rFonts w:cs="Arial"/>
        </w:rPr>
        <w:t xml:space="preserve">Al emisor se le denomina “nacional” cuando se encuentra domiciliado en Costa Rica, e “internacional” cuando </w:t>
      </w:r>
      <w:r>
        <w:rPr>
          <w:rFonts w:cs="Arial"/>
        </w:rPr>
        <w:t>se trata de</w:t>
      </w:r>
      <w:r w:rsidRPr="00A914F9">
        <w:rPr>
          <w:rFonts w:cs="Arial"/>
        </w:rPr>
        <w:t xml:space="preserve"> una entidad del extranjero.</w:t>
      </w:r>
    </w:p>
    <w:p w14:paraId="76215EA1" w14:textId="77777777" w:rsidR="007A7839" w:rsidRPr="00DB60C1" w:rsidRDefault="007A7839" w:rsidP="00E23D98">
      <w:pPr>
        <w:pStyle w:val="ListaVietas"/>
        <w:tabs>
          <w:tab w:val="clear" w:pos="425"/>
        </w:tabs>
        <w:spacing w:line="276" w:lineRule="auto"/>
        <w:rPr>
          <w:rFonts w:cs="Arial"/>
        </w:rPr>
      </w:pPr>
      <w:r w:rsidRPr="00C70FA8">
        <w:rPr>
          <w:rFonts w:cs="Arial"/>
          <w:lang w:val="es-ES_tradnl"/>
        </w:rPr>
        <w:t xml:space="preserve">EMV: siglas de </w:t>
      </w:r>
      <w:r>
        <w:rPr>
          <w:rFonts w:cs="Arial"/>
          <w:lang w:val="es-ES_tradnl"/>
        </w:rPr>
        <w:t>“</w:t>
      </w:r>
      <w:r w:rsidRPr="00CF263B">
        <w:rPr>
          <w:rFonts w:eastAsia="Calibri"/>
          <w:i/>
          <w:iCs/>
        </w:rPr>
        <w:t>Europay-MasterCard-VISA</w:t>
      </w:r>
      <w:r>
        <w:rPr>
          <w:rFonts w:eastAsia="Calibri"/>
        </w:rPr>
        <w:t>”</w:t>
      </w:r>
      <w:r>
        <w:rPr>
          <w:rFonts w:cs="Arial"/>
          <w:lang w:val="es-ES_tradnl"/>
        </w:rPr>
        <w:t xml:space="preserve">. Es </w:t>
      </w:r>
      <w:r w:rsidRPr="00C70FA8">
        <w:rPr>
          <w:rFonts w:cs="Arial"/>
          <w:lang w:val="es-ES_tradnl"/>
        </w:rPr>
        <w:t xml:space="preserve">un estándar de interoperabilidad de </w:t>
      </w:r>
      <w:r>
        <w:rPr>
          <w:rFonts w:cs="Arial"/>
          <w:lang w:val="es-ES_tradnl"/>
        </w:rPr>
        <w:t xml:space="preserve">dispositivos de pago </w:t>
      </w:r>
      <w:r w:rsidRPr="00DF0E20">
        <w:rPr>
          <w:color w:val="000000"/>
        </w:rPr>
        <w:t>con soporte de circuito integrado</w:t>
      </w:r>
      <w:r>
        <w:rPr>
          <w:color w:val="000000"/>
        </w:rPr>
        <w:t xml:space="preserve"> </w:t>
      </w:r>
      <w:r w:rsidRPr="00DF0E20">
        <w:rPr>
          <w:color w:val="000000"/>
        </w:rPr>
        <w:t>IC</w:t>
      </w:r>
      <w:r w:rsidRPr="00C70FA8">
        <w:rPr>
          <w:rFonts w:cs="Arial"/>
          <w:lang w:val="es-ES_tradnl"/>
        </w:rPr>
        <w:t xml:space="preserve">, creado por la firma EMVCo para la autenticación de pagos </w:t>
      </w:r>
      <w:r>
        <w:rPr>
          <w:rFonts w:cs="Arial"/>
          <w:lang w:val="es-ES_tradnl"/>
        </w:rPr>
        <w:t xml:space="preserve">realizados con </w:t>
      </w:r>
      <w:r w:rsidRPr="00C70FA8">
        <w:rPr>
          <w:rFonts w:cs="Arial"/>
          <w:lang w:val="es-ES_tradnl"/>
        </w:rPr>
        <w:t>tarjetas de débito, crédito y prepago</w:t>
      </w:r>
      <w:r>
        <w:rPr>
          <w:rFonts w:cs="Arial"/>
          <w:lang w:val="es-ES_tradnl"/>
        </w:rPr>
        <w:t xml:space="preserve">, así como con sus accesorios o </w:t>
      </w:r>
      <w:r w:rsidRPr="00CF263B">
        <w:rPr>
          <w:rFonts w:cs="Arial"/>
          <w:i/>
          <w:iCs/>
          <w:lang w:val="es-ES_tradnl"/>
        </w:rPr>
        <w:t>wearables</w:t>
      </w:r>
      <w:r>
        <w:rPr>
          <w:rFonts w:cs="Arial"/>
          <w:lang w:val="es-ES_tradnl"/>
        </w:rPr>
        <w:t xml:space="preserve"> vinculados</w:t>
      </w:r>
      <w:r w:rsidRPr="00C70FA8">
        <w:rPr>
          <w:rFonts w:cs="Arial"/>
          <w:lang w:val="es-ES_tradnl"/>
        </w:rPr>
        <w:t>. Mediante</w:t>
      </w:r>
      <w:r w:rsidRPr="00DB60C1">
        <w:rPr>
          <w:rFonts w:cs="Arial"/>
          <w:lang w:val="es-ES_tradnl"/>
        </w:rPr>
        <w:t xml:space="preserve"> el uso de un microprocesador criptográfico (chip), define las condiciones de la interacción entre las tarjetas y los </w:t>
      </w:r>
      <w:r>
        <w:rPr>
          <w:rFonts w:cs="Arial"/>
          <w:lang w:val="es-ES_tradnl"/>
        </w:rPr>
        <w:t xml:space="preserve">validadores </w:t>
      </w:r>
      <w:r w:rsidRPr="00DB60C1">
        <w:rPr>
          <w:rFonts w:cs="Arial"/>
          <w:lang w:val="es-ES_tradnl"/>
        </w:rPr>
        <w:t>para llevar a cabo las transacciones.</w:t>
      </w:r>
      <w:r>
        <w:rPr>
          <w:rFonts w:cs="Arial"/>
          <w:lang w:val="es-ES_tradnl"/>
        </w:rPr>
        <w:t xml:space="preserve"> </w:t>
      </w:r>
      <w:r w:rsidRPr="00DB60C1">
        <w:rPr>
          <w:rFonts w:cs="Arial"/>
          <w:lang w:val="es-ES_tradnl"/>
        </w:rPr>
        <w:t>Una parte de su tecnología está basada en la norma ISO/IEC 7816 para la identificación de tarjetas inteligentes.</w:t>
      </w:r>
    </w:p>
    <w:p w14:paraId="79384E41" w14:textId="77777777" w:rsidR="007A7839" w:rsidRDefault="007A7839" w:rsidP="00E23D98">
      <w:pPr>
        <w:pStyle w:val="ListaVietas"/>
        <w:tabs>
          <w:tab w:val="clear" w:pos="425"/>
        </w:tabs>
        <w:spacing w:line="276" w:lineRule="auto"/>
        <w:rPr>
          <w:rFonts w:cs="Arial"/>
        </w:rPr>
      </w:pPr>
      <w:bookmarkStart w:id="16" w:name="_Hlk134108260"/>
      <w:bookmarkEnd w:id="15"/>
      <w:r w:rsidRPr="008A0C76">
        <w:rPr>
          <w:rFonts w:cs="Arial"/>
        </w:rPr>
        <w:t>Incofer: Instituto Costarricense de Ferrocarriles</w:t>
      </w:r>
      <w:r>
        <w:rPr>
          <w:rFonts w:cs="Arial"/>
        </w:rPr>
        <w:t xml:space="preserve">. Es </w:t>
      </w:r>
      <w:r w:rsidRPr="008A0C76">
        <w:rPr>
          <w:rFonts w:cs="Arial"/>
        </w:rPr>
        <w:t xml:space="preserve">el </w:t>
      </w:r>
      <w:r>
        <w:rPr>
          <w:rFonts w:cs="Arial"/>
        </w:rPr>
        <w:t>ente regulador</w:t>
      </w:r>
      <w:r w:rsidRPr="008A0C76">
        <w:rPr>
          <w:rFonts w:cs="Arial"/>
        </w:rPr>
        <w:t xml:space="preserve"> y operador del servicio de tren de pasajeros.</w:t>
      </w:r>
    </w:p>
    <w:p w14:paraId="001F18EA" w14:textId="77777777" w:rsidR="007A7839" w:rsidRPr="008A0C76" w:rsidRDefault="007A7839" w:rsidP="00E23D98">
      <w:pPr>
        <w:pStyle w:val="ListaVietas"/>
        <w:tabs>
          <w:tab w:val="clear" w:pos="425"/>
        </w:tabs>
        <w:spacing w:line="276" w:lineRule="auto"/>
        <w:rPr>
          <w:rFonts w:cs="Arial"/>
        </w:rPr>
      </w:pPr>
      <w:r>
        <w:rPr>
          <w:rFonts w:cs="Arial"/>
        </w:rPr>
        <w:t>Inspector: p</w:t>
      </w:r>
      <w:r w:rsidRPr="00CF263B">
        <w:rPr>
          <w:rFonts w:cs="Arial"/>
        </w:rPr>
        <w:t>ersona física encargada de verificar el pago correcto de la tarifa</w:t>
      </w:r>
      <w:r>
        <w:rPr>
          <w:rFonts w:cs="Arial"/>
        </w:rPr>
        <w:t xml:space="preserve"> </w:t>
      </w:r>
      <w:r w:rsidRPr="00CF263B">
        <w:rPr>
          <w:rFonts w:cs="Arial"/>
        </w:rPr>
        <w:t>por parte de los pasajeros</w:t>
      </w:r>
      <w:r>
        <w:rPr>
          <w:rFonts w:cs="Arial"/>
        </w:rPr>
        <w:t xml:space="preserve"> (transacciones SINPE-TP)</w:t>
      </w:r>
      <w:r w:rsidRPr="00CF263B">
        <w:rPr>
          <w:rFonts w:cs="Arial"/>
        </w:rPr>
        <w:t>, ya sea en las terminales de abordaje o dentro de las unidades de transporte.</w:t>
      </w:r>
      <w:r>
        <w:rPr>
          <w:rFonts w:cs="Arial"/>
        </w:rPr>
        <w:t xml:space="preserve"> </w:t>
      </w:r>
      <w:r w:rsidRPr="00CF263B">
        <w:rPr>
          <w:rFonts w:cs="Arial"/>
        </w:rPr>
        <w:t>Este rol también puede ser ejecutado por los cobradores.</w:t>
      </w:r>
    </w:p>
    <w:p w14:paraId="440B81E1" w14:textId="77777777" w:rsidR="007A7839" w:rsidRDefault="007A7839" w:rsidP="00E23D98">
      <w:pPr>
        <w:pStyle w:val="ListaVietas"/>
        <w:tabs>
          <w:tab w:val="clear" w:pos="425"/>
        </w:tabs>
        <w:spacing w:line="276" w:lineRule="auto"/>
        <w:rPr>
          <w:rFonts w:cs="Arial"/>
        </w:rPr>
      </w:pPr>
      <w:bookmarkStart w:id="17" w:name="_Hlk134108527"/>
      <w:bookmarkEnd w:id="16"/>
      <w:r w:rsidRPr="00AA4D5B">
        <w:rPr>
          <w:rFonts w:cs="Arial"/>
        </w:rPr>
        <w:t>Lector de dispositivos de</w:t>
      </w:r>
      <w:r w:rsidRPr="00D8448E">
        <w:rPr>
          <w:rFonts w:cs="Arial"/>
        </w:rPr>
        <w:t xml:space="preserve"> pago: equipo tecnológico con la capacidad de procesar pagos</w:t>
      </w:r>
      <w:r>
        <w:rPr>
          <w:rFonts w:cs="Arial"/>
        </w:rPr>
        <w:t xml:space="preserve"> </w:t>
      </w:r>
      <w:r w:rsidRPr="00D8448E">
        <w:rPr>
          <w:rFonts w:cs="Arial"/>
        </w:rPr>
        <w:t xml:space="preserve">con el estándar </w:t>
      </w:r>
      <w:r w:rsidRPr="00C17DA8">
        <w:rPr>
          <w:rFonts w:cs="Arial"/>
          <w:i/>
          <w:iCs/>
        </w:rPr>
        <w:t>EMV</w:t>
      </w:r>
      <w:r>
        <w:rPr>
          <w:rFonts w:cs="Arial"/>
          <w:i/>
          <w:iCs/>
        </w:rPr>
        <w:t>-</w:t>
      </w:r>
      <w:r w:rsidRPr="00C17DA8">
        <w:rPr>
          <w:rFonts w:cs="Arial"/>
          <w:i/>
          <w:iCs/>
        </w:rPr>
        <w:t>Contactless</w:t>
      </w:r>
      <w:r>
        <w:rPr>
          <w:rFonts w:cs="Arial"/>
        </w:rPr>
        <w:t xml:space="preserve"> (</w:t>
      </w:r>
      <w:r w:rsidRPr="00AA4D5B">
        <w:rPr>
          <w:rFonts w:cs="Arial"/>
        </w:rPr>
        <w:t xml:space="preserve">también conocido </w:t>
      </w:r>
      <w:r w:rsidRPr="00D8448E">
        <w:rPr>
          <w:rFonts w:cs="Arial"/>
        </w:rPr>
        <w:t xml:space="preserve">en el mercado como “Lector </w:t>
      </w:r>
      <w:r w:rsidRPr="003A264C">
        <w:rPr>
          <w:rFonts w:cs="Arial"/>
        </w:rPr>
        <w:t>EMV</w:t>
      </w:r>
      <w:r w:rsidRPr="00D8448E">
        <w:rPr>
          <w:rFonts w:cs="Arial"/>
        </w:rPr>
        <w:t>”</w:t>
      </w:r>
      <w:r>
        <w:rPr>
          <w:rFonts w:cs="Arial"/>
        </w:rPr>
        <w:t xml:space="preserve">). Este equipo puede ser </w:t>
      </w:r>
      <w:r w:rsidRPr="00D8448E">
        <w:rPr>
          <w:rFonts w:cs="Arial"/>
        </w:rPr>
        <w:t xml:space="preserve">independiente </w:t>
      </w:r>
      <w:r>
        <w:rPr>
          <w:rFonts w:cs="Arial"/>
        </w:rPr>
        <w:t xml:space="preserve">o </w:t>
      </w:r>
      <w:r w:rsidRPr="00D8448E">
        <w:rPr>
          <w:rFonts w:cs="Arial"/>
        </w:rPr>
        <w:t xml:space="preserve">dependiente. </w:t>
      </w:r>
    </w:p>
    <w:p w14:paraId="0882696A" w14:textId="77777777" w:rsidR="007A7839" w:rsidRPr="00C17DA8" w:rsidRDefault="007A7839" w:rsidP="00E23D98">
      <w:pPr>
        <w:pStyle w:val="ListaVietas"/>
        <w:numPr>
          <w:ilvl w:val="0"/>
          <w:numId w:val="0"/>
        </w:numPr>
        <w:spacing w:line="276" w:lineRule="auto"/>
        <w:ind w:left="369"/>
        <w:rPr>
          <w:rFonts w:cs="Arial"/>
        </w:rPr>
      </w:pPr>
      <w:r w:rsidRPr="00D8448E">
        <w:rPr>
          <w:rFonts w:cs="Arial"/>
        </w:rPr>
        <w:t xml:space="preserve">Un lector </w:t>
      </w:r>
      <w:r>
        <w:rPr>
          <w:rFonts w:cs="Arial"/>
        </w:rPr>
        <w:t xml:space="preserve">es </w:t>
      </w:r>
      <w:r w:rsidRPr="00D8448E">
        <w:rPr>
          <w:rFonts w:cs="Arial"/>
        </w:rPr>
        <w:t xml:space="preserve">independiente </w:t>
      </w:r>
      <w:r>
        <w:rPr>
          <w:rFonts w:cs="Arial"/>
        </w:rPr>
        <w:t xml:space="preserve">cuando posee recursos propios con los que </w:t>
      </w:r>
      <w:r w:rsidRPr="00D8448E">
        <w:rPr>
          <w:rFonts w:cs="Arial"/>
        </w:rPr>
        <w:t xml:space="preserve">corre un </w:t>
      </w:r>
      <w:r w:rsidRPr="00C17DA8">
        <w:rPr>
          <w:rFonts w:cs="Arial"/>
        </w:rPr>
        <w:t xml:space="preserve">sistema operativo y ejecuta programas en él. </w:t>
      </w:r>
      <w:r>
        <w:rPr>
          <w:rFonts w:cs="Arial"/>
        </w:rPr>
        <w:t xml:space="preserve">En contraposición, el </w:t>
      </w:r>
      <w:r w:rsidRPr="00C17DA8">
        <w:rPr>
          <w:rFonts w:cs="Arial"/>
        </w:rPr>
        <w:t xml:space="preserve">lector </w:t>
      </w:r>
      <w:r>
        <w:rPr>
          <w:rFonts w:cs="Arial"/>
        </w:rPr>
        <w:t xml:space="preserve">es </w:t>
      </w:r>
      <w:r w:rsidRPr="00C17DA8">
        <w:rPr>
          <w:rFonts w:cs="Arial"/>
        </w:rPr>
        <w:t xml:space="preserve">dependiente </w:t>
      </w:r>
      <w:r>
        <w:rPr>
          <w:rFonts w:cs="Arial"/>
        </w:rPr>
        <w:t xml:space="preserve">cuando </w:t>
      </w:r>
      <w:r w:rsidRPr="00C17DA8">
        <w:rPr>
          <w:rFonts w:cs="Arial"/>
        </w:rPr>
        <w:t xml:space="preserve">requiere ser operado </w:t>
      </w:r>
      <w:r w:rsidRPr="00C17DA8">
        <w:rPr>
          <w:rFonts w:cs="Arial"/>
        </w:rPr>
        <w:lastRenderedPageBreak/>
        <w:t>por un dispositivo externo como un validador o un computador, y no es posible ejecutar programas en él</w:t>
      </w:r>
      <w:r>
        <w:rPr>
          <w:rFonts w:cs="Arial"/>
        </w:rPr>
        <w:t xml:space="preserve"> de manera autónoma.</w:t>
      </w:r>
    </w:p>
    <w:p w14:paraId="0E12ACC0" w14:textId="77777777" w:rsidR="007A7839" w:rsidRDefault="007A7839" w:rsidP="00E23D98">
      <w:pPr>
        <w:pStyle w:val="ListaVietas"/>
        <w:tabs>
          <w:tab w:val="clear" w:pos="425"/>
        </w:tabs>
        <w:spacing w:line="276" w:lineRule="auto"/>
        <w:rPr>
          <w:rFonts w:cs="Arial"/>
        </w:rPr>
      </w:pPr>
      <w:bookmarkStart w:id="18" w:name="_Hlk178589466"/>
      <w:r>
        <w:rPr>
          <w:rFonts w:cs="Arial"/>
        </w:rPr>
        <w:t xml:space="preserve">Ley 7558: Ley Orgánica del Banco Central de Costa Rica, del 3 de noviembre de 1995. </w:t>
      </w:r>
    </w:p>
    <w:p w14:paraId="7D79FFCA" w14:textId="77777777" w:rsidR="007A7839" w:rsidRPr="00507EF3" w:rsidRDefault="007A7839" w:rsidP="00E23D98">
      <w:pPr>
        <w:pStyle w:val="ListaVietas"/>
        <w:tabs>
          <w:tab w:val="clear" w:pos="425"/>
        </w:tabs>
        <w:spacing w:line="276" w:lineRule="auto"/>
        <w:rPr>
          <w:rFonts w:cs="Arial"/>
        </w:rPr>
      </w:pPr>
      <w:r w:rsidRPr="00CF263B">
        <w:rPr>
          <w:rFonts w:cs="Arial"/>
        </w:rPr>
        <w:t xml:space="preserve">Lista de denegación: registro de dispositivos de pago reportados por los emisores cuando presentan alguna condición temporal o permanente por la que no pueden ser admitidos o utilizados para el pago de viajes </w:t>
      </w:r>
      <w:r>
        <w:rPr>
          <w:rFonts w:cs="Arial"/>
        </w:rPr>
        <w:t xml:space="preserve">mediante el servicio </w:t>
      </w:r>
      <w:r w:rsidRPr="00CF263B">
        <w:rPr>
          <w:rFonts w:cs="Arial"/>
        </w:rPr>
        <w:t>SINPE−TP. Esta lista es administrada por el BCCR como un recurso para la gestión de riesgos.</w:t>
      </w:r>
    </w:p>
    <w:p w14:paraId="4C56D182" w14:textId="77777777" w:rsidR="007A7839" w:rsidRPr="0085276B" w:rsidRDefault="007A7839" w:rsidP="00E23D98">
      <w:pPr>
        <w:pStyle w:val="ListaVietas"/>
        <w:tabs>
          <w:tab w:val="clear" w:pos="425"/>
        </w:tabs>
        <w:spacing w:line="276" w:lineRule="auto"/>
        <w:rPr>
          <w:rFonts w:cs="Arial"/>
        </w:rPr>
      </w:pPr>
      <w:r w:rsidRPr="00793F98">
        <w:rPr>
          <w:rFonts w:cs="Arial"/>
        </w:rPr>
        <w:t xml:space="preserve">Marca: </w:t>
      </w:r>
      <w:r w:rsidRPr="00603C8A">
        <w:rPr>
          <w:rFonts w:cs="Arial"/>
          <w:color w:val="000000"/>
          <w:lang w:eastAsia="es-CR"/>
        </w:rPr>
        <w:t>del inglés “</w:t>
      </w:r>
      <w:r w:rsidRPr="00CF263B">
        <w:rPr>
          <w:rFonts w:cs="Arial"/>
          <w:i/>
          <w:iCs/>
          <w:color w:val="000000"/>
          <w:lang w:eastAsia="es-CR"/>
        </w:rPr>
        <w:t>TAP</w:t>
      </w:r>
      <w:r w:rsidRPr="00603C8A">
        <w:rPr>
          <w:rFonts w:cs="Arial"/>
          <w:color w:val="000000"/>
          <w:lang w:eastAsia="es-CR"/>
        </w:rPr>
        <w:t>” (</w:t>
      </w:r>
      <w:r w:rsidRPr="00603C8A">
        <w:rPr>
          <w:rFonts w:cs="Arial"/>
          <w:i/>
          <w:iCs/>
          <w:color w:val="000000"/>
          <w:lang w:eastAsia="es-CR"/>
        </w:rPr>
        <w:t>Transit Access Pass</w:t>
      </w:r>
      <w:r w:rsidRPr="00603C8A">
        <w:rPr>
          <w:rFonts w:cs="Arial"/>
          <w:color w:val="000000"/>
          <w:lang w:eastAsia="es-CR"/>
        </w:rPr>
        <w:t>)</w:t>
      </w:r>
      <w:r>
        <w:rPr>
          <w:rFonts w:cs="Arial"/>
          <w:color w:val="000000"/>
          <w:lang w:eastAsia="es-CR"/>
        </w:rPr>
        <w:t>. Es</w:t>
      </w:r>
      <w:r w:rsidRPr="00603C8A">
        <w:rPr>
          <w:rFonts w:cs="Arial"/>
          <w:color w:val="000000"/>
          <w:lang w:eastAsia="es-CR"/>
        </w:rPr>
        <w:t xml:space="preserve"> el registro electrónico que realiza el pasajero en un validador de SINPE-TP para pagar la tarifa</w:t>
      </w:r>
      <w:r>
        <w:rPr>
          <w:rFonts w:cs="Arial"/>
          <w:color w:val="000000"/>
          <w:lang w:eastAsia="es-CR"/>
        </w:rPr>
        <w:t xml:space="preserve">. Este registro </w:t>
      </w:r>
      <w:r w:rsidRPr="00603C8A">
        <w:rPr>
          <w:rFonts w:cs="Arial"/>
          <w:color w:val="000000"/>
          <w:lang w:eastAsia="es-CR"/>
        </w:rPr>
        <w:t xml:space="preserve">es enviado </w:t>
      </w:r>
      <w:r>
        <w:rPr>
          <w:rFonts w:cs="Arial"/>
          <w:color w:val="000000"/>
          <w:lang w:eastAsia="es-CR"/>
        </w:rPr>
        <w:t xml:space="preserve">en forma automática </w:t>
      </w:r>
      <w:r w:rsidRPr="00603C8A">
        <w:rPr>
          <w:rFonts w:cs="Arial"/>
          <w:color w:val="000000"/>
          <w:lang w:eastAsia="es-CR"/>
        </w:rPr>
        <w:t xml:space="preserve">por </w:t>
      </w:r>
      <w:r>
        <w:rPr>
          <w:rFonts w:cs="Arial"/>
          <w:color w:val="000000"/>
          <w:lang w:eastAsia="es-CR"/>
        </w:rPr>
        <w:t xml:space="preserve">el validador </w:t>
      </w:r>
      <w:r w:rsidRPr="00603C8A">
        <w:rPr>
          <w:rFonts w:cs="Arial"/>
          <w:color w:val="000000"/>
          <w:lang w:eastAsia="es-CR"/>
        </w:rPr>
        <w:t>al Sistema Central de Recaudo para su procesamiento</w:t>
      </w:r>
      <w:r>
        <w:rPr>
          <w:rFonts w:cs="Arial"/>
          <w:color w:val="000000"/>
          <w:lang w:eastAsia="es-CR"/>
        </w:rPr>
        <w:t xml:space="preserve">, de acuerdo con las reglas de </w:t>
      </w:r>
      <w:r w:rsidRPr="00603C8A">
        <w:rPr>
          <w:rFonts w:cs="Arial"/>
          <w:color w:val="000000"/>
          <w:lang w:eastAsia="es-CR"/>
        </w:rPr>
        <w:t>liquidación</w:t>
      </w:r>
      <w:r>
        <w:rPr>
          <w:rFonts w:cs="Arial"/>
          <w:color w:val="000000"/>
          <w:lang w:eastAsia="es-CR"/>
        </w:rPr>
        <w:t xml:space="preserve"> del servicio SINPE-TP</w:t>
      </w:r>
      <w:r w:rsidRPr="00793F98">
        <w:t>.</w:t>
      </w:r>
    </w:p>
    <w:p w14:paraId="39B03C12" w14:textId="77777777" w:rsidR="007A7839" w:rsidRDefault="007A7839" w:rsidP="00E23D98">
      <w:pPr>
        <w:pStyle w:val="ListaVietas"/>
        <w:tabs>
          <w:tab w:val="clear" w:pos="425"/>
        </w:tabs>
        <w:spacing w:line="276" w:lineRule="auto"/>
        <w:rPr>
          <w:rFonts w:cs="Arial"/>
        </w:rPr>
      </w:pPr>
      <w:bookmarkStart w:id="19" w:name="_Hlk178585165"/>
      <w:bookmarkEnd w:id="17"/>
      <w:bookmarkEnd w:id="18"/>
      <w:r>
        <w:rPr>
          <w:rFonts w:cs="Arial"/>
        </w:rPr>
        <w:t xml:space="preserve">Marca tardía: registro conocido en la industria de pagos abiertos en el transporte público como </w:t>
      </w:r>
      <w:r>
        <w:rPr>
          <w:rFonts w:cs="Arial"/>
          <w:i/>
          <w:iCs/>
        </w:rPr>
        <w:t>late</w:t>
      </w:r>
      <w:r w:rsidRPr="00793F98">
        <w:rPr>
          <w:rFonts w:cs="Arial"/>
          <w:i/>
          <w:iCs/>
        </w:rPr>
        <w:t xml:space="preserve"> tap</w:t>
      </w:r>
      <w:r>
        <w:rPr>
          <w:rFonts w:cs="Arial"/>
          <w:i/>
          <w:iCs/>
        </w:rPr>
        <w:t xml:space="preserve"> </w:t>
      </w:r>
      <w:r w:rsidRPr="00793F98">
        <w:rPr>
          <w:rFonts w:cs="Arial"/>
        </w:rPr>
        <w:t>(tap tardío</w:t>
      </w:r>
      <w:r w:rsidRPr="001C5271">
        <w:rPr>
          <w:rFonts w:cs="Arial"/>
        </w:rPr>
        <w:t>)</w:t>
      </w:r>
      <w:r>
        <w:rPr>
          <w:rFonts w:cs="Arial"/>
        </w:rPr>
        <w:t>. Se refiere a toda transacción reportada al Sistema Central de Recaudo después de cuatro días naturales de haberse registrado en un validador de SINPE</w:t>
      </w:r>
      <w:r>
        <w:rPr>
          <w:rFonts w:cs="Arial"/>
        </w:rPr>
        <w:noBreakHyphen/>
        <w:t xml:space="preserve">TP. </w:t>
      </w:r>
    </w:p>
    <w:bookmarkEnd w:id="19"/>
    <w:p w14:paraId="38FD6232" w14:textId="77777777" w:rsidR="007A7839" w:rsidRDefault="007A7839" w:rsidP="00E23D98">
      <w:pPr>
        <w:pStyle w:val="ListaVietas"/>
        <w:tabs>
          <w:tab w:val="clear" w:pos="425"/>
        </w:tabs>
        <w:spacing w:line="276" w:lineRule="auto"/>
        <w:rPr>
          <w:rFonts w:cs="Arial"/>
        </w:rPr>
      </w:pPr>
      <w:r w:rsidRPr="00DB60C1">
        <w:rPr>
          <w:rFonts w:cs="Arial"/>
        </w:rPr>
        <w:t xml:space="preserve">Marca </w:t>
      </w:r>
      <w:r w:rsidRPr="00CF176E">
        <w:rPr>
          <w:rFonts w:cs="Arial"/>
        </w:rPr>
        <w:t xml:space="preserve">de tarjetas: empresa con operaciones </w:t>
      </w:r>
      <w:r>
        <w:rPr>
          <w:rFonts w:cs="Arial"/>
        </w:rPr>
        <w:t xml:space="preserve">en el ámbito nacional o </w:t>
      </w:r>
      <w:r w:rsidRPr="00CF176E">
        <w:rPr>
          <w:rFonts w:cs="Arial"/>
        </w:rPr>
        <w:t>internacional que facilita su infraestructura tecnológica para registrar, transportar, procesar, almacenar, compensar o liquidar operaciones realizadas por medio del sistema de tarjetas de pago.</w:t>
      </w:r>
      <w:r>
        <w:rPr>
          <w:rFonts w:cs="Arial"/>
        </w:rPr>
        <w:t xml:space="preserve"> </w:t>
      </w:r>
      <w:r w:rsidRPr="00740B4B">
        <w:rPr>
          <w:rFonts w:cs="Arial"/>
        </w:rPr>
        <w:t xml:space="preserve">En la presente norma </w:t>
      </w:r>
      <w:r>
        <w:rPr>
          <w:rFonts w:cs="Arial"/>
        </w:rPr>
        <w:t xml:space="preserve">complementaria </w:t>
      </w:r>
      <w:r w:rsidRPr="00740B4B">
        <w:rPr>
          <w:rFonts w:cs="Arial"/>
        </w:rPr>
        <w:t>se refiere a las marcas VISA, MasterCard y American Express.</w:t>
      </w:r>
    </w:p>
    <w:p w14:paraId="6BACE1F7" w14:textId="77777777" w:rsidR="007A7839" w:rsidRDefault="007A7839" w:rsidP="00E23D98">
      <w:pPr>
        <w:pStyle w:val="ListaVietas"/>
        <w:tabs>
          <w:tab w:val="clear" w:pos="425"/>
        </w:tabs>
        <w:spacing w:line="276" w:lineRule="auto"/>
        <w:rPr>
          <w:rFonts w:cs="Arial"/>
        </w:rPr>
      </w:pPr>
      <w:r>
        <w:rPr>
          <w:rFonts w:cs="Arial"/>
        </w:rPr>
        <w:t>MOPT: Ministerio de Obras Públicas y Transportes. Es el ente rector del transporte público costarricense.</w:t>
      </w:r>
    </w:p>
    <w:p w14:paraId="6265BDB6" w14:textId="77777777" w:rsidR="007A7839" w:rsidRPr="00CC2DCD" w:rsidRDefault="007A7839" w:rsidP="00E23D98">
      <w:pPr>
        <w:pStyle w:val="ListaVietas"/>
        <w:tabs>
          <w:tab w:val="clear" w:pos="425"/>
        </w:tabs>
        <w:spacing w:line="276" w:lineRule="auto"/>
      </w:pPr>
      <w:r w:rsidRPr="00CC2DCD">
        <w:rPr>
          <w:rFonts w:cs="Arial"/>
        </w:rPr>
        <w:t xml:space="preserve">Operador de transporte: </w:t>
      </w:r>
      <w:r w:rsidRPr="00CC2DCD">
        <w:t xml:space="preserve">persona física o jurídica autorizada por el CTP para la prestación del servicio de transporte público de pasajeros mediante la modalidad </w:t>
      </w:r>
      <w:r>
        <w:t xml:space="preserve">de </w:t>
      </w:r>
      <w:r w:rsidRPr="00CC2DCD">
        <w:t>autobús de ruta regular</w:t>
      </w:r>
      <w:r w:rsidRPr="00CC2DCD">
        <w:rPr>
          <w:rFonts w:cs="Arial"/>
        </w:rPr>
        <w:t>.</w:t>
      </w:r>
      <w:r>
        <w:t xml:space="preserve"> </w:t>
      </w:r>
      <w:r w:rsidRPr="00DF0E20">
        <w:rPr>
          <w:color w:val="000000"/>
        </w:rPr>
        <w:t>La definición también contempla a Incofer y a los operadores de estaciones de peaje</w:t>
      </w:r>
      <w:r w:rsidRPr="00CC2DCD">
        <w:t>.</w:t>
      </w:r>
    </w:p>
    <w:p w14:paraId="742BC80E" w14:textId="77777777" w:rsidR="007A7839" w:rsidRPr="00CF263B" w:rsidRDefault="007A7839" w:rsidP="00E23D98">
      <w:pPr>
        <w:pStyle w:val="ListaVietas"/>
        <w:tabs>
          <w:tab w:val="clear" w:pos="425"/>
        </w:tabs>
        <w:spacing w:line="276" w:lineRule="auto"/>
      </w:pPr>
      <w:r>
        <w:t>Pasajero</w:t>
      </w:r>
      <w:r w:rsidRPr="008A0C76">
        <w:t>: persona física (tarjetahabiente)</w:t>
      </w:r>
      <w:r>
        <w:t xml:space="preserve"> </w:t>
      </w:r>
      <w:r w:rsidRPr="008A0C76">
        <w:t xml:space="preserve">que utiliza los servicios de transporte público y paga el costo del </w:t>
      </w:r>
      <w:r>
        <w:t>viaje</w:t>
      </w:r>
      <w:r w:rsidRPr="008A0C76">
        <w:t xml:space="preserve"> </w:t>
      </w:r>
      <w:r>
        <w:t xml:space="preserve">(tarifa) </w:t>
      </w:r>
      <w:r w:rsidRPr="008A0C76">
        <w:t>por medio del servicio SINPE-TP.</w:t>
      </w:r>
    </w:p>
    <w:p w14:paraId="4EA6B23A" w14:textId="77777777" w:rsidR="007A7839" w:rsidRDefault="007A7839" w:rsidP="00E23D98">
      <w:pPr>
        <w:pStyle w:val="ListaVietas"/>
        <w:tabs>
          <w:tab w:val="clear" w:pos="425"/>
        </w:tabs>
        <w:spacing w:line="276" w:lineRule="auto"/>
      </w:pPr>
      <w:r w:rsidRPr="00CF263B">
        <w:t xml:space="preserve">Pasarela de transporte: también “pasarela de pagos” o simplemente “pasarela”. Se refiere a los servicios de procesamiento de pagos abiertos </w:t>
      </w:r>
      <w:r>
        <w:t xml:space="preserve">(con dispositivos de pago) </w:t>
      </w:r>
      <w:r w:rsidRPr="00CF263B">
        <w:t>que integra SINPE-TP, para enlazar los flujos de información de los validadores con el SCR y los servicios de los dispositivos de pago emitidos por la industria financiera.</w:t>
      </w:r>
    </w:p>
    <w:p w14:paraId="6C103FB2" w14:textId="77777777" w:rsidR="007A7839" w:rsidRPr="00CF263B" w:rsidRDefault="007A7839" w:rsidP="00E23D98">
      <w:pPr>
        <w:pStyle w:val="ListaVietas"/>
        <w:tabs>
          <w:tab w:val="clear" w:pos="425"/>
        </w:tabs>
        <w:spacing w:line="276" w:lineRule="auto"/>
      </w:pPr>
      <w:r w:rsidRPr="00CF263B">
        <w:t>Participante: entidad que desempeña un rol particular en el servicio de validación de SINPE</w:t>
      </w:r>
      <w:r w:rsidRPr="00CF263B">
        <w:noBreakHyphen/>
        <w:t>TP, como los operadores de transporte, proveedores de servicio</w:t>
      </w:r>
      <w:r>
        <w:t>s</w:t>
      </w:r>
      <w:r w:rsidRPr="00CF263B">
        <w:t xml:space="preserve">, proveedores tecnológicos y el BCCR. El proveedor tecnológico participa </w:t>
      </w:r>
      <w:r>
        <w:t xml:space="preserve">a nombre y </w:t>
      </w:r>
      <w:r w:rsidRPr="00CF263B">
        <w:t>por cuenta del operador de transporte que lo contrate.</w:t>
      </w:r>
    </w:p>
    <w:p w14:paraId="46688DB2" w14:textId="77777777" w:rsidR="007A7839" w:rsidRPr="00D62B60" w:rsidRDefault="007A7839" w:rsidP="00E23D98">
      <w:pPr>
        <w:pStyle w:val="ListaVietas"/>
        <w:tabs>
          <w:tab w:val="clear" w:pos="425"/>
        </w:tabs>
        <w:spacing w:line="276" w:lineRule="auto"/>
        <w:rPr>
          <w:rFonts w:cs="Arial"/>
        </w:rPr>
      </w:pPr>
      <w:r w:rsidRPr="00CF176E">
        <w:rPr>
          <w:rFonts w:cs="Arial"/>
          <w:lang w:val="es-ES_tradnl"/>
        </w:rPr>
        <w:t>PCI</w:t>
      </w:r>
      <w:r>
        <w:rPr>
          <w:rFonts w:cs="Arial"/>
          <w:lang w:val="es-ES_tradnl"/>
        </w:rPr>
        <w:t xml:space="preserve"> </w:t>
      </w:r>
      <w:r w:rsidRPr="00CF176E">
        <w:rPr>
          <w:rFonts w:cs="Arial"/>
          <w:lang w:val="es-ES_tradnl"/>
        </w:rPr>
        <w:t xml:space="preserve">DSS: </w:t>
      </w:r>
      <w:r w:rsidRPr="00547ED3">
        <w:rPr>
          <w:rFonts w:cs="Arial"/>
          <w:color w:val="000000"/>
          <w:lang w:eastAsia="es-CR"/>
        </w:rPr>
        <w:t xml:space="preserve">siglas de </w:t>
      </w:r>
      <w:r>
        <w:rPr>
          <w:rFonts w:cs="Arial"/>
          <w:color w:val="000000"/>
          <w:lang w:eastAsia="es-CR"/>
        </w:rPr>
        <w:t>“</w:t>
      </w:r>
      <w:r w:rsidRPr="00CF263B">
        <w:rPr>
          <w:rFonts w:cs="Arial"/>
          <w:i/>
          <w:iCs/>
          <w:color w:val="000000"/>
          <w:lang w:eastAsia="es-CR"/>
        </w:rPr>
        <w:t>Payment Card Industry Data Security Standard</w:t>
      </w:r>
      <w:r>
        <w:rPr>
          <w:rFonts w:cs="Arial"/>
          <w:color w:val="000000"/>
          <w:lang w:eastAsia="es-CR"/>
        </w:rPr>
        <w:t>”</w:t>
      </w:r>
      <w:r w:rsidRPr="00547ED3">
        <w:rPr>
          <w:rFonts w:cs="Arial"/>
          <w:color w:val="000000"/>
          <w:lang w:eastAsia="es-CR"/>
        </w:rPr>
        <w:t xml:space="preserve"> (Estándar de Seguridad de Datos para la Industria de Tarjeta de Pago)</w:t>
      </w:r>
      <w:r>
        <w:rPr>
          <w:rFonts w:cs="Arial"/>
          <w:color w:val="000000"/>
          <w:lang w:eastAsia="es-CR"/>
        </w:rPr>
        <w:t xml:space="preserve">. Es </w:t>
      </w:r>
      <w:r w:rsidRPr="00547ED3">
        <w:rPr>
          <w:rFonts w:cs="Arial"/>
          <w:color w:val="000000"/>
          <w:lang w:eastAsia="es-CR"/>
        </w:rPr>
        <w:t xml:space="preserve">un estándar internacional </w:t>
      </w:r>
      <w:r w:rsidRPr="008B403F">
        <w:rPr>
          <w:rFonts w:cs="Arial"/>
          <w:color w:val="000000"/>
          <w:lang w:eastAsia="es-CR"/>
        </w:rPr>
        <w:t xml:space="preserve">de seguridad de datos </w:t>
      </w:r>
      <w:r w:rsidRPr="00D62B60">
        <w:rPr>
          <w:rFonts w:cs="Arial"/>
          <w:color w:val="000000"/>
          <w:lang w:eastAsia="es-CR"/>
        </w:rPr>
        <w:t>desarrollado para la industria de tarjetas de pago</w:t>
      </w:r>
      <w:r w:rsidRPr="00D62B60">
        <w:rPr>
          <w:rFonts w:cs="Arial"/>
          <w:lang w:val="es-ES_tradnl"/>
        </w:rPr>
        <w:t>.</w:t>
      </w:r>
    </w:p>
    <w:p w14:paraId="3410AD39" w14:textId="77777777" w:rsidR="007A7839" w:rsidRPr="00CF263B" w:rsidRDefault="007A7839" w:rsidP="00E23D98">
      <w:pPr>
        <w:pStyle w:val="ListaVietas"/>
        <w:tabs>
          <w:tab w:val="clear" w:pos="425"/>
        </w:tabs>
        <w:spacing w:line="276" w:lineRule="auto"/>
        <w:rPr>
          <w:rFonts w:cs="Arial"/>
        </w:rPr>
      </w:pPr>
      <w:r w:rsidRPr="00D62B60">
        <w:rPr>
          <w:rFonts w:cs="Arial"/>
        </w:rPr>
        <w:t xml:space="preserve">Proveedor de </w:t>
      </w:r>
      <w:r w:rsidRPr="00D62B60">
        <w:rPr>
          <w:rFonts w:cs="Arial"/>
          <w:lang w:val="es-ES_tradnl"/>
        </w:rPr>
        <w:t>servicios: persona jurídica, pública o privada, que presta algún tipo de servicio como parte de la infraestructura tecnológica y operativa de SINPE-TP.</w:t>
      </w:r>
    </w:p>
    <w:p w14:paraId="7ED22916" w14:textId="77777777" w:rsidR="007A7839" w:rsidRPr="00BD2B5E" w:rsidRDefault="007A7839" w:rsidP="00E23D98">
      <w:pPr>
        <w:pStyle w:val="ListaVietas"/>
        <w:tabs>
          <w:tab w:val="clear" w:pos="425"/>
        </w:tabs>
        <w:spacing w:line="276" w:lineRule="auto"/>
        <w:rPr>
          <w:rFonts w:cs="Arial"/>
        </w:rPr>
      </w:pPr>
      <w:r w:rsidRPr="00CF263B">
        <w:rPr>
          <w:rFonts w:cs="Arial"/>
        </w:rPr>
        <w:t xml:space="preserve">Proveedor tecnológico: empresa autorizada por un fabricante de equipos de validación homologados por el BCCR, para ofrecer en el país </w:t>
      </w:r>
      <w:r>
        <w:rPr>
          <w:rFonts w:cs="Arial"/>
        </w:rPr>
        <w:t>esos</w:t>
      </w:r>
      <w:r w:rsidRPr="00CF263B">
        <w:rPr>
          <w:rFonts w:cs="Arial"/>
        </w:rPr>
        <w:t xml:space="preserve"> equipos a los operadores de transporte, así como servicios de soporte y mantenimiento</w:t>
      </w:r>
      <w:r>
        <w:rPr>
          <w:rFonts w:cs="Arial"/>
        </w:rPr>
        <w:t xml:space="preserve"> relacionados</w:t>
      </w:r>
      <w:r w:rsidRPr="00CF263B">
        <w:rPr>
          <w:rFonts w:cs="Arial"/>
        </w:rPr>
        <w:t>. También puede asesorar a los operadores de transporte en el funcionamiento del servicio de validación de SINPE−TP.</w:t>
      </w:r>
    </w:p>
    <w:p w14:paraId="5F7F38D6" w14:textId="77777777" w:rsidR="007A7839" w:rsidRPr="00266938" w:rsidRDefault="007A7839" w:rsidP="00E23D98">
      <w:pPr>
        <w:pStyle w:val="ListaVietas"/>
        <w:tabs>
          <w:tab w:val="clear" w:pos="425"/>
        </w:tabs>
        <w:spacing w:line="276" w:lineRule="auto"/>
      </w:pPr>
      <w:r w:rsidRPr="00266938">
        <w:rPr>
          <w:rFonts w:cs="Arial"/>
        </w:rPr>
        <w:lastRenderedPageBreak/>
        <w:t xml:space="preserve">Reglamento del Sistema de Pagos: instrumento regulatorio </w:t>
      </w:r>
      <w:r>
        <w:rPr>
          <w:rFonts w:cs="Arial"/>
        </w:rPr>
        <w:t xml:space="preserve">emitido </w:t>
      </w:r>
      <w:r w:rsidRPr="00266938">
        <w:rPr>
          <w:rFonts w:cs="Arial"/>
        </w:rPr>
        <w:t xml:space="preserve">por </w:t>
      </w:r>
      <w:r w:rsidRPr="009237DA">
        <w:rPr>
          <w:rFonts w:cs="Arial"/>
        </w:rPr>
        <w:t xml:space="preserve">la Junta Directiva del </w:t>
      </w:r>
      <w:r w:rsidRPr="00266938">
        <w:rPr>
          <w:rFonts w:cs="Arial"/>
        </w:rPr>
        <w:t>BCCR</w:t>
      </w:r>
      <w:r>
        <w:rPr>
          <w:rFonts w:cs="Arial"/>
        </w:rPr>
        <w:t>, de conformidad con las potestades regulatorias que le confiere el artículo 69 de la ley 7558.</w:t>
      </w:r>
    </w:p>
    <w:p w14:paraId="2EB44FB9" w14:textId="77777777" w:rsidR="007A7839" w:rsidRDefault="007A7839" w:rsidP="00E23D98">
      <w:pPr>
        <w:pStyle w:val="ListaVietas"/>
        <w:tabs>
          <w:tab w:val="clear" w:pos="425"/>
        </w:tabs>
        <w:spacing w:line="276" w:lineRule="auto"/>
      </w:pPr>
      <w:r>
        <w:t xml:space="preserve">Reglamento de SINPE-TP: Reglamento del Sistema Nacional de Pago Electrónico en el Transporte Público, </w:t>
      </w:r>
      <w:r w:rsidRPr="00DD112F">
        <w:rPr>
          <w:rFonts w:cs="Arial"/>
        </w:rPr>
        <w:t>emitido por la Junta Directiva del BCCR</w:t>
      </w:r>
      <w:r>
        <w:rPr>
          <w:rFonts w:cs="Arial"/>
        </w:rPr>
        <w:t xml:space="preserve"> </w:t>
      </w:r>
      <w:r w:rsidRPr="00DD112F">
        <w:rPr>
          <w:rFonts w:cs="Arial"/>
        </w:rPr>
        <w:t>de conformidad con las potestades regulatorias que le confiere el artículo 69 de la ley 7558.</w:t>
      </w:r>
      <w:r>
        <w:t xml:space="preserve"> </w:t>
      </w:r>
    </w:p>
    <w:p w14:paraId="566327D9" w14:textId="77777777" w:rsidR="007A7839" w:rsidRPr="00CF176E" w:rsidRDefault="007A7839" w:rsidP="00E23D98">
      <w:pPr>
        <w:pStyle w:val="ListaVietas"/>
        <w:tabs>
          <w:tab w:val="clear" w:pos="425"/>
        </w:tabs>
        <w:spacing w:line="276" w:lineRule="auto"/>
      </w:pPr>
      <w:r w:rsidRPr="00266938">
        <w:t xml:space="preserve">SINPE: </w:t>
      </w:r>
      <w:bookmarkStart w:id="20" w:name="_Hlk134107763"/>
      <w:r>
        <w:t xml:space="preserve">acrónimo del </w:t>
      </w:r>
      <w:r w:rsidRPr="00266938">
        <w:t>Sistema Nacional de Pagos Electrónicos</w:t>
      </w:r>
      <w:r>
        <w:t xml:space="preserve">. Es </w:t>
      </w:r>
      <w:r w:rsidRPr="00266938">
        <w:t>una plataforma de servicios financieros de</w:t>
      </w:r>
      <w:r w:rsidRPr="00432E74">
        <w:t xml:space="preserve"> pago para la movilización interbancaria de fondos, establecida, regulada y operada por el BCCR</w:t>
      </w:r>
      <w:r>
        <w:t>.</w:t>
      </w:r>
      <w:bookmarkEnd w:id="20"/>
    </w:p>
    <w:p w14:paraId="34FCA027" w14:textId="77777777" w:rsidR="007A7839" w:rsidRDefault="007A7839" w:rsidP="00E23D98">
      <w:pPr>
        <w:pStyle w:val="ListaVietas"/>
        <w:tabs>
          <w:tab w:val="clear" w:pos="425"/>
        </w:tabs>
        <w:spacing w:line="276" w:lineRule="auto"/>
      </w:pPr>
      <w:bookmarkStart w:id="21" w:name="_Hlk134107784"/>
      <w:bookmarkStart w:id="22" w:name="_Hlk134104039"/>
      <w:r w:rsidRPr="00432E74">
        <w:t xml:space="preserve">SINPE-TP: </w:t>
      </w:r>
      <w:r>
        <w:t xml:space="preserve">acrónimo del </w:t>
      </w:r>
      <w:r w:rsidRPr="00432E74">
        <w:t>Sistema Nacional de Pagos Electrónicos en el Transporte Público.</w:t>
      </w:r>
    </w:p>
    <w:bookmarkEnd w:id="21"/>
    <w:p w14:paraId="5A98B65B" w14:textId="77777777" w:rsidR="007A7839" w:rsidRPr="00DB60C1" w:rsidRDefault="007A7839" w:rsidP="00E23D98">
      <w:pPr>
        <w:pStyle w:val="ListaVietas"/>
        <w:tabs>
          <w:tab w:val="clear" w:pos="425"/>
        </w:tabs>
        <w:spacing w:line="276" w:lineRule="auto"/>
      </w:pPr>
      <w:r w:rsidRPr="00CF176E">
        <w:t>Sistema Central de Recaudo</w:t>
      </w:r>
      <w:r>
        <w:t xml:space="preserve"> (SCR)</w:t>
      </w:r>
      <w:r w:rsidRPr="00CF176E">
        <w:t xml:space="preserve">: </w:t>
      </w:r>
      <w:r w:rsidRPr="002140E3">
        <w:t xml:space="preserve">componente de </w:t>
      </w:r>
      <w:r w:rsidRPr="00CF263B">
        <w:rPr>
          <w:i/>
          <w:iCs/>
        </w:rPr>
        <w:t>back office</w:t>
      </w:r>
      <w:r w:rsidRPr="002140E3">
        <w:t xml:space="preserve"> de</w:t>
      </w:r>
      <w:r>
        <w:t>l</w:t>
      </w:r>
      <w:r w:rsidRPr="002140E3">
        <w:t xml:space="preserve"> SINPE-TP que aplica las reglas de transporte en el procesamiento de pagos.</w:t>
      </w:r>
      <w:r>
        <w:t xml:space="preserve"> </w:t>
      </w:r>
      <w:r w:rsidRPr="002140E3">
        <w:t>El SCR funciona integrado a la pasarela de transporte para aplicar las reglas de pagos agregados</w:t>
      </w:r>
      <w:r w:rsidRPr="00DB60C1">
        <w:t>.</w:t>
      </w:r>
    </w:p>
    <w:p w14:paraId="2F98B81F" w14:textId="77777777" w:rsidR="007A7839" w:rsidRPr="00A66BF3" w:rsidRDefault="007A7839" w:rsidP="00E23D98">
      <w:pPr>
        <w:pStyle w:val="ListaVietas"/>
        <w:tabs>
          <w:tab w:val="clear" w:pos="425"/>
        </w:tabs>
        <w:spacing w:line="276" w:lineRule="auto"/>
      </w:pPr>
      <w:bookmarkStart w:id="23" w:name="_Hlk134107869"/>
      <w:bookmarkEnd w:id="22"/>
      <w:r w:rsidRPr="00CF263B">
        <w:t>Transacción</w:t>
      </w:r>
      <w:r w:rsidRPr="00CF263B">
        <w:rPr>
          <w:rFonts w:cs="Arial"/>
          <w:lang w:eastAsia="es-CR"/>
        </w:rPr>
        <w:t>: pago de la tarifa que realiza un pasajero con el uso del mecanismo de SINPE-TP en los servicios de transporte público.</w:t>
      </w:r>
    </w:p>
    <w:p w14:paraId="10DC48CB" w14:textId="77777777" w:rsidR="007A7839" w:rsidRPr="008A0C76" w:rsidRDefault="007A7839" w:rsidP="00E23D98">
      <w:pPr>
        <w:pStyle w:val="ListaVietas"/>
        <w:tabs>
          <w:tab w:val="clear" w:pos="425"/>
        </w:tabs>
        <w:spacing w:line="276" w:lineRule="auto"/>
      </w:pPr>
      <w:r w:rsidRPr="00DB60C1">
        <w:t xml:space="preserve">Transporte público: servicio de transporte </w:t>
      </w:r>
      <w:r>
        <w:t>remunerado</w:t>
      </w:r>
      <w:r w:rsidRPr="00DB60C1">
        <w:t xml:space="preserve"> de </w:t>
      </w:r>
      <w:r>
        <w:t>person</w:t>
      </w:r>
      <w:r w:rsidRPr="008A0C76">
        <w:t xml:space="preserve">as en las modalidades </w:t>
      </w:r>
      <w:r>
        <w:t xml:space="preserve">de </w:t>
      </w:r>
      <w:r w:rsidRPr="008A0C76">
        <w:t>autobús de ruta regular</w:t>
      </w:r>
      <w:r w:rsidRPr="00B64802">
        <w:t xml:space="preserve"> y tren de pasajeros</w:t>
      </w:r>
      <w:r w:rsidRPr="008A0C76">
        <w:t>.</w:t>
      </w:r>
    </w:p>
    <w:bookmarkEnd w:id="23"/>
    <w:p w14:paraId="6DE14AD1" w14:textId="77777777" w:rsidR="007A7839" w:rsidRPr="008A0C76" w:rsidRDefault="007A7839" w:rsidP="00E23D98">
      <w:pPr>
        <w:pStyle w:val="ListaVietas"/>
        <w:tabs>
          <w:tab w:val="clear" w:pos="425"/>
        </w:tabs>
        <w:spacing w:line="276" w:lineRule="auto"/>
      </w:pPr>
      <w:r w:rsidRPr="008A0C76">
        <w:t>Unidad de transporte: autobús o tren ferroviario de pasajeros con sus respectivos vagones</w:t>
      </w:r>
      <w:r w:rsidRPr="00B64802">
        <w:t>, según corresponda para</w:t>
      </w:r>
      <w:r>
        <w:t xml:space="preserve"> </w:t>
      </w:r>
      <w:r w:rsidRPr="00B64802">
        <w:t xml:space="preserve">las modalidades de transporte público en las que funciona la plataforma de </w:t>
      </w:r>
      <w:r>
        <w:t xml:space="preserve">pagos de </w:t>
      </w:r>
      <w:r w:rsidRPr="00B64802">
        <w:t>SINPE-TP.</w:t>
      </w:r>
    </w:p>
    <w:p w14:paraId="7700212B" w14:textId="77777777" w:rsidR="007A7839" w:rsidRDefault="007A7839" w:rsidP="00E23D98">
      <w:pPr>
        <w:pStyle w:val="ListaVietas"/>
        <w:tabs>
          <w:tab w:val="clear" w:pos="425"/>
        </w:tabs>
        <w:spacing w:line="276" w:lineRule="auto"/>
      </w:pPr>
      <w:bookmarkStart w:id="24" w:name="_Hlk134104820"/>
      <w:r w:rsidRPr="007964FB">
        <w:t xml:space="preserve">Validador: </w:t>
      </w:r>
      <w:bookmarkStart w:id="25" w:name="_Hlk214538032"/>
      <w:r w:rsidRPr="004D7401">
        <w:rPr>
          <w:rFonts w:cs="Arial"/>
        </w:rPr>
        <w:t>equipo de validación homologado por el BCCR, configurado y acoplado para operar en la plataforma tecnológica de SINPE-TP.</w:t>
      </w:r>
      <w:r w:rsidRPr="004D7401">
        <w:rPr>
          <w:rFonts w:cs="Arial"/>
          <w:lang w:eastAsia="es-CR"/>
        </w:rPr>
        <w:t xml:space="preserve"> Un validador está integrado por un lector independiente de dispositivos de pago </w:t>
      </w:r>
      <w:r w:rsidRPr="004D7401">
        <w:rPr>
          <w:rFonts w:cs="Arial"/>
          <w:i/>
          <w:iCs/>
          <w:lang w:eastAsia="es-CR"/>
        </w:rPr>
        <w:t>EMV-Contactless</w:t>
      </w:r>
      <w:r w:rsidRPr="004D7401">
        <w:rPr>
          <w:rFonts w:cs="Arial"/>
          <w:lang w:eastAsia="es-CR"/>
        </w:rPr>
        <w:t xml:space="preserve">, así como por elementos periféricos tales como pantalla, bocina, </w:t>
      </w:r>
      <w:r>
        <w:rPr>
          <w:rFonts w:cs="Arial"/>
          <w:lang w:eastAsia="es-CR"/>
        </w:rPr>
        <w:t xml:space="preserve">dispositivo </w:t>
      </w:r>
      <w:r w:rsidRPr="004D7401">
        <w:rPr>
          <w:rFonts w:cs="Arial"/>
          <w:lang w:eastAsia="es-CR"/>
        </w:rPr>
        <w:t>GPS</w:t>
      </w:r>
      <w:r>
        <w:rPr>
          <w:rFonts w:cs="Arial"/>
          <w:lang w:eastAsia="es-CR"/>
        </w:rPr>
        <w:t xml:space="preserve"> </w:t>
      </w:r>
      <w:r w:rsidRPr="004D7401">
        <w:rPr>
          <w:rFonts w:cs="Arial"/>
          <w:lang w:eastAsia="es-CR"/>
        </w:rPr>
        <w:t>u otros, y es utilizado para registrar y enviar transacciones al Sistema Central de Recaudo</w:t>
      </w:r>
      <w:bookmarkEnd w:id="25"/>
      <w:r w:rsidRPr="004D7401">
        <w:rPr>
          <w:rFonts w:cs="Arial"/>
          <w:lang w:eastAsia="es-CR"/>
        </w:rPr>
        <w:t>.</w:t>
      </w:r>
      <w:r>
        <w:rPr>
          <w:rFonts w:cs="Arial"/>
          <w:lang w:eastAsia="es-CR"/>
        </w:rPr>
        <w:t xml:space="preserve"> En rutas de tarifa fraccionada, el validador también integra una consola</w:t>
      </w:r>
      <w:r w:rsidRPr="007964FB">
        <w:t>.</w:t>
      </w:r>
    </w:p>
    <w:bookmarkEnd w:id="24"/>
    <w:p w14:paraId="5B056887" w14:textId="77777777" w:rsidR="007A7839" w:rsidRPr="00DB60C1" w:rsidRDefault="007A7839" w:rsidP="00E23D98">
      <w:pPr>
        <w:pStyle w:val="ListaVietas"/>
        <w:tabs>
          <w:tab w:val="clear" w:pos="425"/>
        </w:tabs>
        <w:spacing w:line="276" w:lineRule="auto"/>
      </w:pPr>
      <w:r w:rsidRPr="00DB60C1">
        <w:t xml:space="preserve">Wearable: dispositivo </w:t>
      </w:r>
      <w:r>
        <w:t xml:space="preserve">tecnológico </w:t>
      </w:r>
      <w:r w:rsidRPr="00DB60C1">
        <w:t xml:space="preserve">como teléfono celular, tableta, brazalete, reloj, anillo y cualquier otro objeto que pueda contener un microprocesador criptográfico con el estándar </w:t>
      </w:r>
      <w:r w:rsidRPr="003A264C">
        <w:t>EMV</w:t>
      </w:r>
      <w:r w:rsidRPr="00DB60C1">
        <w:t xml:space="preserve"> y que cumpl</w:t>
      </w:r>
      <w:r w:rsidRPr="00FF34FD">
        <w:t>e</w:t>
      </w:r>
      <w:r w:rsidRPr="00DB60C1">
        <w:t xml:space="preserve"> con las mismas funciones de una tarjeta de pago</w:t>
      </w:r>
      <w:r>
        <w:t xml:space="preserve"> sin contacto</w:t>
      </w:r>
      <w:r w:rsidRPr="00DB60C1">
        <w:t>.</w:t>
      </w:r>
    </w:p>
    <w:p w14:paraId="7987F142" w14:textId="77777777" w:rsidR="007A7839" w:rsidRDefault="007A7839" w:rsidP="00E23D98">
      <w:pPr>
        <w:pStyle w:val="ListaVietas"/>
        <w:numPr>
          <w:ilvl w:val="0"/>
          <w:numId w:val="0"/>
        </w:numPr>
        <w:spacing w:line="276" w:lineRule="auto"/>
        <w:ind w:left="57"/>
      </w:pPr>
      <w:r w:rsidRPr="00DB60C1">
        <w:t xml:space="preserve">Otros términos relacionados con el sistema de pagos nacional pueden consultarse en la </w:t>
      </w:r>
      <w:r w:rsidRPr="00756514">
        <w:t>“Norma Complementaria - Glosario General”</w:t>
      </w:r>
      <w:r w:rsidRPr="00DB60C1">
        <w:t>, de la Serie de Normas y Procedimientos del SINPE</w:t>
      </w:r>
      <w:r w:rsidRPr="00564794">
        <w:t>.</w:t>
      </w:r>
    </w:p>
    <w:p w14:paraId="6F3F7898" w14:textId="77777777" w:rsidR="007A7839" w:rsidRPr="00E71D76" w:rsidRDefault="007A7839" w:rsidP="00E23D98">
      <w:pPr>
        <w:pStyle w:val="Ttulo2"/>
        <w:numPr>
          <w:ilvl w:val="1"/>
          <w:numId w:val="3"/>
        </w:numPr>
        <w:tabs>
          <w:tab w:val="clear" w:pos="510"/>
        </w:tabs>
        <w:spacing w:line="276" w:lineRule="auto"/>
        <w:ind w:left="567" w:hanging="567"/>
      </w:pPr>
      <w:bookmarkStart w:id="26" w:name="_Toc213828751"/>
      <w:bookmarkStart w:id="27" w:name="_Toc216697935"/>
      <w:r>
        <w:t>Regulación relacionada</w:t>
      </w:r>
      <w:bookmarkEnd w:id="26"/>
      <w:bookmarkEnd w:id="27"/>
    </w:p>
    <w:tbl>
      <w:tblPr>
        <w:tblW w:w="8554" w:type="dxa"/>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1467"/>
        <w:gridCol w:w="7087"/>
      </w:tblGrid>
      <w:tr w:rsidR="007A7839" w14:paraId="26D3194D" w14:textId="77777777" w:rsidTr="00C91541">
        <w:trPr>
          <w:cantSplit/>
          <w:tblHeader/>
        </w:trPr>
        <w:tc>
          <w:tcPr>
            <w:tcW w:w="1467" w:type="dxa"/>
            <w:shd w:val="clear" w:color="auto" w:fill="44546A" w:themeFill="text2"/>
            <w:vAlign w:val="center"/>
          </w:tcPr>
          <w:p w14:paraId="710256BA" w14:textId="77777777" w:rsidR="007A7839" w:rsidRPr="00CF263B" w:rsidRDefault="007A7839" w:rsidP="00E23D98">
            <w:pPr>
              <w:pStyle w:val="TtuloTabla"/>
              <w:spacing w:line="276" w:lineRule="auto"/>
              <w:rPr>
                <w:rFonts w:ascii="Arial" w:hAnsi="Arial" w:cs="Arial"/>
                <w:color w:val="FFFFFF"/>
                <w:sz w:val="20"/>
                <w:szCs w:val="20"/>
              </w:rPr>
            </w:pPr>
            <w:r w:rsidRPr="00CF263B">
              <w:rPr>
                <w:rFonts w:ascii="Arial" w:hAnsi="Arial" w:cs="Arial"/>
                <w:color w:val="FFFFFF"/>
                <w:sz w:val="20"/>
                <w:szCs w:val="20"/>
              </w:rPr>
              <w:t>Referencias</w:t>
            </w:r>
          </w:p>
        </w:tc>
        <w:tc>
          <w:tcPr>
            <w:tcW w:w="7087" w:type="dxa"/>
            <w:shd w:val="clear" w:color="auto" w:fill="44546A" w:themeFill="text2"/>
            <w:vAlign w:val="center"/>
          </w:tcPr>
          <w:p w14:paraId="01C612FD" w14:textId="77777777" w:rsidR="007A7839" w:rsidRPr="00CF263B" w:rsidRDefault="007A7839" w:rsidP="00E23D98">
            <w:pPr>
              <w:pStyle w:val="TtuloTabla"/>
              <w:spacing w:line="276" w:lineRule="auto"/>
              <w:rPr>
                <w:rFonts w:ascii="Arial" w:hAnsi="Arial" w:cs="Arial"/>
                <w:color w:val="FFFFFF"/>
                <w:sz w:val="20"/>
                <w:szCs w:val="20"/>
              </w:rPr>
            </w:pPr>
            <w:r w:rsidRPr="00CF263B">
              <w:rPr>
                <w:rFonts w:ascii="Arial" w:hAnsi="Arial" w:cs="Arial"/>
                <w:color w:val="FFFFFF"/>
                <w:sz w:val="20"/>
                <w:szCs w:val="20"/>
              </w:rPr>
              <w:t>Nombre del documento</w:t>
            </w:r>
          </w:p>
        </w:tc>
      </w:tr>
      <w:tr w:rsidR="007A7839" w:rsidRPr="00297035" w14:paraId="4112EAB6" w14:textId="77777777" w:rsidTr="005243DB">
        <w:trPr>
          <w:cantSplit/>
        </w:trPr>
        <w:tc>
          <w:tcPr>
            <w:tcW w:w="1467" w:type="dxa"/>
            <w:shd w:val="clear" w:color="auto" w:fill="F2F2F2"/>
            <w:vAlign w:val="center"/>
          </w:tcPr>
          <w:p w14:paraId="0B7E6AF5"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RS</w:t>
            </w:r>
            <w:r w:rsidRPr="00CF263B">
              <w:rPr>
                <w:rFonts w:ascii="Arial" w:hAnsi="Arial" w:cs="Arial"/>
                <w:sz w:val="20"/>
                <w:szCs w:val="20"/>
              </w:rPr>
              <w:t>T</w:t>
            </w:r>
            <w:r w:rsidRPr="00197317">
              <w:rPr>
                <w:rFonts w:ascii="Arial" w:hAnsi="Arial" w:cs="Arial"/>
                <w:sz w:val="20"/>
                <w:szCs w:val="20"/>
              </w:rPr>
              <w:t>P</w:t>
            </w:r>
          </w:p>
        </w:tc>
        <w:tc>
          <w:tcPr>
            <w:tcW w:w="7087" w:type="dxa"/>
            <w:shd w:val="clear" w:color="auto" w:fill="F2F2F2"/>
            <w:vAlign w:val="center"/>
          </w:tcPr>
          <w:p w14:paraId="0BD9E42B"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 xml:space="preserve">Reglamento </w:t>
            </w:r>
            <w:r w:rsidRPr="00CF263B">
              <w:rPr>
                <w:rFonts w:ascii="Arial" w:hAnsi="Arial" w:cs="Arial"/>
                <w:sz w:val="20"/>
                <w:szCs w:val="20"/>
              </w:rPr>
              <w:t xml:space="preserve">del Sistema de Pago Electrónico en el Transporte Público </w:t>
            </w:r>
            <w:r w:rsidRPr="00197317">
              <w:rPr>
                <w:rFonts w:ascii="Arial" w:hAnsi="Arial" w:cs="Arial"/>
                <w:sz w:val="20"/>
                <w:szCs w:val="20"/>
              </w:rPr>
              <w:t>SINPE-TP</w:t>
            </w:r>
            <w:r w:rsidRPr="00CF263B">
              <w:rPr>
                <w:rFonts w:ascii="Arial" w:hAnsi="Arial" w:cs="Arial"/>
                <w:sz w:val="20"/>
                <w:szCs w:val="20"/>
              </w:rPr>
              <w:t>.</w:t>
            </w:r>
          </w:p>
        </w:tc>
      </w:tr>
      <w:tr w:rsidR="007A7839" w:rsidRPr="00297035" w14:paraId="70867A28" w14:textId="77777777" w:rsidTr="005243DB">
        <w:trPr>
          <w:cantSplit/>
        </w:trPr>
        <w:tc>
          <w:tcPr>
            <w:tcW w:w="1467" w:type="dxa"/>
            <w:shd w:val="clear" w:color="auto" w:fill="F2F2F2"/>
            <w:vAlign w:val="center"/>
          </w:tcPr>
          <w:p w14:paraId="0DC31E96"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RSP</w:t>
            </w:r>
          </w:p>
        </w:tc>
        <w:tc>
          <w:tcPr>
            <w:tcW w:w="7087" w:type="dxa"/>
            <w:shd w:val="clear" w:color="auto" w:fill="F2F2F2"/>
            <w:vAlign w:val="center"/>
          </w:tcPr>
          <w:p w14:paraId="11792B80"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Reglamento del Sistema de Pagos.</w:t>
            </w:r>
          </w:p>
        </w:tc>
      </w:tr>
      <w:tr w:rsidR="007A7839" w:rsidRPr="00297035" w14:paraId="77816DF9" w14:textId="77777777" w:rsidTr="005243DB">
        <w:trPr>
          <w:cantSplit/>
        </w:trPr>
        <w:tc>
          <w:tcPr>
            <w:tcW w:w="1467" w:type="dxa"/>
            <w:shd w:val="clear" w:color="auto" w:fill="F2F2F2"/>
            <w:vAlign w:val="center"/>
          </w:tcPr>
          <w:p w14:paraId="72093442"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RST</w:t>
            </w:r>
          </w:p>
        </w:tc>
        <w:tc>
          <w:tcPr>
            <w:tcW w:w="7087" w:type="dxa"/>
            <w:shd w:val="clear" w:color="auto" w:fill="F2F2F2"/>
            <w:vAlign w:val="center"/>
          </w:tcPr>
          <w:p w14:paraId="6626BF2F"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Reglamento del Sistema de Tarjetas de Pago.</w:t>
            </w:r>
          </w:p>
        </w:tc>
      </w:tr>
      <w:tr w:rsidR="007A7839" w:rsidRPr="00297035" w14:paraId="753559EA" w14:textId="77777777" w:rsidTr="005243DB">
        <w:trPr>
          <w:cantSplit/>
        </w:trPr>
        <w:tc>
          <w:tcPr>
            <w:tcW w:w="1467" w:type="dxa"/>
            <w:shd w:val="clear" w:color="auto" w:fill="F2F2F2"/>
            <w:vAlign w:val="center"/>
          </w:tcPr>
          <w:p w14:paraId="3B64EBFC"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NT-STP</w:t>
            </w:r>
          </w:p>
        </w:tc>
        <w:tc>
          <w:tcPr>
            <w:tcW w:w="7087" w:type="dxa"/>
            <w:shd w:val="clear" w:color="auto" w:fill="F2F2F2"/>
            <w:vAlign w:val="center"/>
          </w:tcPr>
          <w:p w14:paraId="29BDE635"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 xml:space="preserve">Norma Técnica </w:t>
            </w:r>
            <w:r>
              <w:rPr>
                <w:rFonts w:ascii="Arial" w:hAnsi="Arial" w:cs="Arial"/>
                <w:sz w:val="20"/>
                <w:szCs w:val="20"/>
              </w:rPr>
              <w:t>-</w:t>
            </w:r>
            <w:r w:rsidRPr="00197317">
              <w:rPr>
                <w:rFonts w:ascii="Arial" w:hAnsi="Arial" w:cs="Arial"/>
                <w:sz w:val="20"/>
                <w:szCs w:val="20"/>
              </w:rPr>
              <w:t xml:space="preserve"> Homologación de Validadores para SINPE-TP.</w:t>
            </w:r>
          </w:p>
        </w:tc>
      </w:tr>
      <w:tr w:rsidR="007A7839" w:rsidRPr="00297035" w14:paraId="00E50B2D" w14:textId="77777777" w:rsidTr="005243DB">
        <w:trPr>
          <w:cantSplit/>
        </w:trPr>
        <w:tc>
          <w:tcPr>
            <w:tcW w:w="1467" w:type="dxa"/>
            <w:shd w:val="clear" w:color="auto" w:fill="F2F2F2"/>
            <w:vAlign w:val="center"/>
          </w:tcPr>
          <w:p w14:paraId="1AC75DF8"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NT-STP</w:t>
            </w:r>
          </w:p>
        </w:tc>
        <w:tc>
          <w:tcPr>
            <w:tcW w:w="7087" w:type="dxa"/>
            <w:shd w:val="clear" w:color="auto" w:fill="F2F2F2"/>
            <w:vAlign w:val="center"/>
          </w:tcPr>
          <w:p w14:paraId="6D6CC596"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 xml:space="preserve">Norma Técnica </w:t>
            </w:r>
            <w:r>
              <w:rPr>
                <w:rFonts w:ascii="Arial" w:hAnsi="Arial" w:cs="Arial"/>
                <w:sz w:val="20"/>
                <w:szCs w:val="20"/>
              </w:rPr>
              <w:t>-</w:t>
            </w:r>
            <w:r w:rsidRPr="00197317">
              <w:rPr>
                <w:rFonts w:ascii="Arial" w:hAnsi="Arial" w:cs="Arial"/>
                <w:sz w:val="20"/>
                <w:szCs w:val="20"/>
              </w:rPr>
              <w:t xml:space="preserve"> Operación del Servicio de Validación de SINPE-TP.</w:t>
            </w:r>
          </w:p>
        </w:tc>
      </w:tr>
      <w:tr w:rsidR="007A7839" w:rsidRPr="00297035" w14:paraId="30696033" w14:textId="77777777" w:rsidTr="005243DB">
        <w:trPr>
          <w:cantSplit/>
        </w:trPr>
        <w:tc>
          <w:tcPr>
            <w:tcW w:w="1467" w:type="dxa"/>
            <w:shd w:val="clear" w:color="auto" w:fill="F2F2F2"/>
            <w:vAlign w:val="center"/>
          </w:tcPr>
          <w:p w14:paraId="6DEA5E3D"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t>NT-STP</w:t>
            </w:r>
          </w:p>
        </w:tc>
        <w:tc>
          <w:tcPr>
            <w:tcW w:w="7087" w:type="dxa"/>
            <w:shd w:val="clear" w:color="auto" w:fill="F2F2F2"/>
            <w:vAlign w:val="center"/>
          </w:tcPr>
          <w:p w14:paraId="532E4066"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Norma Técnica - Estándar Electrónico para la Comunicación con Adquirentes.</w:t>
            </w:r>
          </w:p>
        </w:tc>
      </w:tr>
      <w:tr w:rsidR="007A7839" w:rsidRPr="00297035" w14:paraId="6582CAC5" w14:textId="77777777" w:rsidTr="005243DB">
        <w:trPr>
          <w:cantSplit/>
        </w:trPr>
        <w:tc>
          <w:tcPr>
            <w:tcW w:w="1467" w:type="dxa"/>
            <w:shd w:val="clear" w:color="auto" w:fill="F2F2F2"/>
            <w:vAlign w:val="center"/>
          </w:tcPr>
          <w:p w14:paraId="559C4185" w14:textId="77777777" w:rsidR="007A7839" w:rsidRPr="00197317" w:rsidRDefault="007A7839" w:rsidP="00E23D98">
            <w:pPr>
              <w:pStyle w:val="TextoTablaCentrado"/>
              <w:spacing w:before="40" w:after="40" w:line="276" w:lineRule="auto"/>
              <w:rPr>
                <w:rFonts w:ascii="Arial" w:hAnsi="Arial" w:cs="Arial"/>
                <w:sz w:val="20"/>
                <w:szCs w:val="20"/>
              </w:rPr>
            </w:pPr>
            <w:r w:rsidRPr="00197317">
              <w:rPr>
                <w:rFonts w:ascii="Arial" w:hAnsi="Arial" w:cs="Arial"/>
                <w:sz w:val="20"/>
                <w:szCs w:val="20"/>
              </w:rPr>
              <w:lastRenderedPageBreak/>
              <w:t>NT-STP</w:t>
            </w:r>
          </w:p>
        </w:tc>
        <w:tc>
          <w:tcPr>
            <w:tcW w:w="7087" w:type="dxa"/>
            <w:shd w:val="clear" w:color="auto" w:fill="F2F2F2"/>
            <w:vAlign w:val="center"/>
          </w:tcPr>
          <w:p w14:paraId="668A5F9C" w14:textId="77777777" w:rsidR="007A7839" w:rsidRPr="00197317" w:rsidRDefault="007A7839" w:rsidP="00E23D98">
            <w:pPr>
              <w:pStyle w:val="TextoTablaJustificado"/>
              <w:spacing w:before="40" w:after="40" w:line="276" w:lineRule="auto"/>
              <w:ind w:left="144" w:right="149" w:hanging="2"/>
              <w:rPr>
                <w:rFonts w:ascii="Arial" w:hAnsi="Arial" w:cs="Arial"/>
                <w:sz w:val="20"/>
                <w:szCs w:val="20"/>
              </w:rPr>
            </w:pPr>
            <w:r w:rsidRPr="00197317">
              <w:rPr>
                <w:rFonts w:ascii="Arial" w:hAnsi="Arial" w:cs="Arial"/>
                <w:sz w:val="20"/>
                <w:szCs w:val="20"/>
              </w:rPr>
              <w:t>Norma Técnica - Estándar Electrónico para la Comunicación con Operadores.</w:t>
            </w:r>
          </w:p>
        </w:tc>
      </w:tr>
      <w:tr w:rsidR="007A7839" w:rsidRPr="00297035" w14:paraId="1485BB0D" w14:textId="77777777" w:rsidTr="005243DB">
        <w:trPr>
          <w:cantSplit/>
        </w:trPr>
        <w:tc>
          <w:tcPr>
            <w:tcW w:w="1467" w:type="dxa"/>
            <w:shd w:val="clear" w:color="auto" w:fill="F2F2F2"/>
            <w:vAlign w:val="center"/>
          </w:tcPr>
          <w:p w14:paraId="65A9E55E" w14:textId="77777777" w:rsidR="007A7839" w:rsidRPr="00C53771" w:rsidRDefault="007A7839" w:rsidP="00E23D98">
            <w:pPr>
              <w:pStyle w:val="TextoTablaCentrado"/>
              <w:spacing w:before="40" w:after="40" w:line="276" w:lineRule="auto"/>
              <w:rPr>
                <w:rFonts w:ascii="Arial" w:hAnsi="Arial" w:cs="Arial"/>
                <w:sz w:val="20"/>
                <w:szCs w:val="20"/>
              </w:rPr>
            </w:pPr>
            <w:r w:rsidRPr="00C53771">
              <w:rPr>
                <w:rFonts w:ascii="Arial" w:hAnsi="Arial" w:cs="Arial"/>
                <w:sz w:val="20"/>
                <w:szCs w:val="20"/>
              </w:rPr>
              <w:t>NT-STP</w:t>
            </w:r>
          </w:p>
        </w:tc>
        <w:tc>
          <w:tcPr>
            <w:tcW w:w="7087" w:type="dxa"/>
            <w:shd w:val="clear" w:color="auto" w:fill="F2F2F2"/>
            <w:vAlign w:val="center"/>
          </w:tcPr>
          <w:p w14:paraId="41D14660" w14:textId="77777777" w:rsidR="007A7839" w:rsidRPr="00793F98" w:rsidRDefault="007A7839" w:rsidP="00E23D98">
            <w:pPr>
              <w:pStyle w:val="TextoTablaJustificado"/>
              <w:spacing w:before="40" w:after="40" w:line="276" w:lineRule="auto"/>
              <w:ind w:left="144" w:right="149" w:hanging="2"/>
              <w:rPr>
                <w:rFonts w:ascii="Arial" w:hAnsi="Arial" w:cs="Arial"/>
                <w:sz w:val="20"/>
                <w:szCs w:val="20"/>
              </w:rPr>
            </w:pPr>
            <w:r w:rsidRPr="00C53771">
              <w:rPr>
                <w:rFonts w:ascii="Arial" w:hAnsi="Arial" w:cs="Arial"/>
                <w:sz w:val="20"/>
                <w:szCs w:val="20"/>
              </w:rPr>
              <w:t>Norma Técnica - Estándar Electrónico para el Registro de Tarjetas Monedero SINPE-TP</w:t>
            </w:r>
          </w:p>
        </w:tc>
      </w:tr>
      <w:tr w:rsidR="004F29F5" w:rsidRPr="00297035" w14:paraId="75153992" w14:textId="77777777" w:rsidTr="005243DB">
        <w:trPr>
          <w:cantSplit/>
        </w:trPr>
        <w:tc>
          <w:tcPr>
            <w:tcW w:w="1467" w:type="dxa"/>
            <w:shd w:val="clear" w:color="auto" w:fill="F2F2F2"/>
            <w:vAlign w:val="center"/>
          </w:tcPr>
          <w:p w14:paraId="3874AB73" w14:textId="63F24100" w:rsidR="004F29F5" w:rsidRPr="00C53771" w:rsidRDefault="004F29F5" w:rsidP="00E23D98">
            <w:pPr>
              <w:pStyle w:val="TextoTablaCentrado"/>
              <w:spacing w:before="40" w:after="40" w:line="276" w:lineRule="auto"/>
              <w:rPr>
                <w:rFonts w:ascii="Arial" w:hAnsi="Arial" w:cs="Arial"/>
                <w:sz w:val="20"/>
                <w:szCs w:val="20"/>
              </w:rPr>
            </w:pPr>
            <w:r w:rsidRPr="00C53771">
              <w:rPr>
                <w:rFonts w:ascii="Arial" w:hAnsi="Arial" w:cs="Arial"/>
                <w:sz w:val="20"/>
                <w:szCs w:val="20"/>
              </w:rPr>
              <w:t>NT-STP</w:t>
            </w:r>
          </w:p>
        </w:tc>
        <w:tc>
          <w:tcPr>
            <w:tcW w:w="7087" w:type="dxa"/>
            <w:shd w:val="clear" w:color="auto" w:fill="F2F2F2"/>
            <w:vAlign w:val="center"/>
          </w:tcPr>
          <w:p w14:paraId="6EE22794" w14:textId="42864BC7" w:rsidR="004F29F5" w:rsidRPr="00C53771" w:rsidRDefault="004F29F5" w:rsidP="00E23D98">
            <w:pPr>
              <w:pStyle w:val="TextoTablaJustificado"/>
              <w:spacing w:before="40" w:after="40" w:line="276" w:lineRule="auto"/>
              <w:ind w:left="144" w:right="149" w:hanging="2"/>
              <w:rPr>
                <w:rFonts w:ascii="Arial" w:hAnsi="Arial" w:cs="Arial"/>
                <w:sz w:val="20"/>
                <w:szCs w:val="20"/>
              </w:rPr>
            </w:pPr>
            <w:r w:rsidRPr="004F29F5">
              <w:rPr>
                <w:rFonts w:ascii="Arial" w:hAnsi="Arial" w:cs="Arial"/>
                <w:sz w:val="20"/>
                <w:szCs w:val="20"/>
              </w:rPr>
              <w:t xml:space="preserve">Norma Técnica - Estándar Electrónico para </w:t>
            </w:r>
            <w:r w:rsidR="003E7AD9">
              <w:rPr>
                <w:rFonts w:ascii="Arial" w:hAnsi="Arial" w:cs="Arial"/>
                <w:sz w:val="20"/>
                <w:szCs w:val="20"/>
              </w:rPr>
              <w:t xml:space="preserve">la Activación </w:t>
            </w:r>
            <w:r w:rsidRPr="004F29F5">
              <w:rPr>
                <w:rFonts w:ascii="Arial" w:hAnsi="Arial" w:cs="Arial"/>
                <w:sz w:val="20"/>
                <w:szCs w:val="20"/>
              </w:rPr>
              <w:t>de Tarjetas Monedero SINPE-TP en la Aplicación SINPE-TP Pasajero</w:t>
            </w:r>
          </w:p>
        </w:tc>
      </w:tr>
    </w:tbl>
    <w:p w14:paraId="6965A3F5" w14:textId="77777777" w:rsidR="007A7839" w:rsidRDefault="007A7839" w:rsidP="00E23D98">
      <w:pPr>
        <w:pStyle w:val="Ttulo1"/>
        <w:numPr>
          <w:ilvl w:val="0"/>
          <w:numId w:val="3"/>
        </w:numPr>
        <w:tabs>
          <w:tab w:val="clear" w:pos="340"/>
        </w:tabs>
        <w:spacing w:line="276" w:lineRule="auto"/>
        <w:ind w:left="426" w:hanging="426"/>
      </w:pPr>
      <w:bookmarkStart w:id="28" w:name="_Toc213828752"/>
      <w:bookmarkStart w:id="29" w:name="_Toc216697936"/>
      <w:bookmarkStart w:id="30" w:name="_Toc347829984"/>
      <w:bookmarkStart w:id="31" w:name="_Toc536265254"/>
      <w:bookmarkStart w:id="32" w:name="_Toc682475"/>
      <w:bookmarkStart w:id="33" w:name="_Toc682900"/>
      <w:r>
        <w:t>Aspectos generales</w:t>
      </w:r>
      <w:bookmarkEnd w:id="28"/>
      <w:bookmarkEnd w:id="29"/>
    </w:p>
    <w:p w14:paraId="7B4FDDB8" w14:textId="77777777" w:rsidR="007A7839" w:rsidRDefault="007A7839" w:rsidP="00E23D98">
      <w:pPr>
        <w:pStyle w:val="Ttulo2"/>
        <w:numPr>
          <w:ilvl w:val="1"/>
          <w:numId w:val="3"/>
        </w:numPr>
        <w:tabs>
          <w:tab w:val="clear" w:pos="510"/>
        </w:tabs>
        <w:spacing w:line="276" w:lineRule="auto"/>
        <w:ind w:left="567" w:hanging="567"/>
      </w:pPr>
      <w:bookmarkStart w:id="34" w:name="_Toc213828753"/>
      <w:bookmarkStart w:id="35" w:name="_Toc216697937"/>
      <w:r>
        <w:t>Definición del servicio</w:t>
      </w:r>
      <w:bookmarkEnd w:id="34"/>
      <w:bookmarkEnd w:id="35"/>
    </w:p>
    <w:p w14:paraId="41F9D561" w14:textId="77777777" w:rsidR="007A7839" w:rsidRDefault="007A7839" w:rsidP="00E23D98">
      <w:pPr>
        <w:rPr>
          <w:rFonts w:cs="Arial"/>
        </w:rPr>
      </w:pPr>
      <w:r w:rsidRPr="00C278B2">
        <w:rPr>
          <w:lang w:val="es-ES_tradnl"/>
        </w:rPr>
        <w:t xml:space="preserve">El servicio </w:t>
      </w:r>
      <w:r w:rsidRPr="00C278B2">
        <w:t>SINPE-TP provee la plataforma administrativa y tecnológica para gestionar la recaudación</w:t>
      </w:r>
      <w:r w:rsidRPr="00DB60C1">
        <w:t xml:space="preserve"> tarifaria del transporte </w:t>
      </w:r>
      <w:r w:rsidRPr="008A0C76">
        <w:t xml:space="preserve">público </w:t>
      </w:r>
      <w:r>
        <w:t xml:space="preserve">colectivo </w:t>
      </w:r>
      <w:r w:rsidRPr="008A0C76">
        <w:t xml:space="preserve">en las modalidades </w:t>
      </w:r>
      <w:r>
        <w:t xml:space="preserve">de </w:t>
      </w:r>
      <w:r w:rsidRPr="008A0C76">
        <w:t>autobús de ruta regular</w:t>
      </w:r>
      <w:r w:rsidRPr="00B64802">
        <w:t xml:space="preserve"> y tren de pasajeros</w:t>
      </w:r>
      <w:r w:rsidRPr="008A0C76">
        <w:t>.</w:t>
      </w:r>
      <w:r>
        <w:t xml:space="preserve"> </w:t>
      </w:r>
      <w:r w:rsidRPr="008A0C76">
        <w:t>Por medio de dicha plataforma</w:t>
      </w:r>
      <w:r w:rsidRPr="00DB60C1">
        <w:t xml:space="preserve"> se procesa el </w:t>
      </w:r>
      <w:r w:rsidRPr="00DB60C1">
        <w:rPr>
          <w:rFonts w:cs="Arial"/>
        </w:rPr>
        <w:t xml:space="preserve">cobro de los viajes a los </w:t>
      </w:r>
      <w:r>
        <w:rPr>
          <w:rFonts w:cs="Arial"/>
        </w:rPr>
        <w:t>usuarios</w:t>
      </w:r>
      <w:r w:rsidRPr="00DB60C1">
        <w:rPr>
          <w:rFonts w:cs="Arial"/>
        </w:rPr>
        <w:t xml:space="preserve"> y la liquidación de los ingresos tarifarios a </w:t>
      </w:r>
      <w:r>
        <w:rPr>
          <w:rFonts w:cs="Arial"/>
        </w:rPr>
        <w:t>los operadores de transporte.</w:t>
      </w:r>
    </w:p>
    <w:p w14:paraId="287BB5B1" w14:textId="77777777" w:rsidR="007A7839" w:rsidRDefault="007A7839" w:rsidP="00E23D98">
      <w:pPr>
        <w:pStyle w:val="Ttulo2"/>
        <w:numPr>
          <w:ilvl w:val="1"/>
          <w:numId w:val="3"/>
        </w:numPr>
        <w:tabs>
          <w:tab w:val="clear" w:pos="510"/>
        </w:tabs>
        <w:spacing w:line="276" w:lineRule="auto"/>
        <w:ind w:left="567" w:hanging="567"/>
      </w:pPr>
      <w:bookmarkStart w:id="36" w:name="_Toc177998359"/>
      <w:bookmarkStart w:id="37" w:name="_Toc178504970"/>
      <w:bookmarkStart w:id="38" w:name="_Toc178522718"/>
      <w:bookmarkStart w:id="39" w:name="_Toc178596954"/>
      <w:bookmarkStart w:id="40" w:name="_Toc178597013"/>
      <w:bookmarkStart w:id="41" w:name="_Toc213828754"/>
      <w:bookmarkStart w:id="42" w:name="_Toc216697938"/>
      <w:bookmarkEnd w:id="36"/>
      <w:bookmarkEnd w:id="37"/>
      <w:bookmarkEnd w:id="38"/>
      <w:bookmarkEnd w:id="39"/>
      <w:bookmarkEnd w:id="40"/>
      <w:r>
        <w:t>Participantes</w:t>
      </w:r>
      <w:bookmarkEnd w:id="41"/>
      <w:bookmarkEnd w:id="42"/>
      <w:r>
        <w:t xml:space="preserve"> </w:t>
      </w:r>
    </w:p>
    <w:p w14:paraId="2CF61DC5" w14:textId="77777777" w:rsidR="007A7839" w:rsidRPr="00DB60C1" w:rsidRDefault="007A7839" w:rsidP="00E23D98">
      <w:r w:rsidRPr="005745E3">
        <w:t>En el servicio SINPE-TP participan las siguientes personas y entidades</w:t>
      </w:r>
      <w:r w:rsidRPr="00DB60C1">
        <w:t>:</w:t>
      </w:r>
    </w:p>
    <w:p w14:paraId="78E0D991" w14:textId="77777777" w:rsidR="007A7839" w:rsidRDefault="007A7839" w:rsidP="00FA10A3">
      <w:pPr>
        <w:pStyle w:val="ListaVietas"/>
        <w:numPr>
          <w:ilvl w:val="0"/>
          <w:numId w:val="14"/>
        </w:numPr>
        <w:tabs>
          <w:tab w:val="clear" w:pos="425"/>
        </w:tabs>
        <w:spacing w:line="276" w:lineRule="auto"/>
      </w:pPr>
      <w:r>
        <w:t>MOPT.</w:t>
      </w:r>
    </w:p>
    <w:p w14:paraId="6507890F" w14:textId="77777777" w:rsidR="007A7839" w:rsidRDefault="007A7839" w:rsidP="00FA10A3">
      <w:pPr>
        <w:pStyle w:val="ListaVietas"/>
        <w:numPr>
          <w:ilvl w:val="0"/>
          <w:numId w:val="14"/>
        </w:numPr>
        <w:tabs>
          <w:tab w:val="clear" w:pos="425"/>
        </w:tabs>
        <w:spacing w:line="276" w:lineRule="auto"/>
      </w:pPr>
      <w:r>
        <w:t>CTP.</w:t>
      </w:r>
    </w:p>
    <w:p w14:paraId="6D21E82D" w14:textId="77777777" w:rsidR="007A7839" w:rsidRPr="008A0C76" w:rsidRDefault="007A7839" w:rsidP="00FA10A3">
      <w:pPr>
        <w:pStyle w:val="ListaVietas"/>
        <w:numPr>
          <w:ilvl w:val="0"/>
          <w:numId w:val="14"/>
        </w:numPr>
        <w:tabs>
          <w:tab w:val="clear" w:pos="425"/>
        </w:tabs>
        <w:spacing w:line="276" w:lineRule="auto"/>
      </w:pPr>
      <w:r w:rsidRPr="008A0C76">
        <w:t>Aresep.</w:t>
      </w:r>
    </w:p>
    <w:p w14:paraId="48D4FD7C" w14:textId="77777777" w:rsidR="007A7839" w:rsidRPr="00DB60C1" w:rsidRDefault="007A7839" w:rsidP="00FA10A3">
      <w:pPr>
        <w:pStyle w:val="ListaVietas"/>
        <w:numPr>
          <w:ilvl w:val="0"/>
          <w:numId w:val="14"/>
        </w:numPr>
        <w:tabs>
          <w:tab w:val="clear" w:pos="425"/>
        </w:tabs>
        <w:spacing w:line="276" w:lineRule="auto"/>
      </w:pPr>
      <w:r w:rsidRPr="00DB60C1">
        <w:t>BCCR</w:t>
      </w:r>
      <w:r>
        <w:t>.</w:t>
      </w:r>
    </w:p>
    <w:p w14:paraId="2E0D50B2" w14:textId="77777777" w:rsidR="007A7839" w:rsidRDefault="007A7839" w:rsidP="00FA10A3">
      <w:pPr>
        <w:pStyle w:val="ListaVietas"/>
        <w:numPr>
          <w:ilvl w:val="0"/>
          <w:numId w:val="14"/>
        </w:numPr>
        <w:tabs>
          <w:tab w:val="clear" w:pos="425"/>
        </w:tabs>
        <w:spacing w:line="276" w:lineRule="auto"/>
      </w:pPr>
      <w:r>
        <w:t>Pasajeros.</w:t>
      </w:r>
    </w:p>
    <w:p w14:paraId="4FDD7D8D" w14:textId="77777777" w:rsidR="007A7839" w:rsidRDefault="007A7839" w:rsidP="00FA10A3">
      <w:pPr>
        <w:pStyle w:val="ListaVietas"/>
        <w:numPr>
          <w:ilvl w:val="0"/>
          <w:numId w:val="14"/>
        </w:numPr>
        <w:tabs>
          <w:tab w:val="clear" w:pos="425"/>
        </w:tabs>
        <w:spacing w:line="276" w:lineRule="auto"/>
      </w:pPr>
      <w:r>
        <w:t>Cobradores</w:t>
      </w:r>
      <w:r w:rsidRPr="008A0C76">
        <w:t>.</w:t>
      </w:r>
    </w:p>
    <w:p w14:paraId="7F266F99" w14:textId="77777777" w:rsidR="007A7839" w:rsidRPr="008A0C76" w:rsidRDefault="007A7839" w:rsidP="00FA10A3">
      <w:pPr>
        <w:pStyle w:val="ListaVietas"/>
        <w:numPr>
          <w:ilvl w:val="0"/>
          <w:numId w:val="14"/>
        </w:numPr>
        <w:tabs>
          <w:tab w:val="clear" w:pos="425"/>
        </w:tabs>
        <w:spacing w:line="276" w:lineRule="auto"/>
      </w:pPr>
      <w:r>
        <w:t>Inspectores.</w:t>
      </w:r>
    </w:p>
    <w:p w14:paraId="00943793" w14:textId="77777777" w:rsidR="007A7839" w:rsidRPr="00DB60C1" w:rsidRDefault="007A7839" w:rsidP="00FA10A3">
      <w:pPr>
        <w:pStyle w:val="ListaVietas"/>
        <w:numPr>
          <w:ilvl w:val="0"/>
          <w:numId w:val="14"/>
        </w:numPr>
        <w:tabs>
          <w:tab w:val="clear" w:pos="425"/>
        </w:tabs>
        <w:spacing w:line="276" w:lineRule="auto"/>
      </w:pPr>
      <w:r>
        <w:t>Operadores de transporte</w:t>
      </w:r>
      <w:r w:rsidRPr="00FF34FD">
        <w:t>.</w:t>
      </w:r>
    </w:p>
    <w:p w14:paraId="5124A099" w14:textId="77777777" w:rsidR="007A7839" w:rsidRPr="00DB60C1" w:rsidRDefault="007A7839" w:rsidP="00FA10A3">
      <w:pPr>
        <w:pStyle w:val="ListaVietas"/>
        <w:numPr>
          <w:ilvl w:val="0"/>
          <w:numId w:val="14"/>
        </w:numPr>
        <w:tabs>
          <w:tab w:val="clear" w:pos="425"/>
        </w:tabs>
        <w:spacing w:line="276" w:lineRule="auto"/>
      </w:pPr>
      <w:r>
        <w:t>Bancos adquirentes</w:t>
      </w:r>
      <w:r w:rsidRPr="00DB60C1">
        <w:t xml:space="preserve">. </w:t>
      </w:r>
    </w:p>
    <w:p w14:paraId="0531EF25" w14:textId="77777777" w:rsidR="007A7839" w:rsidRPr="00DB60C1" w:rsidRDefault="007A7839" w:rsidP="00FA10A3">
      <w:pPr>
        <w:pStyle w:val="ListaVietas"/>
        <w:numPr>
          <w:ilvl w:val="0"/>
          <w:numId w:val="14"/>
        </w:numPr>
        <w:tabs>
          <w:tab w:val="clear" w:pos="425"/>
        </w:tabs>
        <w:spacing w:line="276" w:lineRule="auto"/>
      </w:pPr>
      <w:bookmarkStart w:id="43" w:name="_Hlk104909360"/>
      <w:r>
        <w:t>Emisores de dispositivos de pago</w:t>
      </w:r>
    </w:p>
    <w:bookmarkEnd w:id="43"/>
    <w:p w14:paraId="67B00A0C" w14:textId="77777777" w:rsidR="007A7839" w:rsidRDefault="007A7839" w:rsidP="00FA10A3">
      <w:pPr>
        <w:pStyle w:val="ListaVietas"/>
        <w:numPr>
          <w:ilvl w:val="0"/>
          <w:numId w:val="14"/>
        </w:numPr>
        <w:tabs>
          <w:tab w:val="clear" w:pos="425"/>
        </w:tabs>
        <w:spacing w:line="276" w:lineRule="auto"/>
      </w:pPr>
      <w:r w:rsidRPr="00DB60C1">
        <w:t>Proveedores que prestan algún tipo de servicio como parte de la infraestructura tecnológica y operativa de SINPE-TP.</w:t>
      </w:r>
    </w:p>
    <w:p w14:paraId="677E639F" w14:textId="77777777" w:rsidR="007A7839" w:rsidRDefault="007A7839" w:rsidP="00E23D98">
      <w:pPr>
        <w:pStyle w:val="Ttulo2"/>
        <w:numPr>
          <w:ilvl w:val="1"/>
          <w:numId w:val="3"/>
        </w:numPr>
        <w:tabs>
          <w:tab w:val="clear" w:pos="510"/>
        </w:tabs>
        <w:spacing w:line="276" w:lineRule="auto"/>
        <w:ind w:left="229" w:hanging="229"/>
      </w:pPr>
      <w:bookmarkStart w:id="44" w:name="_Toc178504973"/>
      <w:bookmarkStart w:id="45" w:name="_Toc178522721"/>
      <w:bookmarkStart w:id="46" w:name="_Toc178596957"/>
      <w:bookmarkStart w:id="47" w:name="_Toc178597016"/>
      <w:bookmarkStart w:id="48" w:name="_Toc213828755"/>
      <w:bookmarkStart w:id="49" w:name="_Toc216697939"/>
      <w:bookmarkEnd w:id="44"/>
      <w:bookmarkEnd w:id="45"/>
      <w:bookmarkEnd w:id="46"/>
      <w:bookmarkEnd w:id="47"/>
      <w:r>
        <w:t>Dispositivos de pago autorizados</w:t>
      </w:r>
      <w:bookmarkEnd w:id="48"/>
      <w:bookmarkEnd w:id="49"/>
    </w:p>
    <w:p w14:paraId="76C0AEDD" w14:textId="012827A0" w:rsidR="007A7839" w:rsidRDefault="007A7839" w:rsidP="00E23D98">
      <w:pPr>
        <w:rPr>
          <w:rFonts w:cs="Arial"/>
          <w:lang w:val="es-ES_tradnl" w:eastAsia="es-ES"/>
        </w:rPr>
      </w:pPr>
      <w:r>
        <w:rPr>
          <w:rFonts w:cs="Arial"/>
          <w:lang w:val="es-ES_tradnl" w:eastAsia="es-ES"/>
        </w:rPr>
        <w:t xml:space="preserve">El pago de la tarifa por medio del servicio SINPE-TP puede realizarse con dispositivos </w:t>
      </w:r>
      <w:r w:rsidRPr="00CF263B">
        <w:rPr>
          <w:rFonts w:cs="Arial"/>
          <w:i/>
          <w:iCs/>
          <w:lang w:val="es-ES_tradnl" w:eastAsia="es-ES"/>
        </w:rPr>
        <w:t>EMV-Contactless</w:t>
      </w:r>
      <w:r>
        <w:rPr>
          <w:rFonts w:cs="Arial"/>
          <w:lang w:val="es-ES_tradnl" w:eastAsia="es-ES"/>
        </w:rPr>
        <w:t xml:space="preserve"> emitidos bajo las marcas VISA, MasterCard y American Express. Las transacciones son procesadas con el modelo basado en la cuenta (</w:t>
      </w:r>
      <w:r w:rsidRPr="00CF263B">
        <w:rPr>
          <w:rFonts w:cs="Arial"/>
          <w:i/>
          <w:iCs/>
          <w:lang w:eastAsia="es-ES"/>
        </w:rPr>
        <w:t>Account-Based Ticketing</w:t>
      </w:r>
      <w:r>
        <w:rPr>
          <w:rFonts w:cs="Arial"/>
          <w:lang w:eastAsia="es-ES"/>
        </w:rPr>
        <w:t xml:space="preserve">), </w:t>
      </w:r>
      <w:r>
        <w:rPr>
          <w:rFonts w:cs="Arial"/>
          <w:lang w:val="es-ES_tradnl" w:eastAsia="es-ES"/>
        </w:rPr>
        <w:t>fuera de línea y con liquidación diferida (postpago).</w:t>
      </w:r>
    </w:p>
    <w:p w14:paraId="10B28F65" w14:textId="77777777" w:rsidR="003B70C5" w:rsidRDefault="003B70C5" w:rsidP="00E23D98">
      <w:pPr>
        <w:rPr>
          <w:rFonts w:cs="Arial"/>
          <w:lang w:val="es-ES_tradnl" w:eastAsia="es-ES"/>
        </w:rPr>
      </w:pPr>
    </w:p>
    <w:p w14:paraId="3970E8FF" w14:textId="77777777" w:rsidR="003B70C5" w:rsidRDefault="003B70C5" w:rsidP="00E23D98">
      <w:pPr>
        <w:rPr>
          <w:rFonts w:cs="Arial"/>
          <w:lang w:val="es-ES_tradnl" w:eastAsia="es-ES"/>
        </w:rPr>
      </w:pPr>
    </w:p>
    <w:p w14:paraId="590147E6" w14:textId="77777777" w:rsidR="007A7839" w:rsidRDefault="007A7839" w:rsidP="00E23D98">
      <w:pPr>
        <w:pStyle w:val="Ttulo2"/>
        <w:numPr>
          <w:ilvl w:val="1"/>
          <w:numId w:val="3"/>
        </w:numPr>
        <w:tabs>
          <w:tab w:val="clear" w:pos="510"/>
        </w:tabs>
        <w:spacing w:line="276" w:lineRule="auto"/>
        <w:ind w:left="229" w:hanging="229"/>
      </w:pPr>
      <w:bookmarkStart w:id="50" w:name="_Toc213828756"/>
      <w:bookmarkStart w:id="51" w:name="_Toc216697940"/>
      <w:r>
        <w:lastRenderedPageBreak/>
        <w:t>Registro de proveedores de servicios</w:t>
      </w:r>
      <w:bookmarkEnd w:id="50"/>
      <w:bookmarkEnd w:id="51"/>
    </w:p>
    <w:p w14:paraId="213026E3" w14:textId="77777777" w:rsidR="007A7839" w:rsidRDefault="007A7839" w:rsidP="00E23D98">
      <w:r w:rsidRPr="004A5E58">
        <w:t xml:space="preserve">El BCCR </w:t>
      </w:r>
      <w:r>
        <w:t>publicará</w:t>
      </w:r>
      <w:r w:rsidRPr="004A5E58">
        <w:t xml:space="preserve"> </w:t>
      </w:r>
      <w:r>
        <w:t xml:space="preserve">en su página web </w:t>
      </w:r>
      <w:r w:rsidRPr="004A5E58">
        <w:t>una lista de los proveedores de servicio</w:t>
      </w:r>
      <w:r>
        <w:t>s</w:t>
      </w:r>
      <w:r w:rsidRPr="004A5E58">
        <w:t xml:space="preserve"> con la información de contacto y la descripción del servicio que presta dentro del ecosistema de pagos de SINPE-TP.</w:t>
      </w:r>
      <w:r>
        <w:t xml:space="preserve"> </w:t>
      </w:r>
      <w:r w:rsidRPr="004A5E58">
        <w:t xml:space="preserve">Esta lista </w:t>
      </w:r>
      <w:r>
        <w:t xml:space="preserve">es pública, por lo cual </w:t>
      </w:r>
      <w:r w:rsidRPr="004A5E58">
        <w:t>estará disponible para todos los participantes de SINPE-TP.</w:t>
      </w:r>
    </w:p>
    <w:p w14:paraId="4F508E42" w14:textId="77777777" w:rsidR="007A7839" w:rsidRDefault="007A7839" w:rsidP="00E23D98">
      <w:pPr>
        <w:pStyle w:val="Ttulo2"/>
        <w:numPr>
          <w:ilvl w:val="1"/>
          <w:numId w:val="3"/>
        </w:numPr>
        <w:tabs>
          <w:tab w:val="clear" w:pos="510"/>
        </w:tabs>
        <w:spacing w:line="276" w:lineRule="auto"/>
        <w:ind w:left="229" w:hanging="229"/>
      </w:pPr>
      <w:bookmarkStart w:id="52" w:name="_Toc213828757"/>
      <w:bookmarkStart w:id="53" w:name="_Toc216697941"/>
      <w:r>
        <w:t>Horario de funcionamiento</w:t>
      </w:r>
      <w:bookmarkEnd w:id="52"/>
      <w:bookmarkEnd w:id="53"/>
    </w:p>
    <w:p w14:paraId="606E51DE" w14:textId="77777777" w:rsidR="007A7839" w:rsidRDefault="007A7839" w:rsidP="00E23D98">
      <w:pPr>
        <w:rPr>
          <w:rFonts w:cs="Arial"/>
          <w:lang w:val="es-ES_tradnl" w:eastAsia="es-ES"/>
        </w:rPr>
      </w:pPr>
      <w:r w:rsidRPr="00FF34FD">
        <w:rPr>
          <w:rFonts w:cs="Arial"/>
          <w:lang w:val="es-ES_tradnl" w:eastAsia="es-ES"/>
        </w:rPr>
        <w:t>El servicio SINPE-TP funciona con un horario de 24 horas, todos los días del año (</w:t>
      </w:r>
      <w:r>
        <w:rPr>
          <w:rFonts w:cs="Arial"/>
          <w:lang w:val="es-ES_tradnl" w:eastAsia="es-ES"/>
        </w:rPr>
        <w:t xml:space="preserve">modelo </w:t>
      </w:r>
      <w:r w:rsidRPr="00FF34FD">
        <w:rPr>
          <w:rFonts w:cs="Arial"/>
          <w:lang w:val="es-ES_tradnl" w:eastAsia="es-ES"/>
        </w:rPr>
        <w:t>24x7).</w:t>
      </w:r>
      <w:r>
        <w:rPr>
          <w:rFonts w:cs="Arial"/>
          <w:lang w:val="es-ES_tradnl" w:eastAsia="es-ES"/>
        </w:rPr>
        <w:t xml:space="preserve"> </w:t>
      </w:r>
      <w:r w:rsidRPr="00FF34FD">
        <w:rPr>
          <w:rFonts w:cs="Arial"/>
          <w:lang w:val="es-ES_tradnl" w:eastAsia="es-ES"/>
        </w:rPr>
        <w:t>Las operaciones y funcionalidades que cuentan con un horario particular o especial se encuentran especificadas en la presente norma complementaria</w:t>
      </w:r>
      <w:r>
        <w:rPr>
          <w:rFonts w:cs="Arial"/>
          <w:lang w:val="es-ES_tradnl" w:eastAsia="es-ES"/>
        </w:rPr>
        <w:t>.</w:t>
      </w:r>
    </w:p>
    <w:p w14:paraId="03478DF7" w14:textId="77777777" w:rsidR="007A7839" w:rsidRDefault="007A7839" w:rsidP="00E23D98">
      <w:pPr>
        <w:pStyle w:val="Ttulo2"/>
        <w:numPr>
          <w:ilvl w:val="1"/>
          <w:numId w:val="3"/>
        </w:numPr>
        <w:tabs>
          <w:tab w:val="clear" w:pos="510"/>
        </w:tabs>
        <w:spacing w:line="276" w:lineRule="auto"/>
        <w:ind w:left="229" w:hanging="229"/>
      </w:pPr>
      <w:bookmarkStart w:id="54" w:name="_Toc213828758"/>
      <w:bookmarkStart w:id="55" w:name="_Toc216697942"/>
      <w:r>
        <w:t>Suscripción al servicio</w:t>
      </w:r>
      <w:bookmarkEnd w:id="54"/>
      <w:bookmarkEnd w:id="55"/>
    </w:p>
    <w:p w14:paraId="6B1DE7D0" w14:textId="77777777" w:rsidR="007A7839" w:rsidRPr="00AA7BF5" w:rsidRDefault="007A7839" w:rsidP="00E23D98">
      <w:pPr>
        <w:rPr>
          <w:rFonts w:cs="Arial"/>
          <w:lang w:val="es-ES_tradnl" w:eastAsia="es-ES"/>
        </w:rPr>
      </w:pPr>
      <w:r w:rsidRPr="008A0C76">
        <w:rPr>
          <w:rFonts w:cs="Arial"/>
          <w:lang w:val="es-ES_tradnl" w:eastAsia="es-ES"/>
        </w:rPr>
        <w:t xml:space="preserve">Para </w:t>
      </w:r>
      <w:r>
        <w:rPr>
          <w:rFonts w:cs="Arial"/>
          <w:lang w:val="es-ES_tradnl" w:eastAsia="es-ES"/>
        </w:rPr>
        <w:t xml:space="preserve">suscribirse al servicio SINPE-TP e </w:t>
      </w:r>
      <w:r w:rsidRPr="008A0C76">
        <w:rPr>
          <w:rFonts w:cs="Arial"/>
          <w:lang w:val="es-ES_tradnl" w:eastAsia="es-ES"/>
        </w:rPr>
        <w:t xml:space="preserve">iniciar el proceso de conexión </w:t>
      </w:r>
      <w:r>
        <w:rPr>
          <w:rFonts w:cs="Arial"/>
          <w:lang w:val="es-ES_tradnl" w:eastAsia="es-ES"/>
        </w:rPr>
        <w:t>a su plataforma de pagos</w:t>
      </w:r>
      <w:r w:rsidRPr="008A0C76">
        <w:rPr>
          <w:rFonts w:cs="Arial"/>
          <w:lang w:val="es-ES_tradnl" w:eastAsia="es-ES"/>
        </w:rPr>
        <w:t xml:space="preserve">, el operador de transporte debe presentar al BCCR una solicitud </w:t>
      </w:r>
      <w:r>
        <w:rPr>
          <w:rFonts w:cs="Arial"/>
          <w:lang w:val="es-ES_tradnl" w:eastAsia="es-ES"/>
        </w:rPr>
        <w:t xml:space="preserve">en </w:t>
      </w:r>
      <w:r w:rsidRPr="008A0C76">
        <w:rPr>
          <w:rFonts w:cs="Arial"/>
          <w:lang w:val="es-ES_tradnl" w:eastAsia="es-ES"/>
        </w:rPr>
        <w:t xml:space="preserve">las condiciones </w:t>
      </w:r>
      <w:r>
        <w:rPr>
          <w:rFonts w:cs="Arial"/>
          <w:lang w:val="es-ES_tradnl" w:eastAsia="es-ES"/>
        </w:rPr>
        <w:t xml:space="preserve">requeridas en el </w:t>
      </w:r>
      <w:r w:rsidRPr="008A0C76">
        <w:rPr>
          <w:rFonts w:cs="Arial"/>
          <w:lang w:val="es-ES_tradnl" w:eastAsia="es-ES"/>
        </w:rPr>
        <w:t>documento “</w:t>
      </w:r>
      <w:r>
        <w:rPr>
          <w:rFonts w:cs="Arial"/>
          <w:i/>
          <w:iCs/>
          <w:u w:val="single"/>
          <w:lang w:val="es-ES_tradnl" w:eastAsia="es-ES"/>
        </w:rPr>
        <w:t xml:space="preserve">Solicitud de suscripción de operadores de transporte al servicio SINPE-TP </w:t>
      </w:r>
      <w:r w:rsidRPr="008A0C76">
        <w:rPr>
          <w:rFonts w:cs="Arial"/>
          <w:lang w:val="es-ES_tradnl" w:eastAsia="es-ES"/>
        </w:rPr>
        <w:t xml:space="preserve">”, contenido en </w:t>
      </w:r>
      <w:r w:rsidRPr="008F1503">
        <w:rPr>
          <w:rFonts w:cs="Arial"/>
          <w:lang w:val="es-ES_tradnl" w:eastAsia="es-ES"/>
        </w:rPr>
        <w:t>el Anexo 01</w:t>
      </w:r>
      <w:r w:rsidRPr="00ED57A9">
        <w:rPr>
          <w:rFonts w:cs="Arial"/>
          <w:lang w:val="es-ES_tradnl" w:eastAsia="es-ES"/>
        </w:rPr>
        <w:t xml:space="preserve"> de la presente</w:t>
      </w:r>
      <w:r w:rsidRPr="008A0C76">
        <w:rPr>
          <w:rFonts w:cs="Arial"/>
          <w:lang w:val="es-ES_tradnl" w:eastAsia="es-ES"/>
        </w:rPr>
        <w:t xml:space="preserve"> norma complementaria</w:t>
      </w:r>
      <w:r>
        <w:rPr>
          <w:rFonts w:cs="Arial"/>
          <w:lang w:val="es-ES_tradnl" w:eastAsia="es-ES"/>
        </w:rPr>
        <w:t xml:space="preserve">, </w:t>
      </w:r>
      <w:r w:rsidRPr="00AA7BF5">
        <w:rPr>
          <w:rFonts w:cs="Arial"/>
          <w:lang w:val="es-ES_tradnl" w:eastAsia="es-ES"/>
        </w:rPr>
        <w:t xml:space="preserve">el cual debe enviarse al </w:t>
      </w:r>
      <w:r w:rsidRPr="00AA7BF5">
        <w:rPr>
          <w:rFonts w:cs="Arial"/>
          <w:lang w:eastAsia="es-ES"/>
        </w:rPr>
        <w:t>Departamento SINPE-TP</w:t>
      </w:r>
      <w:r>
        <w:rPr>
          <w:rFonts w:cs="Arial"/>
          <w:lang w:eastAsia="es-ES"/>
        </w:rPr>
        <w:t xml:space="preserve"> por medio de la </w:t>
      </w:r>
      <w:r w:rsidRPr="00AA7BF5">
        <w:rPr>
          <w:rFonts w:cs="Arial"/>
          <w:lang w:val="es-ES_tradnl" w:eastAsia="es-ES"/>
        </w:rPr>
        <w:t xml:space="preserve">dirección de correo electrónico </w:t>
      </w:r>
      <w:hyperlink r:id="rId16" w:history="1">
        <w:r w:rsidRPr="00AA7BF5">
          <w:rPr>
            <w:rStyle w:val="Hipervnculo"/>
            <w:rFonts w:cs="Arial"/>
            <w:lang w:eastAsia="es-ES"/>
          </w:rPr>
          <w:t>SINPE-TP-Notificaciones@bccr.fi.cr</w:t>
        </w:r>
      </w:hyperlink>
      <w:r w:rsidRPr="00AA7BF5">
        <w:rPr>
          <w:rFonts w:cs="Arial"/>
          <w:lang w:eastAsia="es-ES"/>
        </w:rPr>
        <w:t>.</w:t>
      </w:r>
    </w:p>
    <w:p w14:paraId="75530169" w14:textId="77777777" w:rsidR="007A7839" w:rsidRDefault="007A7839" w:rsidP="00E23D98">
      <w:pPr>
        <w:rPr>
          <w:lang w:val="es-ES_tradnl" w:eastAsia="es-ES"/>
        </w:rPr>
      </w:pPr>
      <w:r>
        <w:rPr>
          <w:lang w:val="es-ES_tradnl" w:eastAsia="es-ES"/>
        </w:rPr>
        <w:t xml:space="preserve">Como parte </w:t>
      </w:r>
      <w:r w:rsidRPr="00DB60C1">
        <w:rPr>
          <w:lang w:val="es-ES_tradnl" w:eastAsia="es-ES"/>
        </w:rPr>
        <w:t xml:space="preserve">de los requerimientos de información, el operador </w:t>
      </w:r>
      <w:r>
        <w:rPr>
          <w:lang w:val="es-ES_tradnl" w:eastAsia="es-ES"/>
        </w:rPr>
        <w:t xml:space="preserve">de transporte </w:t>
      </w:r>
      <w:r w:rsidRPr="00DB60C1">
        <w:rPr>
          <w:lang w:val="es-ES_tradnl" w:eastAsia="es-ES"/>
        </w:rPr>
        <w:t xml:space="preserve">debe </w:t>
      </w:r>
      <w:r>
        <w:rPr>
          <w:lang w:val="es-ES_tradnl" w:eastAsia="es-ES"/>
        </w:rPr>
        <w:t xml:space="preserve">designar y </w:t>
      </w:r>
      <w:r w:rsidRPr="00DB60C1">
        <w:rPr>
          <w:lang w:val="es-ES_tradnl" w:eastAsia="es-ES"/>
        </w:rPr>
        <w:t xml:space="preserve">reportar </w:t>
      </w:r>
      <w:r>
        <w:rPr>
          <w:lang w:val="es-ES_tradnl" w:eastAsia="es-ES"/>
        </w:rPr>
        <w:t xml:space="preserve">al BCCR dos cuentas IBAN en colones: una cuenta primaria </w:t>
      </w:r>
      <w:r w:rsidRPr="00DB60C1">
        <w:rPr>
          <w:lang w:val="es-ES_tradnl" w:eastAsia="es-ES"/>
        </w:rPr>
        <w:t xml:space="preserve">en la </w:t>
      </w:r>
      <w:r>
        <w:rPr>
          <w:lang w:val="es-ES_tradnl" w:eastAsia="es-ES"/>
        </w:rPr>
        <w:t xml:space="preserve">que por defecto </w:t>
      </w:r>
      <w:r w:rsidRPr="00DB60C1">
        <w:rPr>
          <w:lang w:val="es-ES_tradnl" w:eastAsia="es-ES"/>
        </w:rPr>
        <w:t xml:space="preserve">el BCCR realiza la liquidación de </w:t>
      </w:r>
      <w:r>
        <w:rPr>
          <w:lang w:val="es-ES_tradnl" w:eastAsia="es-ES"/>
        </w:rPr>
        <w:t xml:space="preserve">los </w:t>
      </w:r>
      <w:r w:rsidRPr="00DB60C1">
        <w:rPr>
          <w:lang w:val="es-ES_tradnl" w:eastAsia="es-ES"/>
        </w:rPr>
        <w:t>ingresos tarifarios</w:t>
      </w:r>
      <w:r>
        <w:rPr>
          <w:lang w:val="es-ES_tradnl" w:eastAsia="es-ES"/>
        </w:rPr>
        <w:t xml:space="preserve"> recaudados por medio de SINPE-TP y una cuenta secundaria como opción de uso contingente en los casos en que por algún problema la liquidación no pueda realizarse en la cuenta primaria. Por razones de redundancia operativa, estas cuentas deberán estar abiertas en diferentes entidades financieras. </w:t>
      </w:r>
    </w:p>
    <w:p w14:paraId="0C6A0AD0" w14:textId="77777777" w:rsidR="007A7839" w:rsidRDefault="007A7839" w:rsidP="00E23D98">
      <w:pPr>
        <w:rPr>
          <w:rFonts w:cs="Arial"/>
          <w:lang w:val="es-ES_tradnl" w:eastAsia="es-ES"/>
        </w:rPr>
      </w:pPr>
      <w:r w:rsidRPr="00DB60C1">
        <w:rPr>
          <w:rFonts w:cs="Arial"/>
          <w:lang w:val="es-ES_tradnl" w:eastAsia="es-ES"/>
        </w:rPr>
        <w:t xml:space="preserve">Es responsabilidad del operador </w:t>
      </w:r>
      <w:r>
        <w:rPr>
          <w:lang w:val="es-ES_tradnl" w:eastAsia="es-ES"/>
        </w:rPr>
        <w:t xml:space="preserve">de transporte </w:t>
      </w:r>
      <w:r w:rsidRPr="00DB60C1">
        <w:rPr>
          <w:rFonts w:cs="Arial"/>
          <w:lang w:val="es-ES_tradnl" w:eastAsia="es-ES"/>
        </w:rPr>
        <w:t xml:space="preserve">mantener actualizada la información </w:t>
      </w:r>
      <w:r>
        <w:rPr>
          <w:rFonts w:cs="Arial"/>
          <w:lang w:val="es-ES_tradnl" w:eastAsia="es-ES"/>
        </w:rPr>
        <w:t xml:space="preserve">que debe presentar </w:t>
      </w:r>
      <w:r w:rsidRPr="00DB60C1">
        <w:rPr>
          <w:rFonts w:cs="Arial"/>
          <w:lang w:val="es-ES_tradnl" w:eastAsia="es-ES"/>
        </w:rPr>
        <w:t xml:space="preserve">al BCCR </w:t>
      </w:r>
      <w:r>
        <w:rPr>
          <w:rFonts w:cs="Arial"/>
          <w:lang w:val="es-ES_tradnl" w:eastAsia="es-ES"/>
        </w:rPr>
        <w:t xml:space="preserve">en virtud de su participación en el servicio </w:t>
      </w:r>
      <w:r w:rsidRPr="00DB60C1">
        <w:rPr>
          <w:rFonts w:cs="Arial"/>
          <w:lang w:val="es-ES_tradnl" w:eastAsia="es-ES"/>
        </w:rPr>
        <w:t>SINPE-TP</w:t>
      </w:r>
      <w:r>
        <w:rPr>
          <w:rFonts w:cs="Arial"/>
          <w:lang w:val="es-ES_tradnl" w:eastAsia="es-ES"/>
        </w:rPr>
        <w:t>.</w:t>
      </w:r>
    </w:p>
    <w:p w14:paraId="5B2D962B" w14:textId="77777777" w:rsidR="007A7839" w:rsidRPr="009F7B48" w:rsidRDefault="007A7839" w:rsidP="00E23D98">
      <w:pPr>
        <w:pStyle w:val="Ttulo2"/>
        <w:numPr>
          <w:ilvl w:val="1"/>
          <w:numId w:val="3"/>
        </w:numPr>
        <w:tabs>
          <w:tab w:val="clear" w:pos="510"/>
        </w:tabs>
        <w:spacing w:line="276" w:lineRule="auto"/>
        <w:ind w:left="229" w:hanging="229"/>
      </w:pPr>
      <w:bookmarkStart w:id="56" w:name="_Toc213828759"/>
      <w:bookmarkStart w:id="57" w:name="_Toc216697943"/>
      <w:r w:rsidRPr="009F7B48">
        <w:t>Designación de enlace</w:t>
      </w:r>
      <w:r w:rsidRPr="00111741">
        <w:t>s</w:t>
      </w:r>
      <w:r w:rsidRPr="009F7B48">
        <w:t xml:space="preserve"> técnico</w:t>
      </w:r>
      <w:r w:rsidRPr="00111741">
        <w:t>s</w:t>
      </w:r>
      <w:bookmarkEnd w:id="56"/>
      <w:bookmarkEnd w:id="57"/>
    </w:p>
    <w:p w14:paraId="7EE6C9D5" w14:textId="77777777" w:rsidR="007A7839" w:rsidRPr="00CF263B" w:rsidRDefault="007A7839" w:rsidP="00E23D98">
      <w:pPr>
        <w:rPr>
          <w:rFonts w:cs="Arial"/>
          <w:lang w:val="es-ES_tradnl" w:eastAsia="es-ES"/>
        </w:rPr>
      </w:pPr>
      <w:r w:rsidRPr="00CF263B">
        <w:rPr>
          <w:rFonts w:cs="Arial"/>
          <w:lang w:val="es-ES_tradnl" w:eastAsia="es-ES"/>
        </w:rPr>
        <w:t xml:space="preserve">El </w:t>
      </w:r>
      <w:r w:rsidRPr="00CF263B">
        <w:rPr>
          <w:lang w:val="es-ES_tradnl" w:eastAsia="es-ES"/>
        </w:rPr>
        <w:t xml:space="preserve">adquirente y el emisor de dispositivos de pago, de acuerdo con el rol que desempeña cada uno en virtud de su participación en el ecosistema de pagos de SINPE-TP, </w:t>
      </w:r>
      <w:r w:rsidRPr="00CF263B">
        <w:rPr>
          <w:rFonts w:cs="Arial"/>
          <w:lang w:val="es-ES_tradnl" w:eastAsia="es-ES"/>
        </w:rPr>
        <w:t>deben nombrar a uno de sus colaboradores como enlace técnico encargado de coordinar con el BCCR las actividades relacionadas con el funcionamiento del sistema.</w:t>
      </w:r>
    </w:p>
    <w:p w14:paraId="76D9E4E4" w14:textId="77777777" w:rsidR="007A7839" w:rsidRPr="00856605" w:rsidRDefault="007A7839" w:rsidP="00E23D98">
      <w:pPr>
        <w:rPr>
          <w:rFonts w:cs="Arial"/>
          <w:szCs w:val="20"/>
          <w:lang w:val="es-ES_tradnl"/>
        </w:rPr>
      </w:pPr>
      <w:r>
        <w:rPr>
          <w:rFonts w:cs="Arial"/>
          <w:szCs w:val="20"/>
          <w:lang w:val="es-ES_tradnl"/>
        </w:rPr>
        <w:t>La siguientes son las funciones a cargo de las personas con el rol de enlace técnico:</w:t>
      </w:r>
    </w:p>
    <w:p w14:paraId="202EEA0E" w14:textId="77777777" w:rsidR="007A7839" w:rsidRPr="00CF263B" w:rsidRDefault="007A7839" w:rsidP="00FA10A3">
      <w:pPr>
        <w:pStyle w:val="ListaVietas"/>
        <w:numPr>
          <w:ilvl w:val="0"/>
          <w:numId w:val="15"/>
        </w:numPr>
        <w:tabs>
          <w:tab w:val="clear" w:pos="425"/>
        </w:tabs>
        <w:spacing w:line="276" w:lineRule="auto"/>
        <w:ind w:left="709"/>
      </w:pPr>
      <w:r w:rsidRPr="00CF263B">
        <w:t>Actuar como contacto directo con el BCCR para coordinar la atención de los asuntos que se relacionen con la participación de su entidad en el ecosistema de pagos de SINPE-TP.</w:t>
      </w:r>
    </w:p>
    <w:p w14:paraId="42D5CBDD" w14:textId="77777777" w:rsidR="007A7839" w:rsidRPr="00CF263B" w:rsidRDefault="007A7839" w:rsidP="00FA10A3">
      <w:pPr>
        <w:pStyle w:val="ListaVietas"/>
        <w:numPr>
          <w:ilvl w:val="0"/>
          <w:numId w:val="15"/>
        </w:numPr>
        <w:tabs>
          <w:tab w:val="clear" w:pos="425"/>
        </w:tabs>
        <w:spacing w:line="276" w:lineRule="auto"/>
        <w:ind w:left="709"/>
      </w:pPr>
      <w:r w:rsidRPr="00CF263B">
        <w:t>Mantenerse informado sobre los asuntos de su entidad como participante de SINPE-TP, así como de las situaciones que amenacen, deterioren o interrumpan el normal funcionamiento de los servicios que proveen a la plataforma de pagos de SINPE-TP, con el propósito de coordinar oportunamente las medidas o acciones de atención que correspondan.</w:t>
      </w:r>
    </w:p>
    <w:p w14:paraId="1EFAC0A4" w14:textId="77777777" w:rsidR="007A7839" w:rsidRPr="00CF263B" w:rsidRDefault="007A7839" w:rsidP="00FA10A3">
      <w:pPr>
        <w:pStyle w:val="ListaVietas"/>
        <w:numPr>
          <w:ilvl w:val="0"/>
          <w:numId w:val="15"/>
        </w:numPr>
        <w:tabs>
          <w:tab w:val="clear" w:pos="425"/>
        </w:tabs>
        <w:spacing w:line="276" w:lineRule="auto"/>
        <w:ind w:left="709"/>
      </w:pPr>
      <w:r w:rsidRPr="00CF263B">
        <w:t>Mantenerse vigilante de los cambios que se implementen en su entidad relacionados con el sistema de tarjetas de pago, para identificar los impactos que puedan provocar al funcionamiento de SINPE-TP e informar oportunamente al BCCR de la situación, cuando así corresponda.</w:t>
      </w:r>
    </w:p>
    <w:p w14:paraId="14BD27E0" w14:textId="77777777" w:rsidR="007A7839" w:rsidRPr="00CF263B" w:rsidRDefault="007A7839" w:rsidP="00FA10A3">
      <w:pPr>
        <w:pStyle w:val="ListaVietas"/>
        <w:numPr>
          <w:ilvl w:val="0"/>
          <w:numId w:val="15"/>
        </w:numPr>
        <w:tabs>
          <w:tab w:val="clear" w:pos="425"/>
        </w:tabs>
        <w:spacing w:line="276" w:lineRule="auto"/>
        <w:ind w:left="709"/>
      </w:pPr>
      <w:r w:rsidRPr="00CF263B">
        <w:lastRenderedPageBreak/>
        <w:t>Remitir al BCCR las observaciones y sugerencias que se desprendan de la operación de SINPE</w:t>
      </w:r>
      <w:r w:rsidRPr="00CF263B">
        <w:noBreakHyphen/>
        <w:t xml:space="preserve">TP y que contribuyan a mejorar la prestación de sus servicios o </w:t>
      </w:r>
      <w:r>
        <w:t xml:space="preserve">a </w:t>
      </w:r>
      <w:r w:rsidRPr="00CF263B">
        <w:t xml:space="preserve">desarrollar nuevas funcionalidades. </w:t>
      </w:r>
    </w:p>
    <w:p w14:paraId="37AF7D1D" w14:textId="77777777" w:rsidR="007A7839" w:rsidRPr="00CF263B" w:rsidRDefault="007A7839" w:rsidP="00FA10A3">
      <w:pPr>
        <w:pStyle w:val="ListaVietas"/>
        <w:numPr>
          <w:ilvl w:val="0"/>
          <w:numId w:val="15"/>
        </w:numPr>
        <w:tabs>
          <w:tab w:val="clear" w:pos="425"/>
        </w:tabs>
        <w:spacing w:line="276" w:lineRule="auto"/>
        <w:ind w:left="709"/>
      </w:pPr>
      <w:r w:rsidRPr="00CF263B">
        <w:t>Colaborar con el BCCR en el desarrollo y la implementación de las actualizaciones de las nuevas funcionalidades requeridas en la plataforma de pagos de SINPE-TP</w:t>
      </w:r>
      <w:r>
        <w:t>.</w:t>
      </w:r>
    </w:p>
    <w:p w14:paraId="625F98FA" w14:textId="77777777" w:rsidR="007A7839" w:rsidRPr="00CF263B" w:rsidRDefault="007A7839" w:rsidP="00FA10A3">
      <w:pPr>
        <w:pStyle w:val="ListaVietas"/>
        <w:numPr>
          <w:ilvl w:val="0"/>
          <w:numId w:val="15"/>
        </w:numPr>
        <w:tabs>
          <w:tab w:val="clear" w:pos="425"/>
        </w:tabs>
        <w:spacing w:line="276" w:lineRule="auto"/>
        <w:ind w:left="709"/>
      </w:pPr>
      <w:r w:rsidRPr="00CF263B">
        <w:t>Coordinar en su entidad la resolución de los incidentes que se presenten con el funcionamiento del servicio SINPE-TP, cuando así corresponda.</w:t>
      </w:r>
    </w:p>
    <w:p w14:paraId="087C87B0" w14:textId="77777777" w:rsidR="007A7839" w:rsidRPr="00CF263B" w:rsidRDefault="007A7839" w:rsidP="00FA10A3">
      <w:pPr>
        <w:pStyle w:val="ListaVietas"/>
        <w:numPr>
          <w:ilvl w:val="0"/>
          <w:numId w:val="15"/>
        </w:numPr>
        <w:tabs>
          <w:tab w:val="clear" w:pos="425"/>
        </w:tabs>
        <w:spacing w:line="276" w:lineRule="auto"/>
        <w:ind w:left="709"/>
      </w:pPr>
      <w:r w:rsidRPr="00CF263B">
        <w:t>Participar en las reuniones y actividades a las cuales le convoque el BCCR, con el fin de apoyar los procesos de modernización de los pagos en el transporte público.</w:t>
      </w:r>
    </w:p>
    <w:p w14:paraId="2C6E2EC0" w14:textId="77777777" w:rsidR="007A7839" w:rsidRPr="00CF263B" w:rsidRDefault="007A7839" w:rsidP="00FA10A3">
      <w:pPr>
        <w:pStyle w:val="ListaVietas"/>
        <w:numPr>
          <w:ilvl w:val="0"/>
          <w:numId w:val="15"/>
        </w:numPr>
        <w:tabs>
          <w:tab w:val="clear" w:pos="425"/>
        </w:tabs>
        <w:spacing w:line="276" w:lineRule="auto"/>
        <w:ind w:left="709"/>
      </w:pPr>
      <w:r w:rsidRPr="00CF263B">
        <w:t>Colaborar bajo la representación técnica de su entidad, en cualquier otra actividad relacionada con el servicio SINPE-TP que requiera de su participación.</w:t>
      </w:r>
    </w:p>
    <w:p w14:paraId="1A043DFD" w14:textId="77777777" w:rsidR="007A7839" w:rsidRDefault="007A7839" w:rsidP="00E23D98">
      <w:pPr>
        <w:rPr>
          <w:rStyle w:val="Hipervnculo"/>
        </w:rPr>
      </w:pPr>
      <w:bookmarkStart w:id="58" w:name="_Hlk121210371"/>
      <w:r w:rsidRPr="00357808">
        <w:rPr>
          <w:rFonts w:cs="Arial"/>
          <w:lang w:val="es-ES_tradnl" w:eastAsia="es-ES"/>
        </w:rPr>
        <w:t>La</w:t>
      </w:r>
      <w:r w:rsidRPr="00CF263B">
        <w:rPr>
          <w:rFonts w:cs="Arial"/>
          <w:lang w:val="es-ES_tradnl" w:eastAsia="es-ES"/>
        </w:rPr>
        <w:t>s</w:t>
      </w:r>
      <w:r w:rsidRPr="00357808">
        <w:rPr>
          <w:rFonts w:cs="Arial"/>
          <w:lang w:val="es-ES_tradnl" w:eastAsia="es-ES"/>
        </w:rPr>
        <w:t xml:space="preserve"> persona</w:t>
      </w:r>
      <w:r w:rsidRPr="00CF263B">
        <w:rPr>
          <w:rFonts w:cs="Arial"/>
          <w:lang w:val="es-ES_tradnl" w:eastAsia="es-ES"/>
        </w:rPr>
        <w:t>s</w:t>
      </w:r>
      <w:r w:rsidRPr="00357808">
        <w:rPr>
          <w:rFonts w:cs="Arial"/>
          <w:lang w:val="es-ES_tradnl" w:eastAsia="es-ES"/>
        </w:rPr>
        <w:t xml:space="preserve"> que se designe</w:t>
      </w:r>
      <w:r w:rsidRPr="00CF263B">
        <w:rPr>
          <w:rFonts w:cs="Arial"/>
          <w:lang w:val="es-ES_tradnl" w:eastAsia="es-ES"/>
        </w:rPr>
        <w:t xml:space="preserve">n </w:t>
      </w:r>
      <w:r>
        <w:rPr>
          <w:rFonts w:cs="Arial"/>
          <w:lang w:val="es-ES_tradnl" w:eastAsia="es-ES"/>
        </w:rPr>
        <w:t xml:space="preserve">a cargo de </w:t>
      </w:r>
      <w:r w:rsidRPr="00CF263B">
        <w:rPr>
          <w:rFonts w:cs="Arial"/>
          <w:lang w:val="es-ES_tradnl" w:eastAsia="es-ES"/>
        </w:rPr>
        <w:t>este rol</w:t>
      </w:r>
      <w:r w:rsidRPr="00357808">
        <w:rPr>
          <w:rFonts w:cs="Arial"/>
          <w:lang w:val="es-ES_tradnl" w:eastAsia="es-ES"/>
        </w:rPr>
        <w:t xml:space="preserve"> debe</w:t>
      </w:r>
      <w:r w:rsidRPr="00CF263B">
        <w:rPr>
          <w:rFonts w:cs="Arial"/>
          <w:lang w:val="es-ES_tradnl" w:eastAsia="es-ES"/>
        </w:rPr>
        <w:t>n</w:t>
      </w:r>
      <w:r w:rsidRPr="00357808">
        <w:rPr>
          <w:rFonts w:cs="Arial"/>
          <w:lang w:val="es-ES_tradnl" w:eastAsia="es-ES"/>
        </w:rPr>
        <w:t xml:space="preserve"> estar relacionada</w:t>
      </w:r>
      <w:r w:rsidRPr="00CF263B">
        <w:rPr>
          <w:rFonts w:cs="Arial"/>
          <w:lang w:val="es-ES_tradnl" w:eastAsia="es-ES"/>
        </w:rPr>
        <w:t>s</w:t>
      </w:r>
      <w:r w:rsidRPr="00357808">
        <w:rPr>
          <w:rFonts w:cs="Arial"/>
          <w:lang w:val="es-ES_tradnl" w:eastAsia="es-ES"/>
        </w:rPr>
        <w:t xml:space="preserve"> directamente con el funcionamiento de SINPE-TP y poseer un nivel jerárquico en su entidad que la</w:t>
      </w:r>
      <w:r w:rsidRPr="00CF263B">
        <w:rPr>
          <w:rFonts w:cs="Arial"/>
          <w:lang w:val="es-ES_tradnl" w:eastAsia="es-ES"/>
        </w:rPr>
        <w:t>s</w:t>
      </w:r>
      <w:r w:rsidRPr="00357808">
        <w:rPr>
          <w:rFonts w:cs="Arial"/>
          <w:lang w:val="es-ES_tradnl" w:eastAsia="es-ES"/>
        </w:rPr>
        <w:t xml:space="preserve"> habilite para desempeñar adecuadamente las labores requeridas por el BCCR. Asimismo, el participante debe comunicar formalmente </w:t>
      </w:r>
      <w:r>
        <w:rPr>
          <w:rFonts w:cs="Arial"/>
          <w:lang w:val="es-ES_tradnl" w:eastAsia="es-ES"/>
        </w:rPr>
        <w:t xml:space="preserve">el </w:t>
      </w:r>
      <w:r w:rsidRPr="00357808">
        <w:rPr>
          <w:rFonts w:cs="Arial"/>
          <w:lang w:val="es-ES_tradnl" w:eastAsia="es-ES"/>
        </w:rPr>
        <w:t xml:space="preserve">nombre completo </w:t>
      </w:r>
      <w:r>
        <w:rPr>
          <w:rFonts w:cs="Arial"/>
          <w:lang w:val="es-ES_tradnl" w:eastAsia="es-ES"/>
        </w:rPr>
        <w:t xml:space="preserve">y la </w:t>
      </w:r>
      <w:r w:rsidRPr="00357808">
        <w:rPr>
          <w:rFonts w:cs="Arial"/>
          <w:lang w:val="es-ES_tradnl" w:eastAsia="es-ES"/>
        </w:rPr>
        <w:t xml:space="preserve">información de contacto </w:t>
      </w:r>
      <w:r>
        <w:rPr>
          <w:rFonts w:cs="Arial"/>
          <w:lang w:val="es-ES_tradnl" w:eastAsia="es-ES"/>
        </w:rPr>
        <w:t xml:space="preserve">de su enlace técnico </w:t>
      </w:r>
      <w:r w:rsidRPr="00357808">
        <w:rPr>
          <w:rFonts w:cs="Arial"/>
          <w:lang w:val="es-ES_tradnl" w:eastAsia="es-ES"/>
        </w:rPr>
        <w:t xml:space="preserve">al Departamento SINPE-TP, a la dirección de correo electrónico </w:t>
      </w:r>
      <w:hyperlink r:id="rId17" w:history="1">
        <w:r w:rsidRPr="00357808">
          <w:rPr>
            <w:rStyle w:val="Hipervnculo"/>
          </w:rPr>
          <w:t>SINPE-TP-Notificaciones@bccr.fi.cr</w:t>
        </w:r>
      </w:hyperlink>
      <w:bookmarkEnd w:id="58"/>
      <w:r w:rsidRPr="00357808">
        <w:t>.</w:t>
      </w:r>
    </w:p>
    <w:p w14:paraId="2FCADC44" w14:textId="77777777" w:rsidR="007A7839" w:rsidRDefault="007A7839" w:rsidP="00E23D98">
      <w:pPr>
        <w:pStyle w:val="Ttulo2"/>
        <w:numPr>
          <w:ilvl w:val="1"/>
          <w:numId w:val="3"/>
        </w:numPr>
        <w:tabs>
          <w:tab w:val="clear" w:pos="510"/>
        </w:tabs>
        <w:spacing w:line="276" w:lineRule="auto"/>
        <w:ind w:left="229" w:hanging="229"/>
      </w:pPr>
      <w:bookmarkStart w:id="59" w:name="_Toc213828760"/>
      <w:bookmarkStart w:id="60" w:name="_Toc216697944"/>
      <w:r>
        <w:t>Comité Técnico de Operadores</w:t>
      </w:r>
      <w:bookmarkEnd w:id="59"/>
      <w:bookmarkEnd w:id="60"/>
    </w:p>
    <w:p w14:paraId="1470EFE0" w14:textId="77777777" w:rsidR="007A7839" w:rsidRPr="00FF30E3" w:rsidRDefault="007A7839" w:rsidP="00E23D98">
      <w:pPr>
        <w:autoSpaceDE w:val="0"/>
        <w:autoSpaceDN w:val="0"/>
        <w:adjustRightInd w:val="0"/>
        <w:rPr>
          <w:rFonts w:cs="Arial"/>
          <w:szCs w:val="20"/>
        </w:rPr>
      </w:pPr>
      <w:r w:rsidRPr="00990636">
        <w:rPr>
          <w:rFonts w:cs="Arial"/>
          <w:szCs w:val="20"/>
        </w:rPr>
        <w:t xml:space="preserve">El servicio SINPE-TP funciona con la participación </w:t>
      </w:r>
      <w:r>
        <w:rPr>
          <w:rFonts w:cs="Arial"/>
          <w:szCs w:val="20"/>
        </w:rPr>
        <w:t xml:space="preserve">de un comité de operadores de transporte </w:t>
      </w:r>
      <w:r w:rsidRPr="00990636">
        <w:rPr>
          <w:rFonts w:cs="Arial"/>
          <w:szCs w:val="20"/>
        </w:rPr>
        <w:t>como órgano de apoyo técnico del BCCR, con el fin de promover el desarrollo y la modernización del pago electrónico en el transporte público. Dich</w:t>
      </w:r>
      <w:r>
        <w:rPr>
          <w:rFonts w:cs="Arial"/>
          <w:szCs w:val="20"/>
        </w:rPr>
        <w:t>o</w:t>
      </w:r>
      <w:r w:rsidRPr="00990636">
        <w:rPr>
          <w:rFonts w:cs="Arial"/>
          <w:szCs w:val="20"/>
        </w:rPr>
        <w:t xml:space="preserve"> </w:t>
      </w:r>
      <w:r>
        <w:rPr>
          <w:rFonts w:cs="Arial"/>
          <w:szCs w:val="20"/>
        </w:rPr>
        <w:t xml:space="preserve">comité </w:t>
      </w:r>
      <w:r w:rsidRPr="00990636">
        <w:rPr>
          <w:rFonts w:cs="Arial"/>
          <w:szCs w:val="20"/>
        </w:rPr>
        <w:t xml:space="preserve">opera con las funciones y la estructura de representación definidas en el Reglamento </w:t>
      </w:r>
      <w:r>
        <w:rPr>
          <w:rFonts w:cs="Arial"/>
          <w:szCs w:val="20"/>
        </w:rPr>
        <w:t>de SINPE-TP</w:t>
      </w:r>
      <w:r w:rsidRPr="00990636">
        <w:rPr>
          <w:rFonts w:cs="Arial"/>
          <w:szCs w:val="20"/>
        </w:rPr>
        <w:t>.</w:t>
      </w:r>
    </w:p>
    <w:p w14:paraId="4BAF2FAD" w14:textId="77777777" w:rsidR="007A7839" w:rsidRDefault="007A7839" w:rsidP="00E23D98">
      <w:pPr>
        <w:rPr>
          <w:rFonts w:cs="Arial"/>
          <w:szCs w:val="20"/>
        </w:rPr>
      </w:pPr>
      <w:r w:rsidRPr="00FF30E3">
        <w:rPr>
          <w:rFonts w:cs="Arial"/>
          <w:szCs w:val="20"/>
        </w:rPr>
        <w:t xml:space="preserve">La selección de los puestos de representación </w:t>
      </w:r>
      <w:r>
        <w:rPr>
          <w:rFonts w:cs="Arial"/>
          <w:szCs w:val="20"/>
        </w:rPr>
        <w:t xml:space="preserve">del Comité Técnico de Operadores </w:t>
      </w:r>
      <w:r w:rsidRPr="00FF30E3">
        <w:rPr>
          <w:rFonts w:cs="Arial"/>
          <w:szCs w:val="20"/>
        </w:rPr>
        <w:t>se determina de conformidad con el siguiente procedimiento:</w:t>
      </w:r>
    </w:p>
    <w:p w14:paraId="1AC4EEBE" w14:textId="77777777" w:rsidR="007A7839" w:rsidRPr="00FF30E3" w:rsidRDefault="007A7839" w:rsidP="00FA10A3">
      <w:pPr>
        <w:pStyle w:val="ListaNivel2"/>
        <w:numPr>
          <w:ilvl w:val="0"/>
          <w:numId w:val="6"/>
        </w:numPr>
        <w:spacing w:line="276" w:lineRule="auto"/>
      </w:pPr>
      <w:r w:rsidRPr="00FF30E3">
        <w:t xml:space="preserve">El puesto de representación correspondiente al director de la División Sistemas de Pago recae en la persona que desempeñe ese cargo administrativo en el BCCR, o en quien </w:t>
      </w:r>
      <w:r>
        <w:t xml:space="preserve">éste </w:t>
      </w:r>
      <w:r w:rsidRPr="00FF30E3">
        <w:t>delegue su representación.</w:t>
      </w:r>
      <w:r>
        <w:t xml:space="preserve"> </w:t>
      </w:r>
      <w:r w:rsidRPr="00FF30E3">
        <w:t xml:space="preserve">Este puesto tiene a cargo la coordinación </w:t>
      </w:r>
      <w:r>
        <w:t>del Comité</w:t>
      </w:r>
      <w:r w:rsidRPr="00FF30E3">
        <w:t>.</w:t>
      </w:r>
    </w:p>
    <w:p w14:paraId="1007C246" w14:textId="77777777" w:rsidR="007A7839" w:rsidRPr="00FF30E3" w:rsidRDefault="007A7839" w:rsidP="00FA10A3">
      <w:pPr>
        <w:pStyle w:val="ListaNivel2"/>
        <w:numPr>
          <w:ilvl w:val="0"/>
          <w:numId w:val="6"/>
        </w:numPr>
        <w:spacing w:line="276" w:lineRule="auto"/>
      </w:pPr>
      <w:r>
        <w:t xml:space="preserve">Dos </w:t>
      </w:r>
      <w:r w:rsidRPr="00FF30E3">
        <w:t>representante</w:t>
      </w:r>
      <w:r>
        <w:t>s</w:t>
      </w:r>
      <w:r w:rsidRPr="00FF30E3">
        <w:t xml:space="preserve"> de Incofer</w:t>
      </w:r>
      <w:r>
        <w:t xml:space="preserve"> </w:t>
      </w:r>
      <w:r w:rsidRPr="00FF30E3">
        <w:t>nombrado</w:t>
      </w:r>
      <w:r>
        <w:t>s</w:t>
      </w:r>
      <w:r w:rsidRPr="00FF30E3">
        <w:t xml:space="preserve"> por </w:t>
      </w:r>
      <w:r>
        <w:t xml:space="preserve">la </w:t>
      </w:r>
      <w:r w:rsidRPr="00FF30E3">
        <w:t>Junta Directiva</w:t>
      </w:r>
      <w:r>
        <w:t xml:space="preserve"> de esa institución</w:t>
      </w:r>
      <w:r w:rsidRPr="00FF30E3">
        <w:t>, la cual debe</w:t>
      </w:r>
      <w:r>
        <w:t>rá</w:t>
      </w:r>
      <w:r w:rsidRPr="00FF30E3">
        <w:t xml:space="preserve"> comunicar formalmente al BCCR </w:t>
      </w:r>
      <w:r>
        <w:t xml:space="preserve">las </w:t>
      </w:r>
      <w:r w:rsidRPr="00FF30E3">
        <w:t>designaci</w:t>
      </w:r>
      <w:r>
        <w:t>ones respectivas</w:t>
      </w:r>
      <w:r w:rsidRPr="00FF30E3">
        <w:t xml:space="preserve">. </w:t>
      </w:r>
    </w:p>
    <w:p w14:paraId="14B4A357" w14:textId="77777777" w:rsidR="007A7839" w:rsidRDefault="007A7839" w:rsidP="00FA10A3">
      <w:pPr>
        <w:pStyle w:val="ListaNivel2"/>
        <w:numPr>
          <w:ilvl w:val="0"/>
          <w:numId w:val="6"/>
        </w:numPr>
        <w:spacing w:line="276" w:lineRule="auto"/>
      </w:pPr>
      <w:r w:rsidRPr="002D6E89">
        <w:rPr>
          <w:color w:val="000000"/>
          <w:lang w:val="es-CR"/>
        </w:rPr>
        <w:t>Dos representantes por cada cámara de autobuseros, nombrados por sus juntas directivas según corresponda</w:t>
      </w:r>
      <w:r>
        <w:t>.</w:t>
      </w:r>
    </w:p>
    <w:p w14:paraId="70EB0503" w14:textId="77777777" w:rsidR="007A7839" w:rsidRDefault="007A7839" w:rsidP="00E23D98">
      <w:pPr>
        <w:pStyle w:val="ListaNivel2"/>
        <w:tabs>
          <w:tab w:val="clear" w:pos="1077"/>
        </w:tabs>
        <w:spacing w:line="276" w:lineRule="auto"/>
        <w:ind w:left="737" w:firstLine="0"/>
        <w:rPr>
          <w:rFonts w:cs="Arial"/>
          <w:bCs/>
          <w:color w:val="000000"/>
          <w:szCs w:val="20"/>
        </w:rPr>
      </w:pPr>
      <w:r w:rsidRPr="00852F9D">
        <w:rPr>
          <w:rFonts w:cs="Arial"/>
          <w:bCs/>
          <w:color w:val="000000"/>
          <w:szCs w:val="20"/>
        </w:rPr>
        <w:t xml:space="preserve">Las cámaras de autobuseros facultadas para </w:t>
      </w:r>
      <w:r>
        <w:rPr>
          <w:rFonts w:cs="Arial"/>
          <w:bCs/>
          <w:color w:val="000000"/>
          <w:szCs w:val="20"/>
        </w:rPr>
        <w:t xml:space="preserve">mantener </w:t>
      </w:r>
      <w:r w:rsidRPr="00852F9D">
        <w:rPr>
          <w:rFonts w:cs="Arial"/>
          <w:bCs/>
          <w:color w:val="000000"/>
          <w:szCs w:val="20"/>
        </w:rPr>
        <w:t xml:space="preserve">representación en el Comité Técnico de Operadores son </w:t>
      </w:r>
      <w:r>
        <w:rPr>
          <w:rFonts w:cs="Arial"/>
          <w:bCs/>
          <w:color w:val="000000"/>
          <w:szCs w:val="20"/>
        </w:rPr>
        <w:t>las que cumplan con el requerimiento mínimo de concesionarios o permisionarios afiliados y de unidades de transporte autorizadas por el CTP a sus afiliados, de conformidad con el artículo 24 del Reglamento de SINPE-TP.</w:t>
      </w:r>
    </w:p>
    <w:p w14:paraId="032C3E14" w14:textId="77777777" w:rsidR="007A7839" w:rsidRDefault="007A7839" w:rsidP="00E23D98">
      <w:pPr>
        <w:pStyle w:val="ListaNivel2"/>
        <w:tabs>
          <w:tab w:val="clear" w:pos="1077"/>
        </w:tabs>
        <w:spacing w:line="276" w:lineRule="auto"/>
        <w:ind w:left="737" w:firstLine="0"/>
      </w:pPr>
      <w:r>
        <w:rPr>
          <w:rFonts w:cs="Arial"/>
          <w:bCs/>
          <w:color w:val="000000"/>
          <w:szCs w:val="20"/>
        </w:rPr>
        <w:t xml:space="preserve">Para estos efectos, el representante legal de la cámara de autobuseros interesada deberá presentar ante el Departamento SINPE-TP, en noviembre del año previo al nombramiento de los representantes del Comité, una </w:t>
      </w:r>
      <w:r w:rsidRPr="00FF30E3">
        <w:t xml:space="preserve">declaración jurada de </w:t>
      </w:r>
      <w:r>
        <w:t xml:space="preserve">la cantidad de afiliados y unidades de transporte autorizadas, la cual deberá considerar </w:t>
      </w:r>
      <w:r w:rsidRPr="00FF30E3">
        <w:t xml:space="preserve">únicamente </w:t>
      </w:r>
      <w:r>
        <w:t xml:space="preserve">a </w:t>
      </w:r>
      <w:r w:rsidRPr="00FF30E3">
        <w:t xml:space="preserve">las empresas </w:t>
      </w:r>
      <w:r>
        <w:t xml:space="preserve">con </w:t>
      </w:r>
      <w:r w:rsidRPr="00FF30E3">
        <w:t>afiliación directa</w:t>
      </w:r>
      <w:r>
        <w:t xml:space="preserve"> a la cámara</w:t>
      </w:r>
      <w:r w:rsidRPr="00FF30E3">
        <w:t xml:space="preserve">, de manera que </w:t>
      </w:r>
      <w:r>
        <w:t xml:space="preserve">no contabilice a las empresas afiliadas indirectamente por medio de </w:t>
      </w:r>
      <w:r w:rsidRPr="00FF30E3">
        <w:t>la afiliación de otras organizaciones</w:t>
      </w:r>
      <w:r>
        <w:t xml:space="preserve"> gremiales, en el entendido de que ese mismo </w:t>
      </w:r>
      <w:r>
        <w:lastRenderedPageBreak/>
        <w:t>criterio de contabilización aplica para la cantidad de unidades de transporte autorizadas de los afiliados.</w:t>
      </w:r>
    </w:p>
    <w:p w14:paraId="53562DA7" w14:textId="77777777" w:rsidR="007A7839" w:rsidRPr="008F1503" w:rsidRDefault="007A7839" w:rsidP="00E23D98">
      <w:pPr>
        <w:pStyle w:val="ListaNivel2"/>
        <w:tabs>
          <w:tab w:val="clear" w:pos="1077"/>
        </w:tabs>
        <w:spacing w:line="276" w:lineRule="auto"/>
        <w:ind w:left="737" w:firstLine="0"/>
      </w:pPr>
      <w:r w:rsidRPr="008F1503">
        <w:t>El contenido informativo de la declaración jurada deberá presentar en detalle la razón social de los concesionarios o permisionarios afiliados directamente a la cámara, así como la cantidad de unidades de transporte autorizadas por el CTP a cada uno de ellos, con vigencia a la fecha de emisión de la declaración.</w:t>
      </w:r>
    </w:p>
    <w:p w14:paraId="2C2235D7" w14:textId="77777777" w:rsidR="007A7839" w:rsidRPr="008F1503" w:rsidRDefault="007A7839" w:rsidP="00E23D98">
      <w:pPr>
        <w:ind w:left="709"/>
        <w:rPr>
          <w:lang w:eastAsia="es-CR"/>
        </w:rPr>
      </w:pPr>
      <w:r w:rsidRPr="008F1503">
        <w:rPr>
          <w:lang w:eastAsia="es-CR"/>
        </w:rPr>
        <w:t>El BCCR comunicará oportunamente a las cámaras de autobuseros la designación de los representantes del Comité Técnico de Operadores, conforme corresponda en cada caso.</w:t>
      </w:r>
    </w:p>
    <w:p w14:paraId="37783F3D" w14:textId="77777777" w:rsidR="007A7839" w:rsidRPr="00FF34FD" w:rsidRDefault="007A7839" w:rsidP="00E23D98">
      <w:bookmarkStart w:id="61" w:name="_Hlk132373880"/>
      <w:r w:rsidRPr="008A0C76">
        <w:t xml:space="preserve">El nombramiento de los representantes de los operadores </w:t>
      </w:r>
      <w:r w:rsidRPr="008A0C76">
        <w:rPr>
          <w:lang w:val="es-ES_tradnl" w:eastAsia="es-ES"/>
        </w:rPr>
        <w:t>de transporte</w:t>
      </w:r>
      <w:r w:rsidRPr="008A0C76">
        <w:t xml:space="preserve"> debe procurar que las personas designadas posean amplia experiencia en los procesos relacionados con la gestión de la operación del transporte público y en la materia tarifaria, preferiblemente con conocimientos en tecnologías de la información y la comunicación, así como en el conjunto de dispositivos con el que se equipan </w:t>
      </w:r>
      <w:r w:rsidRPr="00B64802">
        <w:t>las unidades de transporte</w:t>
      </w:r>
      <w:r w:rsidRPr="008A0C76">
        <w:t xml:space="preserve"> para habilitar mecanismos</w:t>
      </w:r>
      <w:r w:rsidRPr="00FF34FD">
        <w:t xml:space="preserve"> de pago electrónico en el sector.</w:t>
      </w:r>
    </w:p>
    <w:bookmarkEnd w:id="61"/>
    <w:p w14:paraId="1B1EE19A" w14:textId="77777777" w:rsidR="007A7839" w:rsidRPr="00FF34FD" w:rsidRDefault="007A7839" w:rsidP="00E23D98">
      <w:r>
        <w:t xml:space="preserve">El Comité Técnico de Operadores </w:t>
      </w:r>
      <w:r w:rsidRPr="00FF34FD">
        <w:t xml:space="preserve">se reúne de manera ordinaria al menos una vez </w:t>
      </w:r>
      <w:r>
        <w:t>cada tres meses</w:t>
      </w:r>
      <w:r w:rsidRPr="00FF34FD">
        <w:t xml:space="preserve">, o cuando la dirección de la División Sistemas de Pago </w:t>
      </w:r>
      <w:r>
        <w:t xml:space="preserve">del BCCR considere necesario convocarla </w:t>
      </w:r>
      <w:r w:rsidRPr="00FF34FD">
        <w:t xml:space="preserve">en forma extraordinaria para tratar aspectos </w:t>
      </w:r>
      <w:r>
        <w:t xml:space="preserve">relacionados con </w:t>
      </w:r>
      <w:r w:rsidRPr="00FF34FD">
        <w:t>el pago electrónico en el transporte público.</w:t>
      </w:r>
    </w:p>
    <w:p w14:paraId="0AC18DA4" w14:textId="77777777" w:rsidR="007A7839" w:rsidRDefault="007A7839" w:rsidP="00E23D98">
      <w:r w:rsidRPr="00FF34FD">
        <w:t>El periodo de nombramiento, la reelección</w:t>
      </w:r>
      <w:r>
        <w:t xml:space="preserve">, </w:t>
      </w:r>
      <w:r w:rsidRPr="00FF34FD">
        <w:t xml:space="preserve">los cambios en la designación </w:t>
      </w:r>
      <w:r>
        <w:t xml:space="preserve">y la reelección automática </w:t>
      </w:r>
      <w:r w:rsidRPr="00FF34FD">
        <w:t xml:space="preserve">de los representantes </w:t>
      </w:r>
      <w:r>
        <w:t xml:space="preserve">del Comité Técnico de Operadores </w:t>
      </w:r>
      <w:r w:rsidRPr="00FF34FD">
        <w:t xml:space="preserve">se rigen por lo dispuesto en los artículos </w:t>
      </w:r>
      <w:r>
        <w:t xml:space="preserve">25, 26 y 27 del Reglamento de </w:t>
      </w:r>
      <w:r w:rsidRPr="00FF34FD">
        <w:t>SINPE-TP</w:t>
      </w:r>
      <w:r>
        <w:t>.</w:t>
      </w:r>
    </w:p>
    <w:p w14:paraId="3E638500" w14:textId="5CB996ED" w:rsidR="007A7839" w:rsidRDefault="007A7839" w:rsidP="00E23D98">
      <w:pPr>
        <w:pStyle w:val="Ttulo2"/>
        <w:numPr>
          <w:ilvl w:val="1"/>
          <w:numId w:val="3"/>
        </w:numPr>
        <w:tabs>
          <w:tab w:val="clear" w:pos="510"/>
        </w:tabs>
        <w:spacing w:line="276" w:lineRule="auto"/>
        <w:ind w:left="229" w:hanging="229"/>
      </w:pPr>
      <w:bookmarkStart w:id="62" w:name="_Toc213828761"/>
      <w:bookmarkStart w:id="63" w:name="_Toc216697945"/>
      <w:r>
        <w:t>Procesamiento de transacciones</w:t>
      </w:r>
      <w:bookmarkEnd w:id="62"/>
      <w:bookmarkEnd w:id="63"/>
      <w:r>
        <w:t xml:space="preserve"> </w:t>
      </w:r>
    </w:p>
    <w:p w14:paraId="0AF2223A" w14:textId="77777777" w:rsidR="007A7839" w:rsidRPr="008F1503" w:rsidRDefault="007A7839" w:rsidP="00E23D98">
      <w:r w:rsidRPr="008A0C76">
        <w:t xml:space="preserve">El procesamiento de las transacciones de SINPE-TP en el servicio de transporte público se realiza de conformidad con las especificaciones contenidas en las </w:t>
      </w:r>
      <w:r w:rsidRPr="008A0C76">
        <w:rPr>
          <w:rFonts w:cs="Arial"/>
          <w:lang w:val="es-ES_tradnl" w:eastAsia="es-ES"/>
        </w:rPr>
        <w:t>guías de implementación de VISA, MasterCard</w:t>
      </w:r>
      <w:r w:rsidRPr="008A0C76">
        <w:t xml:space="preserve"> y American Express</w:t>
      </w:r>
      <w:r>
        <w:t>,</w:t>
      </w:r>
      <w:r w:rsidRPr="008A0C76">
        <w:t xml:space="preserve"> para pagos en el transporte (</w:t>
      </w:r>
      <w:r w:rsidRPr="008F1503">
        <w:t>Anexo 02, Anexo 03 y Anexo 04, respectivamente).</w:t>
      </w:r>
    </w:p>
    <w:p w14:paraId="0617BAA7" w14:textId="589BDC7A" w:rsidR="007A7839" w:rsidRDefault="007A7839" w:rsidP="00E23D98">
      <w:pPr>
        <w:pStyle w:val="Ttulo2"/>
        <w:numPr>
          <w:ilvl w:val="1"/>
          <w:numId w:val="3"/>
        </w:numPr>
        <w:tabs>
          <w:tab w:val="clear" w:pos="510"/>
        </w:tabs>
        <w:spacing w:line="276" w:lineRule="auto"/>
        <w:ind w:left="229" w:hanging="229"/>
      </w:pPr>
      <w:bookmarkStart w:id="64" w:name="_Toc213828762"/>
      <w:bookmarkStart w:id="65" w:name="_Toc216697946"/>
      <w:r>
        <w:t>Evaluaciones de seguridad</w:t>
      </w:r>
      <w:bookmarkEnd w:id="64"/>
      <w:bookmarkEnd w:id="65"/>
    </w:p>
    <w:p w14:paraId="57605941" w14:textId="77777777" w:rsidR="007A7839" w:rsidRPr="002F7160" w:rsidRDefault="007A7839" w:rsidP="00E23D98">
      <w:r w:rsidRPr="002F7160">
        <w:t xml:space="preserve">El BCCR realizará una evaluación anual </w:t>
      </w:r>
      <w:r>
        <w:t xml:space="preserve">e integral de riesgos y </w:t>
      </w:r>
      <w:r w:rsidRPr="002F7160">
        <w:t xml:space="preserve">de las políticas de seguridad de la información relacionadas con el </w:t>
      </w:r>
      <w:r>
        <w:t xml:space="preserve">funcionamiento del </w:t>
      </w:r>
      <w:r w:rsidRPr="002F7160">
        <w:t xml:space="preserve">ecosistema de pagos de SINPE-TP, </w:t>
      </w:r>
      <w:r>
        <w:t xml:space="preserve">con base en el estándar PCI DSS y con </w:t>
      </w:r>
      <w:r w:rsidRPr="002F7160">
        <w:t xml:space="preserve">el propósito de mantener </w:t>
      </w:r>
      <w:r>
        <w:t xml:space="preserve">dichas políticas debidamente </w:t>
      </w:r>
      <w:r w:rsidRPr="002F7160">
        <w:t>actualizadas</w:t>
      </w:r>
      <w:r>
        <w:t xml:space="preserve">, así como para </w:t>
      </w:r>
      <w:r w:rsidRPr="002F7160">
        <w:t>promover la incorporación de nuevos desarrollos que contribuyan a su fortalecimiento.</w:t>
      </w:r>
    </w:p>
    <w:p w14:paraId="264D027C" w14:textId="77777777" w:rsidR="007A7839" w:rsidRPr="002F7160" w:rsidRDefault="007A7839" w:rsidP="00E23D98">
      <w:r w:rsidRPr="002F7160">
        <w:t xml:space="preserve">Adicionalmente, </w:t>
      </w:r>
      <w:r>
        <w:t xml:space="preserve">el BCCR </w:t>
      </w:r>
      <w:r w:rsidRPr="00B55F2A">
        <w:t>ejecutará pruebas de penetración internas y externas</w:t>
      </w:r>
      <w:r>
        <w:t>,</w:t>
      </w:r>
      <w:r w:rsidRPr="00B55F2A">
        <w:t xml:space="preserve"> regularmente y después de implementar cambios significativos en el entorno de datos del titular de la tarjeta</w:t>
      </w:r>
      <w:r>
        <w:t xml:space="preserve">; también </w:t>
      </w:r>
      <w:r w:rsidRPr="002F7160">
        <w:t>dará seguimiento al estado de cumplimiento del estándar PCI DSS por parte de los proveedores de servicio</w:t>
      </w:r>
      <w:r>
        <w:t>s</w:t>
      </w:r>
      <w:r w:rsidRPr="002F7160">
        <w:t>, de conformidad con el nivel de seguridad establecido por la industria de tarjetas de pago</w:t>
      </w:r>
      <w:r>
        <w:t xml:space="preserve"> y los procedimientos de SINPE-TP.</w:t>
      </w:r>
    </w:p>
    <w:p w14:paraId="736509CA" w14:textId="6E661640" w:rsidR="007A7839" w:rsidRDefault="007A7839" w:rsidP="00E23D98">
      <w:pPr>
        <w:pStyle w:val="Ttulo2"/>
        <w:numPr>
          <w:ilvl w:val="1"/>
          <w:numId w:val="3"/>
        </w:numPr>
        <w:tabs>
          <w:tab w:val="clear" w:pos="510"/>
        </w:tabs>
        <w:spacing w:line="276" w:lineRule="auto"/>
        <w:ind w:left="229" w:hanging="229"/>
      </w:pPr>
      <w:bookmarkStart w:id="66" w:name="_Toc213828763"/>
      <w:bookmarkStart w:id="67" w:name="_Toc216697947"/>
      <w:r>
        <w:t>Vigilancia</w:t>
      </w:r>
      <w:bookmarkEnd w:id="66"/>
      <w:bookmarkEnd w:id="67"/>
      <w:r>
        <w:t xml:space="preserve"> </w:t>
      </w:r>
    </w:p>
    <w:p w14:paraId="063573D0" w14:textId="77777777" w:rsidR="007A7839" w:rsidRDefault="007A7839" w:rsidP="00E23D98">
      <w:pPr>
        <w:rPr>
          <w:lang w:val="es-ES_tradnl" w:eastAsia="es-ES"/>
        </w:rPr>
      </w:pPr>
      <w:r w:rsidRPr="00CF2848">
        <w:rPr>
          <w:lang w:val="es-ES_tradnl" w:eastAsia="es-ES"/>
        </w:rPr>
        <w:t>La vigilancia de</w:t>
      </w:r>
      <w:r>
        <w:rPr>
          <w:lang w:val="es-ES_tradnl" w:eastAsia="es-ES"/>
        </w:rPr>
        <w:t>l servicio</w:t>
      </w:r>
      <w:r w:rsidRPr="00CF2848">
        <w:rPr>
          <w:lang w:val="es-ES_tradnl" w:eastAsia="es-ES"/>
        </w:rPr>
        <w:t xml:space="preserve"> SINPE-TP </w:t>
      </w:r>
      <w:r>
        <w:rPr>
          <w:lang w:val="es-ES_tradnl" w:eastAsia="es-ES"/>
        </w:rPr>
        <w:t>es</w:t>
      </w:r>
      <w:r w:rsidRPr="00CF2848">
        <w:rPr>
          <w:lang w:val="es-ES_tradnl" w:eastAsia="es-ES"/>
        </w:rPr>
        <w:t xml:space="preserve"> ejercida por el Área de Vigilancia de la División Sistemas de Pago del BCCR, </w:t>
      </w:r>
      <w:r w:rsidRPr="00764160">
        <w:rPr>
          <w:lang w:val="es-ES_tradnl" w:eastAsia="es-ES"/>
        </w:rPr>
        <w:t xml:space="preserve">conforme con </w:t>
      </w:r>
      <w:r>
        <w:rPr>
          <w:lang w:val="es-ES_tradnl" w:eastAsia="es-ES"/>
        </w:rPr>
        <w:t>los</w:t>
      </w:r>
      <w:r w:rsidRPr="00764160">
        <w:rPr>
          <w:lang w:val="es-ES_tradnl" w:eastAsia="es-ES"/>
        </w:rPr>
        <w:t xml:space="preserve"> procedimientos de trabajo </w:t>
      </w:r>
      <w:r>
        <w:rPr>
          <w:lang w:val="es-ES_tradnl" w:eastAsia="es-ES"/>
        </w:rPr>
        <w:t>que resulten aplicables al pago electrónico en el transporte público.</w:t>
      </w:r>
    </w:p>
    <w:p w14:paraId="7DB961CB" w14:textId="77777777" w:rsidR="003B70C5" w:rsidRDefault="003B70C5" w:rsidP="00E23D98">
      <w:pPr>
        <w:rPr>
          <w:lang w:val="es-ES_tradnl" w:eastAsia="es-ES"/>
        </w:rPr>
      </w:pPr>
    </w:p>
    <w:p w14:paraId="4BA8958E" w14:textId="77777777" w:rsidR="007A7839" w:rsidRPr="00E71D76" w:rsidRDefault="007A7839" w:rsidP="00E23D98">
      <w:pPr>
        <w:pStyle w:val="Ttulo1"/>
        <w:numPr>
          <w:ilvl w:val="0"/>
          <w:numId w:val="3"/>
        </w:numPr>
        <w:tabs>
          <w:tab w:val="clear" w:pos="340"/>
        </w:tabs>
        <w:spacing w:line="276" w:lineRule="auto"/>
        <w:ind w:left="567" w:hanging="567"/>
      </w:pPr>
      <w:bookmarkStart w:id="68" w:name="_Toc213828764"/>
      <w:bookmarkStart w:id="69" w:name="_Toc216697948"/>
      <w:bookmarkEnd w:id="30"/>
      <w:r>
        <w:lastRenderedPageBreak/>
        <w:t>Gestión Financiera</w:t>
      </w:r>
      <w:bookmarkEnd w:id="68"/>
      <w:bookmarkEnd w:id="69"/>
      <w:r>
        <w:t xml:space="preserve"> </w:t>
      </w:r>
    </w:p>
    <w:p w14:paraId="1D7E3BC2" w14:textId="77777777" w:rsidR="007A7839" w:rsidRDefault="007A7839" w:rsidP="00E23D98">
      <w:pPr>
        <w:pStyle w:val="Ttulo2"/>
        <w:numPr>
          <w:ilvl w:val="1"/>
          <w:numId w:val="3"/>
        </w:numPr>
        <w:tabs>
          <w:tab w:val="clear" w:pos="510"/>
        </w:tabs>
        <w:spacing w:line="276" w:lineRule="auto"/>
        <w:ind w:left="229" w:hanging="229"/>
      </w:pPr>
      <w:bookmarkStart w:id="70" w:name="_Toc213828765"/>
      <w:bookmarkStart w:id="71" w:name="_Toc216697949"/>
      <w:r>
        <w:t>Manejo de riesgo y responsabilidades</w:t>
      </w:r>
      <w:bookmarkEnd w:id="70"/>
      <w:bookmarkEnd w:id="71"/>
      <w:r>
        <w:t xml:space="preserve"> </w:t>
      </w:r>
    </w:p>
    <w:p w14:paraId="0EC74CC8" w14:textId="77777777" w:rsidR="007A7839" w:rsidRPr="00F75A80" w:rsidRDefault="007A7839" w:rsidP="00E23D98">
      <w:r w:rsidRPr="008907F1">
        <w:t xml:space="preserve">La gestión de los riesgos financieros del servicio SINPE-TP se rige por los artículos </w:t>
      </w:r>
      <w:r>
        <w:t>41</w:t>
      </w:r>
      <w:r w:rsidRPr="008907F1">
        <w:t xml:space="preserve"> y </w:t>
      </w:r>
      <w:r>
        <w:t>45</w:t>
      </w:r>
      <w:r w:rsidRPr="008907F1">
        <w:t xml:space="preserve"> del Reglamento de SINPE-TP, con el fin de asegurar a los operadores de transporte el pago de los ingresos tarifarios </w:t>
      </w:r>
      <w:r>
        <w:t xml:space="preserve">recaudados </w:t>
      </w:r>
      <w:r w:rsidRPr="008907F1">
        <w:t>por medio de</w:t>
      </w:r>
      <w:r>
        <w:t>l servicio</w:t>
      </w:r>
      <w:r w:rsidRPr="008907F1">
        <w:t xml:space="preserve"> SINPE-TP.</w:t>
      </w:r>
      <w:r>
        <w:t xml:space="preserve"> </w:t>
      </w:r>
      <w:r w:rsidRPr="008907F1">
        <w:t>Para los efectos se establecen las siguientes responsabilidades</w:t>
      </w:r>
      <w:r w:rsidRPr="00F75A80">
        <w:t>:</w:t>
      </w:r>
    </w:p>
    <w:p w14:paraId="0ED95D31" w14:textId="77777777" w:rsidR="007A7839" w:rsidRPr="00266938" w:rsidRDefault="007A7839" w:rsidP="00FA10A3">
      <w:pPr>
        <w:numPr>
          <w:ilvl w:val="0"/>
          <w:numId w:val="7"/>
        </w:numPr>
        <w:autoSpaceDE w:val="0"/>
        <w:autoSpaceDN w:val="0"/>
        <w:adjustRightInd w:val="0"/>
        <w:spacing w:before="0"/>
      </w:pPr>
      <w:r w:rsidRPr="00266938">
        <w:rPr>
          <w:rStyle w:val="ListaNivel2Car"/>
        </w:rPr>
        <w:t xml:space="preserve">Responsabilidad del emisor nacional: de conformidad con lo que establece el artículo </w:t>
      </w:r>
      <w:r>
        <w:rPr>
          <w:rStyle w:val="ListaNivel2Car"/>
        </w:rPr>
        <w:t>41</w:t>
      </w:r>
      <w:r w:rsidRPr="00266938">
        <w:rPr>
          <w:rStyle w:val="ListaNivel2Car"/>
        </w:rPr>
        <w:t xml:space="preserve"> del Reglamento </w:t>
      </w:r>
      <w:r>
        <w:rPr>
          <w:rStyle w:val="ListaNivel2Car"/>
        </w:rPr>
        <w:t>de SINPE-TP</w:t>
      </w:r>
      <w:r w:rsidRPr="00266938">
        <w:rPr>
          <w:rStyle w:val="ListaNivel2Car"/>
        </w:rPr>
        <w:t xml:space="preserve">, el emisor nacional garantiza la liquidación de las transacciones hasta por una suma máxima de </w:t>
      </w:r>
      <w:r>
        <w:rPr>
          <w:rStyle w:val="ListaNivel2Car"/>
        </w:rPr>
        <w:t>10</w:t>
      </w:r>
      <w:r w:rsidRPr="00266938">
        <w:rPr>
          <w:rStyle w:val="ListaNivel2Car"/>
        </w:rPr>
        <w:t xml:space="preserve">.000 colones por tarjetahabiente (por cada </w:t>
      </w:r>
      <w:r w:rsidRPr="00793F98">
        <w:rPr>
          <w:rStyle w:val="ListaNivel2Car"/>
          <w:i/>
          <w:iCs/>
        </w:rPr>
        <w:t>Personal Account Number</w:t>
      </w:r>
      <w:r w:rsidRPr="00266938">
        <w:rPr>
          <w:rStyle w:val="ListaNivel2Car"/>
        </w:rPr>
        <w:t>) y ciclo de liquidación, siempre que se cumplan las siguientes condiciones</w:t>
      </w:r>
      <w:r w:rsidRPr="00266938">
        <w:t>:</w:t>
      </w:r>
    </w:p>
    <w:p w14:paraId="43D8CDAF" w14:textId="77777777" w:rsidR="007A7839" w:rsidRPr="00FF34FD" w:rsidRDefault="007A7839" w:rsidP="00FA10A3">
      <w:pPr>
        <w:pStyle w:val="ListaNivel3"/>
        <w:numPr>
          <w:ilvl w:val="0"/>
          <w:numId w:val="8"/>
        </w:numPr>
        <w:spacing w:line="276" w:lineRule="auto"/>
        <w:ind w:left="1418"/>
      </w:pPr>
      <w:r w:rsidRPr="00266938">
        <w:t>Que la tarjeta de pago corresponda a uno de sus tarjetahabientes, y que el BCCR</w:t>
      </w:r>
      <w:r w:rsidRPr="00FF34FD">
        <w:t xml:space="preserve"> haya solicitado </w:t>
      </w:r>
      <w:r>
        <w:t xml:space="preserve">previamente </w:t>
      </w:r>
      <w:r w:rsidRPr="00FF34FD">
        <w:t xml:space="preserve">una autorización durante el </w:t>
      </w:r>
      <w:r>
        <w:t>ciclo de liquidación</w:t>
      </w:r>
      <w:r w:rsidRPr="00FF34FD">
        <w:t>.</w:t>
      </w:r>
      <w:r>
        <w:t xml:space="preserve"> </w:t>
      </w:r>
      <w:r w:rsidRPr="00FF34FD">
        <w:t xml:space="preserve">La cobertura aplica con independencia del resultado de la autorización, y a partir de la transacción </w:t>
      </w:r>
      <w:r>
        <w:t>para</w:t>
      </w:r>
      <w:r w:rsidRPr="00FF34FD">
        <w:t xml:space="preserve"> la cual se solicita dicha autorización.</w:t>
      </w:r>
    </w:p>
    <w:p w14:paraId="6F5784D8" w14:textId="77777777" w:rsidR="007A7839" w:rsidRPr="00266938" w:rsidRDefault="007A7839" w:rsidP="00FA10A3">
      <w:pPr>
        <w:pStyle w:val="ListaNivel3"/>
        <w:numPr>
          <w:ilvl w:val="0"/>
          <w:numId w:val="8"/>
        </w:numPr>
        <w:spacing w:line="276" w:lineRule="auto"/>
        <w:ind w:left="1418"/>
      </w:pPr>
      <w:r w:rsidRPr="00FF34FD">
        <w:t xml:space="preserve">Que en </w:t>
      </w:r>
      <w:r>
        <w:t xml:space="preserve">el </w:t>
      </w:r>
      <w:r w:rsidRPr="00FF34FD">
        <w:t xml:space="preserve">caso de que la autorización sea rechazada, el BCCR haya incluido la tarjeta de pago en la lista de denegación de </w:t>
      </w:r>
      <w:r>
        <w:t xml:space="preserve">la red de </w:t>
      </w:r>
      <w:r w:rsidRPr="00FF34FD">
        <w:t>validadore</w:t>
      </w:r>
      <w:r>
        <w:t>s</w:t>
      </w:r>
      <w:r w:rsidRPr="00FF34FD">
        <w:t xml:space="preserve">, </w:t>
      </w:r>
      <w:r w:rsidRPr="005A74FC">
        <w:t>dentro de los siguientes 60 minutos</w:t>
      </w:r>
      <w:r w:rsidRPr="00FF34FD">
        <w:t xml:space="preserve"> contados a partir del momento en que recibe la respectiva comunicación del adquirente.</w:t>
      </w:r>
      <w:r>
        <w:t xml:space="preserve"> </w:t>
      </w:r>
      <w:r w:rsidRPr="00FF34FD">
        <w:t xml:space="preserve">Esta condición no aplica para la transacción con la cual se </w:t>
      </w:r>
      <w:r>
        <w:t xml:space="preserve">tramita </w:t>
      </w:r>
      <w:r w:rsidRPr="00266938">
        <w:t>la solicitud de autorización.</w:t>
      </w:r>
    </w:p>
    <w:p w14:paraId="0B903D3F" w14:textId="77777777" w:rsidR="007A7839" w:rsidRDefault="007A7839" w:rsidP="00FA10A3">
      <w:pPr>
        <w:numPr>
          <w:ilvl w:val="0"/>
          <w:numId w:val="7"/>
        </w:numPr>
        <w:autoSpaceDE w:val="0"/>
        <w:autoSpaceDN w:val="0"/>
        <w:adjustRightInd w:val="0"/>
        <w:spacing w:before="0"/>
      </w:pPr>
      <w:r w:rsidRPr="00266938">
        <w:rPr>
          <w:rStyle w:val="ListaNivel2Car"/>
        </w:rPr>
        <w:t xml:space="preserve">Responsabilidad del BCCR: de conformidad con lo que establece el artículo </w:t>
      </w:r>
      <w:r>
        <w:rPr>
          <w:rStyle w:val="ListaNivel2Car"/>
        </w:rPr>
        <w:t>45</w:t>
      </w:r>
      <w:r w:rsidRPr="00266938">
        <w:rPr>
          <w:rStyle w:val="ListaNivel2Car"/>
        </w:rPr>
        <w:t xml:space="preserve"> del Reglamento </w:t>
      </w:r>
      <w:r>
        <w:rPr>
          <w:rStyle w:val="ListaNivel2Car"/>
        </w:rPr>
        <w:t>de SINPE-TP</w:t>
      </w:r>
      <w:r w:rsidRPr="00266938">
        <w:rPr>
          <w:rStyle w:val="ListaNivel2Car"/>
        </w:rPr>
        <w:t>, las transacciones morosas que no sean cubiertas por el emisor nacional o el emisor internacional son respaldadas subsidiariamente por el BCCR, a efectos de mantener la garantía sobre la liquidación de los ingresos tarifarios del operador de transporte</w:t>
      </w:r>
      <w:r w:rsidRPr="00266938">
        <w:t>.</w:t>
      </w:r>
    </w:p>
    <w:p w14:paraId="378A4738" w14:textId="77777777" w:rsidR="007A7839" w:rsidRPr="004A5E58" w:rsidRDefault="007A7839" w:rsidP="00FA10A3">
      <w:pPr>
        <w:numPr>
          <w:ilvl w:val="0"/>
          <w:numId w:val="7"/>
        </w:numPr>
        <w:autoSpaceDE w:val="0"/>
        <w:autoSpaceDN w:val="0"/>
        <w:adjustRightInd w:val="0"/>
        <w:spacing w:before="0"/>
      </w:pPr>
      <w:r w:rsidRPr="008907F1">
        <w:rPr>
          <w:rStyle w:val="ListaNivel2Car"/>
        </w:rPr>
        <w:t xml:space="preserve">Responsabilidad del operador de transporte: </w:t>
      </w:r>
      <w:r>
        <w:rPr>
          <w:rStyle w:val="ListaNivel2Car"/>
        </w:rPr>
        <w:t xml:space="preserve">de conformidad con el artículo 44 del Reglamento de SINPE-TP, </w:t>
      </w:r>
      <w:r w:rsidRPr="008907F1">
        <w:rPr>
          <w:rStyle w:val="ListaNivel2Car"/>
        </w:rPr>
        <w:t xml:space="preserve">el operador de transporte debe asumir el costo de las </w:t>
      </w:r>
      <w:r>
        <w:rPr>
          <w:rStyle w:val="ListaNivel2Car"/>
        </w:rPr>
        <w:t xml:space="preserve">marcas tardías. También deberá asumir el costo de las </w:t>
      </w:r>
      <w:r w:rsidRPr="008907F1">
        <w:rPr>
          <w:rStyle w:val="ListaNivel2Car"/>
        </w:rPr>
        <w:t>transacciones que no puedan ser cobradas al tarjetahabiente por un mal funcionamiento del servicio de validación de SINPE-TP</w:t>
      </w:r>
      <w:r>
        <w:rPr>
          <w:rStyle w:val="ListaNivel2Car"/>
        </w:rPr>
        <w:t>, cuando el</w:t>
      </w:r>
      <w:r w:rsidRPr="0088794A">
        <w:rPr>
          <w:rFonts w:cs="Arial"/>
          <w:color w:val="000000"/>
          <w:szCs w:val="20"/>
          <w:lang w:eastAsia="es-ES"/>
        </w:rPr>
        <w:t xml:space="preserve"> problema </w:t>
      </w:r>
      <w:r>
        <w:rPr>
          <w:rFonts w:cs="Arial"/>
          <w:color w:val="000000"/>
          <w:szCs w:val="20"/>
          <w:lang w:eastAsia="es-ES"/>
        </w:rPr>
        <w:t xml:space="preserve">sea </w:t>
      </w:r>
      <w:r w:rsidRPr="0088794A">
        <w:rPr>
          <w:rFonts w:cs="Arial"/>
          <w:color w:val="000000"/>
          <w:szCs w:val="20"/>
          <w:lang w:eastAsia="es-ES"/>
        </w:rPr>
        <w:t xml:space="preserve">atribuible a su gestión con </w:t>
      </w:r>
      <w:r>
        <w:rPr>
          <w:rFonts w:cs="Arial"/>
          <w:color w:val="000000"/>
          <w:szCs w:val="20"/>
          <w:lang w:eastAsia="es-ES"/>
        </w:rPr>
        <w:t xml:space="preserve">respecto a </w:t>
      </w:r>
      <w:r w:rsidRPr="0088794A">
        <w:rPr>
          <w:rFonts w:cs="Arial"/>
          <w:color w:val="000000"/>
          <w:szCs w:val="20"/>
          <w:lang w:eastAsia="es-ES"/>
        </w:rPr>
        <w:t>dicho servicio.</w:t>
      </w:r>
    </w:p>
    <w:p w14:paraId="4EDB0510" w14:textId="77777777" w:rsidR="007A7839" w:rsidRPr="00E71D76" w:rsidRDefault="007A7839" w:rsidP="00E23D98">
      <w:pPr>
        <w:pStyle w:val="Ttulo2"/>
        <w:numPr>
          <w:ilvl w:val="1"/>
          <w:numId w:val="3"/>
        </w:numPr>
        <w:tabs>
          <w:tab w:val="clear" w:pos="510"/>
        </w:tabs>
        <w:spacing w:line="276" w:lineRule="auto"/>
        <w:ind w:left="229" w:hanging="229"/>
      </w:pPr>
      <w:bookmarkStart w:id="72" w:name="_Toc347829986"/>
      <w:bookmarkStart w:id="73" w:name="_Toc213828766"/>
      <w:bookmarkStart w:id="74" w:name="_Toc216697950"/>
      <w:r>
        <w:t xml:space="preserve">Del </w:t>
      </w:r>
      <w:r w:rsidRPr="00E71D76">
        <w:t>ciclo de operación</w:t>
      </w:r>
      <w:bookmarkEnd w:id="31"/>
      <w:bookmarkEnd w:id="32"/>
      <w:bookmarkEnd w:id="33"/>
      <w:bookmarkEnd w:id="72"/>
      <w:r>
        <w:t xml:space="preserve"> del servicio</w:t>
      </w:r>
      <w:bookmarkEnd w:id="73"/>
      <w:bookmarkEnd w:id="74"/>
    </w:p>
    <w:p w14:paraId="435E08DC" w14:textId="77777777" w:rsidR="007A7839" w:rsidRDefault="007A7839" w:rsidP="00E23D98">
      <w:r>
        <w:t>El ciclo de liquidación de SINPE-TP es el proceso integrado por las actividades de registro, procesamiento y liquidación de transacciones, en donde las transacciones se producen durante un mismo día calendario. Este ciclo se compone de las siguientes etapas, cada una dependiente de los resultados de la etapa anterior:</w:t>
      </w:r>
    </w:p>
    <w:p w14:paraId="0986B5CB" w14:textId="77777777" w:rsidR="007A7839" w:rsidRPr="00FF34FD" w:rsidRDefault="007A7839" w:rsidP="00FA10A3">
      <w:pPr>
        <w:pStyle w:val="ListaNivel2"/>
        <w:numPr>
          <w:ilvl w:val="0"/>
          <w:numId w:val="5"/>
        </w:numPr>
        <w:spacing w:line="276" w:lineRule="auto"/>
      </w:pPr>
      <w:r w:rsidRPr="00D15051">
        <w:t>Registro en los validadores y recepción en el Sistema Central de Recaudo de las transacciones</w:t>
      </w:r>
      <w:r w:rsidRPr="00FF34FD">
        <w:t>.</w:t>
      </w:r>
    </w:p>
    <w:p w14:paraId="0FF8E65F" w14:textId="77777777" w:rsidR="007A7839" w:rsidRPr="00FF34FD" w:rsidRDefault="007A7839" w:rsidP="00E23D98">
      <w:pPr>
        <w:ind w:left="709"/>
      </w:pPr>
      <w:r w:rsidRPr="00FF34FD">
        <w:t xml:space="preserve">Comprende el periodo de registro de transacciones (marcas </w:t>
      </w:r>
      <w:r>
        <w:t xml:space="preserve">de dispositivos de pago </w:t>
      </w:r>
      <w:r w:rsidRPr="00FF34FD">
        <w:t>en los validadores), transcurrido durante el día anterior al día en que se hace efectiva la acreditación de los ingresos tarifarios a los operadores</w:t>
      </w:r>
      <w:r>
        <w:t xml:space="preserve"> de transporte</w:t>
      </w:r>
      <w:r w:rsidRPr="00FF34FD">
        <w:t>.</w:t>
      </w:r>
      <w:r>
        <w:t xml:space="preserve"> </w:t>
      </w:r>
      <w:r w:rsidRPr="00FF34FD">
        <w:t xml:space="preserve">Este periodo se establece de las </w:t>
      </w:r>
      <w:r>
        <w:t>12</w:t>
      </w:r>
      <w:r w:rsidRPr="00FF34FD">
        <w:t>:00 a.m. a las 11:59 p.m.</w:t>
      </w:r>
    </w:p>
    <w:p w14:paraId="5AAA71C6" w14:textId="77777777" w:rsidR="007A7839" w:rsidRPr="00266938" w:rsidRDefault="007A7839" w:rsidP="00E23D98">
      <w:pPr>
        <w:ind w:left="709"/>
      </w:pPr>
      <w:r w:rsidRPr="00FF34FD">
        <w:t xml:space="preserve">Durante esta ventana horaria, SINPE-TP recoge todas las transacciones de pago reportadas </w:t>
      </w:r>
      <w:r w:rsidRPr="00266938">
        <w:t>por los operadores de transporte al Sistema Central de Recaudo, para su respectivo procesamiento</w:t>
      </w:r>
      <w:r>
        <w:t xml:space="preserve"> y liquidación</w:t>
      </w:r>
      <w:r w:rsidRPr="00266938">
        <w:t>.</w:t>
      </w:r>
    </w:p>
    <w:p w14:paraId="57DB99A9" w14:textId="77777777" w:rsidR="007A7839" w:rsidRPr="00266938" w:rsidRDefault="007A7839" w:rsidP="00E23D98">
      <w:pPr>
        <w:ind w:left="709"/>
      </w:pPr>
      <w:r w:rsidRPr="00266938">
        <w:lastRenderedPageBreak/>
        <w:t>Las marcas o transacciones son procesadas y liquidadas en el ciclo de operación que les corresponda, de acuerdo con la fecha y hora de su ingreso efectivo al Sistema Central de Recaudo. En todos los casos, el BCCR informará a los operadores de transporte la fecha efectiva en que las marcas son registradas en los validadores de SINPE-TP</w:t>
      </w:r>
      <w:r>
        <w:t xml:space="preserve"> y reportadas al Sistema Central de Recaudo.</w:t>
      </w:r>
      <w:r w:rsidRPr="00266938">
        <w:t xml:space="preserve"> </w:t>
      </w:r>
    </w:p>
    <w:p w14:paraId="1EA2D558" w14:textId="77777777" w:rsidR="007A7839" w:rsidRPr="00FF34FD" w:rsidRDefault="007A7839" w:rsidP="00FA10A3">
      <w:pPr>
        <w:pStyle w:val="ListaNivel2"/>
        <w:numPr>
          <w:ilvl w:val="0"/>
          <w:numId w:val="6"/>
        </w:numPr>
        <w:spacing w:line="276" w:lineRule="auto"/>
      </w:pPr>
      <w:r w:rsidRPr="00FF34FD">
        <w:t xml:space="preserve">Envío de transacciones </w:t>
      </w:r>
      <w:r>
        <w:t>al</w:t>
      </w:r>
      <w:r w:rsidRPr="00FF34FD">
        <w:t xml:space="preserve"> adquirente.</w:t>
      </w:r>
    </w:p>
    <w:p w14:paraId="67DF487D" w14:textId="77777777" w:rsidR="007A7839" w:rsidRPr="00FF34FD" w:rsidRDefault="007A7839" w:rsidP="00E23D98">
      <w:pPr>
        <w:ind w:left="709"/>
      </w:pPr>
      <w:r>
        <w:t>S</w:t>
      </w:r>
      <w:r w:rsidRPr="00FF34FD">
        <w:t>e ejecuta a la</w:t>
      </w:r>
      <w:r>
        <w:t>s</w:t>
      </w:r>
      <w:r w:rsidRPr="00FF34FD">
        <w:t xml:space="preserve"> 01:00 a.m. del mismo día natural en el que se hace efectiva la acreditación de los ingresos tarifarios a los operadores</w:t>
      </w:r>
      <w:r>
        <w:t xml:space="preserve"> </w:t>
      </w:r>
      <w:r>
        <w:rPr>
          <w:lang w:val="es-ES_tradnl"/>
        </w:rPr>
        <w:t>de transporte</w:t>
      </w:r>
      <w:r w:rsidRPr="00FF34FD">
        <w:t>.</w:t>
      </w:r>
      <w:r>
        <w:t xml:space="preserve"> </w:t>
      </w:r>
      <w:r w:rsidRPr="00FF34FD">
        <w:t xml:space="preserve">Las transacciones enviadas </w:t>
      </w:r>
      <w:r>
        <w:t>son</w:t>
      </w:r>
      <w:r w:rsidRPr="00FF34FD">
        <w:t xml:space="preserve"> las que SINPE</w:t>
      </w:r>
      <w:r w:rsidRPr="00FF34FD">
        <w:noBreakHyphen/>
        <w:t xml:space="preserve">TP </w:t>
      </w:r>
      <w:r>
        <w:t>haya recibido</w:t>
      </w:r>
      <w:r w:rsidRPr="00FF34FD">
        <w:t xml:space="preserve"> de conformidad con el inciso anterior.</w:t>
      </w:r>
    </w:p>
    <w:p w14:paraId="7BECD419" w14:textId="77777777" w:rsidR="007A7839" w:rsidRPr="00FF34FD" w:rsidRDefault="007A7839" w:rsidP="00FA10A3">
      <w:pPr>
        <w:pStyle w:val="ListaNivel2"/>
        <w:numPr>
          <w:ilvl w:val="0"/>
          <w:numId w:val="6"/>
        </w:numPr>
        <w:spacing w:line="276" w:lineRule="auto"/>
      </w:pPr>
      <w:r w:rsidRPr="00FF34FD">
        <w:t xml:space="preserve">Aplicación del débito de la liquidación en la </w:t>
      </w:r>
      <w:r>
        <w:t>C</w:t>
      </w:r>
      <w:r w:rsidRPr="00FF34FD">
        <w:t xml:space="preserve">uenta </w:t>
      </w:r>
      <w:r>
        <w:t xml:space="preserve">SINPE </w:t>
      </w:r>
      <w:r w:rsidRPr="00FF34FD">
        <w:t>del</w:t>
      </w:r>
      <w:r>
        <w:t xml:space="preserve"> </w:t>
      </w:r>
      <w:r w:rsidRPr="00FF34FD">
        <w:t>adquirente.</w:t>
      </w:r>
    </w:p>
    <w:p w14:paraId="4791CA7A" w14:textId="77777777" w:rsidR="007A7839" w:rsidRPr="00FF34FD" w:rsidRDefault="007A7839" w:rsidP="00E23D98">
      <w:pPr>
        <w:ind w:left="709"/>
      </w:pPr>
      <w:r w:rsidRPr="00FF34FD">
        <w:t xml:space="preserve">Se </w:t>
      </w:r>
      <w:r>
        <w:t>ejecuta</w:t>
      </w:r>
      <w:r w:rsidRPr="00FF34FD">
        <w:t xml:space="preserve"> a las 03:00 a.m. del mismo día natural en el que se hace efectiva la acreditación de los ingresos tarifarios a los operadores</w:t>
      </w:r>
      <w:r>
        <w:t xml:space="preserve"> </w:t>
      </w:r>
      <w:r>
        <w:rPr>
          <w:lang w:val="es-ES_tradnl"/>
        </w:rPr>
        <w:t>de transporte</w:t>
      </w:r>
      <w:r w:rsidRPr="00FF34FD">
        <w:t>.</w:t>
      </w:r>
    </w:p>
    <w:p w14:paraId="3F118CDA" w14:textId="77777777" w:rsidR="007A7839" w:rsidRPr="006C55AB" w:rsidRDefault="007A7839" w:rsidP="00E23D98">
      <w:pPr>
        <w:ind w:left="709"/>
      </w:pPr>
      <w:r w:rsidRPr="00FF34FD">
        <w:t xml:space="preserve">En esta etapa el BCCR debita la </w:t>
      </w:r>
      <w:r w:rsidRPr="008F1503">
        <w:t>Cuenta SINPE</w:t>
      </w:r>
      <w:r w:rsidRPr="00FF34FD">
        <w:t xml:space="preserve"> del adquirente por el monto efectivo de la liquidación, el cual comprende </w:t>
      </w:r>
      <w:r w:rsidRPr="007964FB">
        <w:t>todas las transacciones que hayan sido enviadas a autorizar</w:t>
      </w:r>
      <w:r w:rsidRPr="006C55AB" w:rsidDel="00A24EA6">
        <w:t xml:space="preserve"> </w:t>
      </w:r>
      <w:r w:rsidRPr="006C55AB">
        <w:t>dentro del ciclo de liquidación.</w:t>
      </w:r>
    </w:p>
    <w:p w14:paraId="1F555B91" w14:textId="77777777" w:rsidR="007A7839" w:rsidRPr="00FF34FD" w:rsidRDefault="007A7839" w:rsidP="00FA10A3">
      <w:pPr>
        <w:pStyle w:val="ListaNivel2"/>
        <w:numPr>
          <w:ilvl w:val="0"/>
          <w:numId w:val="6"/>
        </w:numPr>
        <w:spacing w:line="276" w:lineRule="auto"/>
      </w:pPr>
      <w:r w:rsidRPr="00FF34FD">
        <w:t>Liquidación de los ingresos tarifarios en la cuenta de fondos de los operadores</w:t>
      </w:r>
      <w:r>
        <w:t xml:space="preserve"> de transporte</w:t>
      </w:r>
      <w:r w:rsidRPr="00FF34FD">
        <w:t>.</w:t>
      </w:r>
    </w:p>
    <w:p w14:paraId="28A69162" w14:textId="77777777" w:rsidR="007A7839" w:rsidRDefault="007A7839" w:rsidP="00E23D98">
      <w:pPr>
        <w:ind w:left="709"/>
      </w:pPr>
      <w:r w:rsidRPr="00FF34FD">
        <w:t>Se ejecuta a las 5:00 a.m. del día natural siguiente al día en el que ocurre el registro de las transacciones, conforme con el inciso a) anterior.</w:t>
      </w:r>
      <w:r>
        <w:t xml:space="preserve"> </w:t>
      </w:r>
      <w:r w:rsidRPr="00FF34FD">
        <w:t xml:space="preserve">En esta etapa el BCCR ordena </w:t>
      </w:r>
      <w:r>
        <w:t xml:space="preserve">la ejecución de </w:t>
      </w:r>
      <w:r w:rsidRPr="00FF34FD">
        <w:t xml:space="preserve">las transferencias de fondos </w:t>
      </w:r>
      <w:bookmarkStart w:id="75" w:name="_Hlk132366403"/>
      <w:r>
        <w:t xml:space="preserve">para depositar los ingresos tarifarios a </w:t>
      </w:r>
      <w:r w:rsidRPr="00FF34FD">
        <w:t>los operadores</w:t>
      </w:r>
      <w:bookmarkEnd w:id="75"/>
      <w:r>
        <w:t xml:space="preserve"> </w:t>
      </w:r>
      <w:r>
        <w:rPr>
          <w:lang w:val="es-ES_tradnl"/>
        </w:rPr>
        <w:t>de transporte</w:t>
      </w:r>
      <w:r>
        <w:t xml:space="preserve"> (</w:t>
      </w:r>
      <w:r w:rsidRPr="00FF34FD">
        <w:t>por medio de la plataforma del SINPE</w:t>
      </w:r>
      <w:r>
        <w:t xml:space="preserve">), en </w:t>
      </w:r>
      <w:r w:rsidRPr="00FF34FD">
        <w:t xml:space="preserve">las cuentas IBAN </w:t>
      </w:r>
      <w:r>
        <w:t>comunicadas</w:t>
      </w:r>
      <w:r w:rsidRPr="00FF34FD">
        <w:t xml:space="preserve"> por </w:t>
      </w:r>
      <w:r>
        <w:t>los propios operadores</w:t>
      </w:r>
      <w:r w:rsidRPr="00FF34FD">
        <w:t xml:space="preserve"> </w:t>
      </w:r>
      <w:r>
        <w:t xml:space="preserve">al BCCR </w:t>
      </w:r>
      <w:r w:rsidRPr="00FF34FD">
        <w:t>para la liquidación de sus ingresos tarifarios</w:t>
      </w:r>
      <w:r>
        <w:t>.</w:t>
      </w:r>
    </w:p>
    <w:p w14:paraId="19242FED" w14:textId="77777777" w:rsidR="007A7839" w:rsidRDefault="007A7839" w:rsidP="00E23D98">
      <w:pPr>
        <w:tabs>
          <w:tab w:val="left" w:pos="1540"/>
        </w:tabs>
      </w:pPr>
      <w:bookmarkStart w:id="76" w:name="_Hlk178518251"/>
      <w:r>
        <w:t>En los casos excepcionales en que se presente un problema en el ciclo de operación por el cual el horario de las etapas anteriores no pueda mantenerse, el BCCR las ejecutará en el horario en que logre resolver el problema y comunicará la situación a los participantes involucrados.</w:t>
      </w:r>
    </w:p>
    <w:p w14:paraId="1C4F49FA" w14:textId="77777777" w:rsidR="007A7839" w:rsidRDefault="007A7839" w:rsidP="00E23D98">
      <w:pPr>
        <w:pStyle w:val="Ttulo2"/>
        <w:numPr>
          <w:ilvl w:val="1"/>
          <w:numId w:val="3"/>
        </w:numPr>
        <w:tabs>
          <w:tab w:val="clear" w:pos="510"/>
        </w:tabs>
        <w:spacing w:line="276" w:lineRule="auto"/>
        <w:ind w:left="229" w:hanging="229"/>
      </w:pPr>
      <w:bookmarkStart w:id="77" w:name="_Toc178504986"/>
      <w:bookmarkStart w:id="78" w:name="_Toc178522734"/>
      <w:bookmarkStart w:id="79" w:name="_Toc178596969"/>
      <w:bookmarkStart w:id="80" w:name="_Toc178597028"/>
      <w:bookmarkStart w:id="81" w:name="_Toc510257703"/>
      <w:bookmarkStart w:id="82" w:name="_Toc536265256"/>
      <w:bookmarkStart w:id="83" w:name="_Toc682476"/>
      <w:bookmarkStart w:id="84" w:name="_Toc682901"/>
      <w:bookmarkStart w:id="85" w:name="_Toc347829987"/>
      <w:bookmarkStart w:id="86" w:name="_Toc213828767"/>
      <w:bookmarkStart w:id="87" w:name="_Toc216697951"/>
      <w:bookmarkEnd w:id="76"/>
      <w:bookmarkEnd w:id="77"/>
      <w:bookmarkEnd w:id="78"/>
      <w:bookmarkEnd w:id="79"/>
      <w:bookmarkEnd w:id="80"/>
      <w:r>
        <w:t>Cálculo de la liquidación de los ingresos tarifarios</w:t>
      </w:r>
      <w:bookmarkEnd w:id="81"/>
      <w:bookmarkEnd w:id="82"/>
      <w:bookmarkEnd w:id="83"/>
      <w:bookmarkEnd w:id="84"/>
      <w:bookmarkEnd w:id="85"/>
      <w:bookmarkEnd w:id="86"/>
      <w:bookmarkEnd w:id="87"/>
    </w:p>
    <w:p w14:paraId="28D5BC1C" w14:textId="77777777" w:rsidR="007A7839" w:rsidRDefault="007A7839" w:rsidP="00E23D98">
      <w:pPr>
        <w:rPr>
          <w:rFonts w:cs="Arial"/>
          <w:szCs w:val="20"/>
          <w:lang w:val="es-ES"/>
        </w:rPr>
      </w:pPr>
      <w:r w:rsidRPr="0070260D">
        <w:rPr>
          <w:rFonts w:cs="Arial"/>
          <w:szCs w:val="20"/>
          <w:lang w:val="es-ES"/>
        </w:rPr>
        <w:t xml:space="preserve">El monto de las transacciones (pasajes) se liquida al operador </w:t>
      </w:r>
      <w:r w:rsidRPr="00B02C9A">
        <w:rPr>
          <w:rFonts w:cs="Arial"/>
          <w:szCs w:val="20"/>
          <w:lang w:val="es-ES_tradnl" w:eastAsia="es-ES"/>
        </w:rPr>
        <w:t>de transporte</w:t>
      </w:r>
      <w:r w:rsidRPr="0070260D">
        <w:rPr>
          <w:rFonts w:cs="Arial"/>
          <w:szCs w:val="20"/>
          <w:lang w:val="es-ES"/>
        </w:rPr>
        <w:t xml:space="preserve"> de conformidad con el siguiente cálculo</w:t>
      </w:r>
      <w:r>
        <w:rPr>
          <w:rFonts w:cs="Arial"/>
          <w:szCs w:val="20"/>
          <w:lang w:val="es-ES"/>
        </w:rPr>
        <w:t>:</w:t>
      </w:r>
    </w:p>
    <w:p w14:paraId="2A9E522B" w14:textId="77777777" w:rsidR="007A7839" w:rsidRPr="00B64802" w:rsidRDefault="007A7839" w:rsidP="00E23D98">
      <w:pPr>
        <w:shd w:val="clear" w:color="auto" w:fill="F2F2F2"/>
        <w:spacing w:before="0"/>
        <w:ind w:left="3402" w:right="2976"/>
        <w:jc w:val="center"/>
        <w:rPr>
          <w:rFonts w:cs="Arial"/>
          <w:b/>
          <w:sz w:val="24"/>
        </w:rPr>
      </w:pPr>
      <w:r w:rsidRPr="00B64802">
        <w:rPr>
          <w:rFonts w:cs="Arial"/>
          <w:b/>
          <w:sz w:val="24"/>
        </w:rPr>
        <w:t>L</w:t>
      </w:r>
      <w:r w:rsidRPr="00B64802">
        <w:rPr>
          <w:rFonts w:cs="Arial"/>
          <w:b/>
          <w:sz w:val="24"/>
          <w:vertAlign w:val="subscript"/>
        </w:rPr>
        <w:t>n</w:t>
      </w:r>
      <w:r w:rsidRPr="00B64802">
        <w:rPr>
          <w:rFonts w:cs="Arial"/>
          <w:b/>
          <w:sz w:val="24"/>
        </w:rPr>
        <w:t xml:space="preserve"> = T</w:t>
      </w:r>
      <w:r w:rsidRPr="00B64802">
        <w:rPr>
          <w:rFonts w:cs="Arial"/>
          <w:b/>
          <w:sz w:val="24"/>
          <w:vertAlign w:val="subscript"/>
        </w:rPr>
        <w:t>p</w:t>
      </w:r>
      <w:r w:rsidRPr="00B64802">
        <w:rPr>
          <w:rFonts w:cs="Arial"/>
          <w:b/>
          <w:sz w:val="24"/>
        </w:rPr>
        <w:t xml:space="preserve"> – (C</w:t>
      </w:r>
      <w:r w:rsidRPr="00B64802">
        <w:rPr>
          <w:rFonts w:cs="Arial"/>
          <w:b/>
          <w:sz w:val="24"/>
          <w:vertAlign w:val="subscript"/>
        </w:rPr>
        <w:t xml:space="preserve">a </w:t>
      </w:r>
      <w:r w:rsidRPr="00B64802">
        <w:rPr>
          <w:rFonts w:cs="Arial"/>
          <w:sz w:val="24"/>
          <w:lang w:val="es-ES"/>
        </w:rPr>
        <w:t xml:space="preserve">+ </w:t>
      </w:r>
      <w:r w:rsidRPr="00B64802">
        <w:rPr>
          <w:rFonts w:cs="Arial"/>
          <w:b/>
          <w:sz w:val="24"/>
        </w:rPr>
        <w:t>P</w:t>
      </w:r>
      <w:r w:rsidRPr="00B64802">
        <w:rPr>
          <w:rFonts w:cs="Arial"/>
          <w:b/>
          <w:sz w:val="24"/>
          <w:vertAlign w:val="subscript"/>
        </w:rPr>
        <w:t>t</w:t>
      </w:r>
      <w:r w:rsidRPr="00B64802">
        <w:rPr>
          <w:rFonts w:cs="Arial"/>
          <w:b/>
          <w:sz w:val="24"/>
        </w:rPr>
        <w:t>)</w:t>
      </w:r>
    </w:p>
    <w:p w14:paraId="16C306DA" w14:textId="77777777" w:rsidR="007A7839" w:rsidRDefault="007A7839" w:rsidP="00E23D98">
      <w:pPr>
        <w:rPr>
          <w:lang w:val="es-ES_tradnl" w:eastAsia="es-ES"/>
        </w:rPr>
      </w:pPr>
      <w:r>
        <w:rPr>
          <w:lang w:val="es-ES_tradnl" w:eastAsia="es-ES"/>
        </w:rPr>
        <w:t>En donde:</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4A0" w:firstRow="1" w:lastRow="0" w:firstColumn="1" w:lastColumn="0" w:noHBand="0" w:noVBand="1"/>
      </w:tblPr>
      <w:tblGrid>
        <w:gridCol w:w="849"/>
        <w:gridCol w:w="7074"/>
      </w:tblGrid>
      <w:tr w:rsidR="007A7839" w:rsidRPr="00983F6B" w14:paraId="65E1BF5D" w14:textId="77777777" w:rsidTr="00C91541">
        <w:trPr>
          <w:cantSplit/>
        </w:trPr>
        <w:tc>
          <w:tcPr>
            <w:tcW w:w="851" w:type="dxa"/>
            <w:shd w:val="clear" w:color="auto" w:fill="D5DCE4" w:themeFill="text2" w:themeFillTint="33"/>
            <w:vAlign w:val="center"/>
          </w:tcPr>
          <w:p w14:paraId="52EA9AC2" w14:textId="77777777" w:rsidR="007A7839" w:rsidRPr="00793F98" w:rsidRDefault="007A7839" w:rsidP="00E23D98">
            <w:pPr>
              <w:pStyle w:val="TextoTablaCentrado"/>
              <w:spacing w:before="40" w:after="40" w:line="276" w:lineRule="auto"/>
              <w:rPr>
                <w:rFonts w:ascii="Arial" w:hAnsi="Arial" w:cs="Arial"/>
                <w:position w:val="-20"/>
                <w:sz w:val="20"/>
                <w:szCs w:val="20"/>
                <w:lang w:val="es-ES_tradnl" w:eastAsia="es-ES"/>
              </w:rPr>
            </w:pPr>
            <w:r w:rsidRPr="00793F98">
              <w:rPr>
                <w:rFonts w:ascii="Arial" w:hAnsi="Arial" w:cs="Arial"/>
                <w:position w:val="-20"/>
                <w:sz w:val="20"/>
                <w:szCs w:val="20"/>
                <w:lang w:val="es-ES"/>
              </w:rPr>
              <w:t>L</w:t>
            </w:r>
            <w:r w:rsidRPr="00793F98">
              <w:rPr>
                <w:rFonts w:ascii="Arial" w:hAnsi="Arial" w:cs="Arial"/>
                <w:position w:val="-20"/>
                <w:sz w:val="20"/>
                <w:szCs w:val="20"/>
              </w:rPr>
              <w:t>n</w:t>
            </w:r>
            <w:r w:rsidRPr="00793F98">
              <w:rPr>
                <w:rFonts w:ascii="Arial" w:hAnsi="Arial" w:cs="Arial"/>
                <w:position w:val="-20"/>
                <w:sz w:val="20"/>
                <w:szCs w:val="20"/>
                <w:lang w:val="es-ES"/>
              </w:rPr>
              <w:t xml:space="preserve"> =</w:t>
            </w:r>
          </w:p>
        </w:tc>
        <w:tc>
          <w:tcPr>
            <w:tcW w:w="7092" w:type="dxa"/>
            <w:shd w:val="clear" w:color="auto" w:fill="D5DCE4" w:themeFill="text2" w:themeFillTint="33"/>
            <w:vAlign w:val="center"/>
          </w:tcPr>
          <w:p w14:paraId="0D3FDBD9" w14:textId="77777777" w:rsidR="007A7839" w:rsidRPr="00793F98" w:rsidRDefault="007A7839" w:rsidP="00E23D98">
            <w:pPr>
              <w:pStyle w:val="TextoTablaIzquierda"/>
              <w:spacing w:before="40" w:after="40" w:line="276" w:lineRule="auto"/>
              <w:ind w:left="141"/>
              <w:rPr>
                <w:rFonts w:ascii="Arial" w:hAnsi="Arial" w:cs="Arial"/>
                <w:position w:val="-20"/>
                <w:sz w:val="20"/>
                <w:szCs w:val="20"/>
                <w:lang w:val="es-ES_tradnl" w:eastAsia="es-ES"/>
              </w:rPr>
            </w:pPr>
            <w:r w:rsidRPr="00793F98">
              <w:rPr>
                <w:rFonts w:ascii="Arial" w:hAnsi="Arial" w:cs="Arial"/>
                <w:position w:val="-20"/>
                <w:sz w:val="20"/>
                <w:szCs w:val="20"/>
                <w:lang w:val="es-ES"/>
              </w:rPr>
              <w:t>Monto neto de la transacción por liquidar al operador de transporte.</w:t>
            </w:r>
          </w:p>
        </w:tc>
      </w:tr>
      <w:tr w:rsidR="007A7839" w:rsidRPr="00983F6B" w14:paraId="53CFA2A6" w14:textId="77777777" w:rsidTr="00C91541">
        <w:trPr>
          <w:cantSplit/>
        </w:trPr>
        <w:tc>
          <w:tcPr>
            <w:tcW w:w="851" w:type="dxa"/>
            <w:shd w:val="clear" w:color="auto" w:fill="D5DCE4" w:themeFill="text2" w:themeFillTint="33"/>
            <w:vAlign w:val="center"/>
          </w:tcPr>
          <w:p w14:paraId="20774115" w14:textId="77777777" w:rsidR="007A7839" w:rsidRPr="00793F98" w:rsidRDefault="007A7839" w:rsidP="00E23D98">
            <w:pPr>
              <w:pStyle w:val="TextoTablaCentrado"/>
              <w:spacing w:before="40" w:after="40" w:line="276" w:lineRule="auto"/>
              <w:rPr>
                <w:rFonts w:ascii="Arial" w:hAnsi="Arial" w:cs="Arial"/>
                <w:position w:val="-20"/>
                <w:sz w:val="20"/>
                <w:szCs w:val="20"/>
                <w:lang w:val="es-ES_tradnl" w:eastAsia="es-ES"/>
              </w:rPr>
            </w:pPr>
            <w:r w:rsidRPr="00793F98">
              <w:rPr>
                <w:rFonts w:ascii="Arial" w:hAnsi="Arial" w:cs="Arial"/>
                <w:position w:val="-20"/>
                <w:sz w:val="20"/>
                <w:szCs w:val="20"/>
                <w:lang w:val="es-ES"/>
              </w:rPr>
              <w:t>T</w:t>
            </w:r>
            <w:r w:rsidRPr="00793F98">
              <w:rPr>
                <w:rFonts w:ascii="Arial" w:hAnsi="Arial" w:cs="Arial"/>
                <w:position w:val="-20"/>
                <w:sz w:val="20"/>
                <w:szCs w:val="20"/>
                <w:vertAlign w:val="subscript"/>
                <w:lang w:val="es-ES"/>
              </w:rPr>
              <w:t>p</w:t>
            </w:r>
            <w:r w:rsidRPr="00793F98">
              <w:rPr>
                <w:rFonts w:ascii="Arial" w:hAnsi="Arial" w:cs="Arial"/>
                <w:position w:val="-20"/>
                <w:sz w:val="20"/>
                <w:szCs w:val="20"/>
                <w:lang w:val="es-ES"/>
              </w:rPr>
              <w:t xml:space="preserve"> =</w:t>
            </w:r>
          </w:p>
        </w:tc>
        <w:tc>
          <w:tcPr>
            <w:tcW w:w="7092" w:type="dxa"/>
            <w:shd w:val="clear" w:color="auto" w:fill="D5DCE4" w:themeFill="text2" w:themeFillTint="33"/>
            <w:vAlign w:val="center"/>
          </w:tcPr>
          <w:p w14:paraId="1A08847E" w14:textId="77777777" w:rsidR="007A7839" w:rsidRPr="00793F98" w:rsidRDefault="007A7839" w:rsidP="00E23D98">
            <w:pPr>
              <w:pStyle w:val="TextoTablaIzquierda"/>
              <w:spacing w:before="40" w:after="40" w:line="276" w:lineRule="auto"/>
              <w:ind w:left="141"/>
              <w:jc w:val="both"/>
              <w:rPr>
                <w:rFonts w:ascii="Arial" w:hAnsi="Arial" w:cs="Arial"/>
                <w:position w:val="-20"/>
                <w:sz w:val="20"/>
                <w:szCs w:val="20"/>
                <w:lang w:val="es-ES_tradnl" w:eastAsia="es-ES"/>
              </w:rPr>
            </w:pPr>
            <w:r w:rsidRPr="00793F98">
              <w:rPr>
                <w:rFonts w:ascii="Arial" w:hAnsi="Arial" w:cs="Arial"/>
                <w:position w:val="-20"/>
                <w:sz w:val="20"/>
                <w:szCs w:val="20"/>
                <w:lang w:val="es-ES"/>
              </w:rPr>
              <w:t>Monto en colones del total de las transacciones procesadas por medio de SINPE</w:t>
            </w:r>
            <w:r w:rsidRPr="00793F98">
              <w:rPr>
                <w:rFonts w:ascii="Arial" w:hAnsi="Arial" w:cs="Arial"/>
                <w:position w:val="-20"/>
                <w:sz w:val="20"/>
                <w:szCs w:val="20"/>
                <w:lang w:val="es-ES"/>
              </w:rPr>
              <w:noBreakHyphen/>
              <w:t>TP (según el inciso a), del apartado 3.2).</w:t>
            </w:r>
          </w:p>
        </w:tc>
      </w:tr>
      <w:tr w:rsidR="007A7839" w:rsidRPr="00983F6B" w14:paraId="1A431E97" w14:textId="77777777" w:rsidTr="00C91541">
        <w:trPr>
          <w:cantSplit/>
        </w:trPr>
        <w:tc>
          <w:tcPr>
            <w:tcW w:w="851" w:type="dxa"/>
            <w:shd w:val="clear" w:color="auto" w:fill="D5DCE4" w:themeFill="text2" w:themeFillTint="33"/>
            <w:vAlign w:val="center"/>
          </w:tcPr>
          <w:p w14:paraId="5F9FA214" w14:textId="77777777" w:rsidR="007A7839" w:rsidRPr="00793F98" w:rsidRDefault="007A7839" w:rsidP="00E23D98">
            <w:pPr>
              <w:pStyle w:val="TextoTablaCentrado"/>
              <w:spacing w:before="40" w:after="40" w:line="276" w:lineRule="auto"/>
              <w:rPr>
                <w:rFonts w:ascii="Arial" w:hAnsi="Arial" w:cs="Arial"/>
                <w:position w:val="-20"/>
                <w:sz w:val="20"/>
                <w:szCs w:val="20"/>
                <w:lang w:val="es-ES_tradnl" w:eastAsia="es-ES"/>
              </w:rPr>
            </w:pPr>
            <w:r w:rsidRPr="00793F98">
              <w:rPr>
                <w:rFonts w:ascii="Arial" w:hAnsi="Arial" w:cs="Arial"/>
                <w:position w:val="-20"/>
                <w:sz w:val="20"/>
                <w:szCs w:val="20"/>
                <w:lang w:val="es-ES"/>
              </w:rPr>
              <w:t>C</w:t>
            </w:r>
            <w:r w:rsidRPr="00793F98">
              <w:rPr>
                <w:rFonts w:ascii="Arial" w:hAnsi="Arial" w:cs="Arial"/>
                <w:position w:val="-20"/>
                <w:sz w:val="20"/>
                <w:szCs w:val="20"/>
              </w:rPr>
              <w:t>a</w:t>
            </w:r>
            <w:r w:rsidRPr="00793F98">
              <w:rPr>
                <w:rFonts w:ascii="Arial" w:hAnsi="Arial" w:cs="Arial"/>
                <w:position w:val="-20"/>
                <w:sz w:val="20"/>
                <w:szCs w:val="20"/>
                <w:lang w:val="es-ES"/>
              </w:rPr>
              <w:t xml:space="preserve"> =</w:t>
            </w:r>
          </w:p>
        </w:tc>
        <w:tc>
          <w:tcPr>
            <w:tcW w:w="7092" w:type="dxa"/>
            <w:shd w:val="clear" w:color="auto" w:fill="D5DCE4" w:themeFill="text2" w:themeFillTint="33"/>
            <w:vAlign w:val="center"/>
          </w:tcPr>
          <w:p w14:paraId="0A19C910" w14:textId="77777777" w:rsidR="007A7839" w:rsidRPr="00793F98" w:rsidRDefault="007A7839" w:rsidP="00E23D98">
            <w:pPr>
              <w:pStyle w:val="TextoTablaIzquierda"/>
              <w:spacing w:before="40" w:after="40" w:line="276" w:lineRule="auto"/>
              <w:ind w:left="141"/>
              <w:jc w:val="both"/>
              <w:rPr>
                <w:rFonts w:ascii="Arial" w:hAnsi="Arial" w:cs="Arial"/>
                <w:position w:val="-20"/>
                <w:sz w:val="20"/>
                <w:szCs w:val="20"/>
                <w:lang w:val="es-ES_tradnl" w:eastAsia="es-ES"/>
              </w:rPr>
            </w:pPr>
            <w:r w:rsidRPr="00793F98">
              <w:rPr>
                <w:rFonts w:ascii="Arial" w:hAnsi="Arial" w:cs="Arial"/>
                <w:position w:val="-20"/>
                <w:sz w:val="20"/>
                <w:szCs w:val="20"/>
                <w:lang w:val="es-ES"/>
              </w:rPr>
              <w:t>Monto de la comisión del adquirente (calculada conforme con el apartado 5.1.1).</w:t>
            </w:r>
          </w:p>
        </w:tc>
      </w:tr>
      <w:tr w:rsidR="007A7839" w:rsidRPr="00983F6B" w14:paraId="4555E3DB" w14:textId="77777777" w:rsidTr="00C91541">
        <w:trPr>
          <w:cantSplit/>
        </w:trPr>
        <w:tc>
          <w:tcPr>
            <w:tcW w:w="851" w:type="dxa"/>
            <w:shd w:val="clear" w:color="auto" w:fill="D5DCE4" w:themeFill="text2" w:themeFillTint="33"/>
            <w:vAlign w:val="center"/>
          </w:tcPr>
          <w:p w14:paraId="1BF94E0A" w14:textId="77777777" w:rsidR="007A7839" w:rsidRPr="00793F98" w:rsidRDefault="007A7839" w:rsidP="00E23D98">
            <w:pPr>
              <w:pStyle w:val="TextoTablaCentrado"/>
              <w:spacing w:before="40" w:after="40" w:line="276" w:lineRule="auto"/>
              <w:rPr>
                <w:rFonts w:ascii="Arial" w:hAnsi="Arial" w:cs="Arial"/>
                <w:position w:val="-20"/>
                <w:sz w:val="20"/>
                <w:szCs w:val="20"/>
                <w:lang w:val="es-ES_tradnl" w:eastAsia="es-ES"/>
              </w:rPr>
            </w:pPr>
            <w:r w:rsidRPr="00793F98">
              <w:rPr>
                <w:rFonts w:ascii="Arial" w:hAnsi="Arial" w:cs="Arial"/>
                <w:position w:val="-20"/>
                <w:sz w:val="20"/>
                <w:szCs w:val="20"/>
                <w:lang w:val="es-ES"/>
              </w:rPr>
              <w:t>P</w:t>
            </w:r>
            <w:r w:rsidRPr="00793F98">
              <w:rPr>
                <w:rFonts w:ascii="Arial" w:hAnsi="Arial" w:cs="Arial"/>
                <w:position w:val="-20"/>
                <w:sz w:val="20"/>
                <w:szCs w:val="20"/>
                <w:vertAlign w:val="subscript"/>
                <w:lang w:val="es-ES"/>
              </w:rPr>
              <w:t>t</w:t>
            </w:r>
            <w:r w:rsidRPr="00793F98">
              <w:rPr>
                <w:rFonts w:ascii="Arial" w:hAnsi="Arial" w:cs="Arial"/>
                <w:position w:val="-20"/>
                <w:sz w:val="20"/>
                <w:szCs w:val="20"/>
                <w:lang w:val="es-ES"/>
              </w:rPr>
              <w:t xml:space="preserve"> =</w:t>
            </w:r>
          </w:p>
        </w:tc>
        <w:tc>
          <w:tcPr>
            <w:tcW w:w="7092" w:type="dxa"/>
            <w:shd w:val="clear" w:color="auto" w:fill="D5DCE4" w:themeFill="text2" w:themeFillTint="33"/>
            <w:vAlign w:val="center"/>
          </w:tcPr>
          <w:p w14:paraId="46339E8A" w14:textId="77777777" w:rsidR="007A7839" w:rsidRPr="00793F98" w:rsidRDefault="007A7839" w:rsidP="00E23D98">
            <w:pPr>
              <w:pStyle w:val="TextoTablaIzquierda"/>
              <w:spacing w:before="40" w:after="40" w:line="276" w:lineRule="auto"/>
              <w:ind w:left="141"/>
              <w:jc w:val="both"/>
              <w:rPr>
                <w:rFonts w:ascii="Arial" w:hAnsi="Arial" w:cs="Arial"/>
                <w:position w:val="-20"/>
                <w:sz w:val="20"/>
                <w:szCs w:val="20"/>
                <w:lang w:val="es-ES_tradnl" w:eastAsia="es-ES"/>
              </w:rPr>
            </w:pPr>
            <w:r w:rsidRPr="00793F98">
              <w:rPr>
                <w:rFonts w:ascii="Arial" w:hAnsi="Arial" w:cs="Arial"/>
                <w:position w:val="-20"/>
                <w:sz w:val="20"/>
                <w:szCs w:val="20"/>
                <w:lang w:val="es-ES"/>
              </w:rPr>
              <w:t xml:space="preserve">Monto de la comisión de la pasarela de </w:t>
            </w:r>
            <w:r>
              <w:rPr>
                <w:rFonts w:ascii="Arial" w:hAnsi="Arial" w:cs="Arial"/>
                <w:position w:val="-20"/>
                <w:sz w:val="20"/>
                <w:szCs w:val="20"/>
                <w:lang w:val="es-ES"/>
              </w:rPr>
              <w:t>transporte</w:t>
            </w:r>
            <w:r w:rsidRPr="00793F98">
              <w:rPr>
                <w:rFonts w:ascii="Arial" w:hAnsi="Arial" w:cs="Arial"/>
                <w:position w:val="-20"/>
                <w:sz w:val="20"/>
                <w:szCs w:val="20"/>
                <w:lang w:val="es-ES"/>
              </w:rPr>
              <w:t xml:space="preserve"> (calculada conforme con el apartado 5.3.1).</w:t>
            </w:r>
          </w:p>
        </w:tc>
      </w:tr>
    </w:tbl>
    <w:p w14:paraId="0B132C97" w14:textId="77777777" w:rsidR="007A7839" w:rsidRDefault="007A7839" w:rsidP="00E23D98">
      <w:pPr>
        <w:rPr>
          <w:rFonts w:cs="Arial"/>
          <w:szCs w:val="20"/>
          <w:lang w:val="es-ES"/>
        </w:rPr>
      </w:pPr>
      <w:r w:rsidRPr="0070260D">
        <w:rPr>
          <w:rFonts w:cs="Arial"/>
          <w:szCs w:val="20"/>
          <w:lang w:val="es-ES"/>
        </w:rPr>
        <w:t>El monto de la liquidación corresponderá a la suma de las transacciones procesadas en un mismo ciclo de liquidación</w:t>
      </w:r>
      <w:r>
        <w:rPr>
          <w:rFonts w:cs="Arial"/>
          <w:szCs w:val="20"/>
          <w:lang w:val="es-ES"/>
        </w:rPr>
        <w:t xml:space="preserve"> (con la deducción del costo de las transacciones que corran por cuenta del operador de </w:t>
      </w:r>
      <w:r>
        <w:rPr>
          <w:rFonts w:cs="Arial"/>
          <w:szCs w:val="20"/>
          <w:lang w:val="es-ES"/>
        </w:rPr>
        <w:lastRenderedPageBreak/>
        <w:t>transporte, conforme con la presente norma complementaria)</w:t>
      </w:r>
      <w:r w:rsidRPr="0070260D">
        <w:rPr>
          <w:rFonts w:cs="Arial"/>
          <w:szCs w:val="20"/>
          <w:lang w:val="es-ES"/>
        </w:rPr>
        <w:t xml:space="preserve">, y se deposita en la cuenta IBAN comunicada </w:t>
      </w:r>
      <w:r>
        <w:rPr>
          <w:rFonts w:cs="Arial"/>
          <w:szCs w:val="20"/>
          <w:lang w:val="es-ES"/>
        </w:rPr>
        <w:t xml:space="preserve">por el operador de transporte </w:t>
      </w:r>
      <w:r w:rsidRPr="0070260D">
        <w:rPr>
          <w:rFonts w:cs="Arial"/>
          <w:szCs w:val="20"/>
          <w:lang w:val="es-ES"/>
        </w:rPr>
        <w:t>al BCCR para la acreditación de los ingresos tarifarios recaudados por medio de SINPE-TP</w:t>
      </w:r>
      <w:r>
        <w:rPr>
          <w:rFonts w:cs="Arial"/>
          <w:szCs w:val="20"/>
          <w:lang w:val="es-ES"/>
        </w:rPr>
        <w:t>.</w:t>
      </w:r>
    </w:p>
    <w:p w14:paraId="79A26323" w14:textId="77777777" w:rsidR="007A7839" w:rsidRDefault="007A7839" w:rsidP="00E23D98">
      <w:pPr>
        <w:pStyle w:val="Ttulo2"/>
        <w:numPr>
          <w:ilvl w:val="1"/>
          <w:numId w:val="3"/>
        </w:numPr>
        <w:tabs>
          <w:tab w:val="clear" w:pos="510"/>
        </w:tabs>
        <w:spacing w:line="276" w:lineRule="auto"/>
        <w:ind w:left="229" w:hanging="229"/>
      </w:pPr>
      <w:bookmarkStart w:id="88" w:name="_Toc213828768"/>
      <w:bookmarkStart w:id="89" w:name="_Toc216697952"/>
      <w:r>
        <w:t>Morosidad</w:t>
      </w:r>
      <w:bookmarkEnd w:id="88"/>
      <w:bookmarkEnd w:id="89"/>
    </w:p>
    <w:p w14:paraId="65C21E17" w14:textId="77777777" w:rsidR="007A7839" w:rsidRPr="00C92247" w:rsidRDefault="007A7839" w:rsidP="00E23D98">
      <w:pPr>
        <w:rPr>
          <w:lang w:val="es-ES_tradnl" w:eastAsia="es-ES"/>
        </w:rPr>
      </w:pPr>
      <w:r w:rsidRPr="007E2C40">
        <w:rPr>
          <w:lang w:val="es-ES_tradnl" w:eastAsia="es-ES"/>
        </w:rPr>
        <w:t>Se refiere al monto de las transacciones que no pued</w:t>
      </w:r>
      <w:r w:rsidRPr="007964FB">
        <w:rPr>
          <w:lang w:val="es-ES_tradnl" w:eastAsia="es-ES"/>
        </w:rPr>
        <w:t>e</w:t>
      </w:r>
      <w:r w:rsidRPr="00C92247">
        <w:rPr>
          <w:lang w:val="es-ES_tradnl" w:eastAsia="es-ES"/>
        </w:rPr>
        <w:t xml:space="preserve">n ser cobradas exitosamente durante su ciclo normal de liquidación, las cuales se encuentran garantizadas a favor de los operadores de transporte de conformidad con el modelo de gestión de riesgos y responsabilidades regulado por el </w:t>
      </w:r>
      <w:r>
        <w:rPr>
          <w:lang w:val="es-ES_tradnl" w:eastAsia="es-ES"/>
        </w:rPr>
        <w:t xml:space="preserve">Capítulo VI del </w:t>
      </w:r>
      <w:r w:rsidRPr="00C92247">
        <w:rPr>
          <w:lang w:val="es-ES_tradnl" w:eastAsia="es-ES"/>
        </w:rPr>
        <w:t xml:space="preserve">Reglamento </w:t>
      </w:r>
      <w:r>
        <w:rPr>
          <w:lang w:val="es-ES_tradnl" w:eastAsia="es-ES"/>
        </w:rPr>
        <w:t>de SINPE-TP</w:t>
      </w:r>
      <w:r w:rsidRPr="00C92247">
        <w:rPr>
          <w:lang w:val="es-ES_tradnl" w:eastAsia="es-ES"/>
        </w:rPr>
        <w:t>.</w:t>
      </w:r>
    </w:p>
    <w:p w14:paraId="6309333E" w14:textId="77777777" w:rsidR="007A7839" w:rsidRPr="00F75A80" w:rsidRDefault="007A7839" w:rsidP="00E23D98">
      <w:pPr>
        <w:rPr>
          <w:lang w:val="es-ES_tradnl" w:eastAsia="es-ES"/>
        </w:rPr>
      </w:pPr>
      <w:r w:rsidRPr="00C92247">
        <w:rPr>
          <w:lang w:val="es-ES_tradnl" w:eastAsia="es-ES"/>
        </w:rPr>
        <w:t>Una transacción asume un estado moroso cuando la cuenta del tarjetahabiente presenta alguna condición</w:t>
      </w:r>
      <w:bookmarkStart w:id="90" w:name="_Hlk132301077"/>
      <w:r w:rsidRPr="00C92247">
        <w:rPr>
          <w:lang w:val="es-ES_tradnl" w:eastAsia="es-ES"/>
        </w:rPr>
        <w:t xml:space="preserve"> por la cual el emisor no pueda realizar</w:t>
      </w:r>
      <w:bookmarkEnd w:id="90"/>
      <w:r w:rsidRPr="00C92247">
        <w:rPr>
          <w:lang w:val="es-ES_tradnl" w:eastAsia="es-ES"/>
        </w:rPr>
        <w:t>, en el ciclo normal de liquidación</w:t>
      </w:r>
      <w:r>
        <w:rPr>
          <w:lang w:val="es-ES_tradnl" w:eastAsia="es-ES"/>
        </w:rPr>
        <w:t xml:space="preserve"> </w:t>
      </w:r>
      <w:r w:rsidRPr="00C92247">
        <w:rPr>
          <w:lang w:val="es-ES_tradnl" w:eastAsia="es-ES"/>
        </w:rPr>
        <w:t>de</w:t>
      </w:r>
      <w:r w:rsidRPr="00F75A80">
        <w:rPr>
          <w:lang w:val="es-ES_tradnl" w:eastAsia="es-ES"/>
        </w:rPr>
        <w:t xml:space="preserve"> SINPE-TP, el cobro de los pasajes respectivos a cargo de su cliente</w:t>
      </w:r>
      <w:r>
        <w:rPr>
          <w:lang w:val="es-ES_tradnl" w:eastAsia="es-ES"/>
        </w:rPr>
        <w:t xml:space="preserve"> (tarjetahabiente)</w:t>
      </w:r>
      <w:r w:rsidRPr="00F75A80">
        <w:rPr>
          <w:lang w:val="es-ES_tradnl" w:eastAsia="es-ES"/>
        </w:rPr>
        <w:t>.</w:t>
      </w:r>
    </w:p>
    <w:p w14:paraId="72FFB806" w14:textId="77777777" w:rsidR="007A7839" w:rsidRPr="00275F23" w:rsidRDefault="007A7839" w:rsidP="00E23D98">
      <w:pPr>
        <w:rPr>
          <w:lang w:val="es-ES_tradnl" w:eastAsia="es-ES"/>
        </w:rPr>
      </w:pPr>
      <w:r w:rsidRPr="00275F23">
        <w:rPr>
          <w:lang w:val="es-ES_tradnl" w:eastAsia="es-ES"/>
        </w:rPr>
        <w:t xml:space="preserve">Para sus efectos contables (internos), el BCCR mantendrá los viajes pendientes de cobro bajo esta condición de morosidad hasta que acumulen un máximo de </w:t>
      </w:r>
      <w:r>
        <w:rPr>
          <w:lang w:val="es-ES_tradnl" w:eastAsia="es-ES"/>
        </w:rPr>
        <w:t>noventa</w:t>
      </w:r>
      <w:r w:rsidRPr="00275F23">
        <w:rPr>
          <w:lang w:val="es-ES_tradnl" w:eastAsia="es-ES"/>
        </w:rPr>
        <w:t xml:space="preserve"> días naturales de antigüedad, contados a partir del día siguiente de su ciclo normal de liquidación.</w:t>
      </w:r>
    </w:p>
    <w:p w14:paraId="5743AA9A" w14:textId="77777777" w:rsidR="007A7839" w:rsidRPr="00275F23" w:rsidRDefault="007A7839" w:rsidP="00E23D98">
      <w:pPr>
        <w:rPr>
          <w:lang w:val="es-ES_tradnl" w:eastAsia="es-ES"/>
        </w:rPr>
      </w:pPr>
      <w:r w:rsidRPr="00C114A6">
        <w:rPr>
          <w:lang w:val="es-ES_tradnl" w:eastAsia="es-ES"/>
        </w:rPr>
        <w:t xml:space="preserve">Las recuperaciones de deudas morosas </w:t>
      </w:r>
      <w:r w:rsidRPr="00CF263B">
        <w:rPr>
          <w:lang w:val="es-ES_tradnl" w:eastAsia="es-ES"/>
        </w:rPr>
        <w:t xml:space="preserve">cuyo pago haya sido cubierto con cargo a la garantía </w:t>
      </w:r>
      <w:r>
        <w:rPr>
          <w:lang w:val="es-ES_tradnl" w:eastAsia="es-ES"/>
        </w:rPr>
        <w:t xml:space="preserve">otorgada por </w:t>
      </w:r>
      <w:r w:rsidRPr="00CF263B">
        <w:rPr>
          <w:lang w:val="es-ES_tradnl" w:eastAsia="es-ES"/>
        </w:rPr>
        <w:t xml:space="preserve">los emisores serán </w:t>
      </w:r>
      <w:r w:rsidRPr="00C114A6">
        <w:rPr>
          <w:lang w:val="es-ES_tradnl" w:eastAsia="es-ES"/>
        </w:rPr>
        <w:t xml:space="preserve">liquidadas </w:t>
      </w:r>
      <w:r w:rsidRPr="00CF263B">
        <w:rPr>
          <w:lang w:val="es-ES_tradnl" w:eastAsia="es-ES"/>
        </w:rPr>
        <w:t xml:space="preserve">al emisor ejecutor de la </w:t>
      </w:r>
      <w:r w:rsidRPr="00C114A6">
        <w:rPr>
          <w:lang w:val="es-ES_tradnl" w:eastAsia="es-ES"/>
        </w:rPr>
        <w:t>garantía, conforme con el apartado 3.1 de la presente norma complementaria.</w:t>
      </w:r>
    </w:p>
    <w:p w14:paraId="59F4A97D" w14:textId="77777777" w:rsidR="007A7839" w:rsidRPr="008F1503" w:rsidRDefault="007A7839" w:rsidP="00E23D98">
      <w:pPr>
        <w:rPr>
          <w:rFonts w:cs="Arial"/>
          <w:lang w:val="es-ES_tradnl" w:eastAsia="es-ES"/>
        </w:rPr>
      </w:pPr>
      <w:r w:rsidRPr="008F1503">
        <w:rPr>
          <w:rFonts w:cs="Arial"/>
          <w:lang w:val="es-ES_tradnl" w:eastAsia="es-ES"/>
        </w:rPr>
        <w:t>Los emisores que asuman el costo de transacciones morosas que se generen con el funcionamiento de SINPE-TP, realizarán el manejo financiero-contable de dichas transacciones de conformidad con sus políticas y procedimientos internos de registro.</w:t>
      </w:r>
    </w:p>
    <w:p w14:paraId="1A170E8F" w14:textId="77777777" w:rsidR="007A7839" w:rsidRPr="00266938" w:rsidRDefault="007A7839" w:rsidP="00E23D98">
      <w:pPr>
        <w:pStyle w:val="Ttulo2"/>
        <w:numPr>
          <w:ilvl w:val="1"/>
          <w:numId w:val="3"/>
        </w:numPr>
        <w:tabs>
          <w:tab w:val="clear" w:pos="510"/>
        </w:tabs>
        <w:spacing w:line="276" w:lineRule="auto"/>
        <w:ind w:left="229" w:hanging="229"/>
      </w:pPr>
      <w:bookmarkStart w:id="91" w:name="_Toc213828769"/>
      <w:bookmarkStart w:id="92" w:name="_Toc216697953"/>
      <w:r w:rsidRPr="00266938">
        <w:t>Incobrabilidad</w:t>
      </w:r>
      <w:bookmarkEnd w:id="91"/>
      <w:bookmarkEnd w:id="92"/>
    </w:p>
    <w:p w14:paraId="019637E1" w14:textId="77777777" w:rsidR="007A7839" w:rsidRDefault="007A7839" w:rsidP="00E23D98">
      <w:pPr>
        <w:rPr>
          <w:lang w:val="es-ES_tradnl" w:eastAsia="es-ES"/>
        </w:rPr>
      </w:pPr>
      <w:r w:rsidRPr="00266938">
        <w:rPr>
          <w:rStyle w:val="ListaNivel2Car"/>
        </w:rPr>
        <w:t xml:space="preserve">De conformidad con lo que establece el artículo </w:t>
      </w:r>
      <w:r>
        <w:rPr>
          <w:rStyle w:val="ListaNivel2Car"/>
        </w:rPr>
        <w:t>46</w:t>
      </w:r>
      <w:r w:rsidRPr="00266938">
        <w:rPr>
          <w:rStyle w:val="ListaNivel2Car"/>
        </w:rPr>
        <w:t xml:space="preserve"> del Reglamento </w:t>
      </w:r>
      <w:r>
        <w:rPr>
          <w:rStyle w:val="ListaNivel2Car"/>
        </w:rPr>
        <w:t>de SINPE-TP</w:t>
      </w:r>
      <w:r w:rsidRPr="00266938">
        <w:rPr>
          <w:rStyle w:val="ListaNivel2Car"/>
        </w:rPr>
        <w:t xml:space="preserve">, </w:t>
      </w:r>
      <w:r w:rsidRPr="00266938">
        <w:rPr>
          <w:lang w:val="es-ES_tradnl" w:eastAsia="es-ES"/>
        </w:rPr>
        <w:t>las partidas de</w:t>
      </w:r>
      <w:r>
        <w:rPr>
          <w:lang w:val="es-ES_tradnl" w:eastAsia="es-ES"/>
        </w:rPr>
        <w:t>l</w:t>
      </w:r>
      <w:r w:rsidRPr="00266938">
        <w:rPr>
          <w:lang w:val="es-ES_tradnl" w:eastAsia="es-ES"/>
        </w:rPr>
        <w:t xml:space="preserve"> </w:t>
      </w:r>
      <w:r>
        <w:rPr>
          <w:lang w:val="es-ES_tradnl" w:eastAsia="es-ES"/>
        </w:rPr>
        <w:t xml:space="preserve">servicio </w:t>
      </w:r>
      <w:r w:rsidRPr="00266938">
        <w:rPr>
          <w:lang w:val="es-ES_tradnl" w:eastAsia="es-ES"/>
        </w:rPr>
        <w:t xml:space="preserve">SINPE-TP que se encuentren pendientes de cobro y cuyo costo haya sido asumido por el BCCR, son declaradas incobrables luego de que acumulen más de </w:t>
      </w:r>
      <w:r>
        <w:rPr>
          <w:lang w:val="es-ES_tradnl" w:eastAsia="es-ES"/>
        </w:rPr>
        <w:t>noventa</w:t>
      </w:r>
      <w:r w:rsidRPr="00266938">
        <w:rPr>
          <w:lang w:val="es-ES_tradnl" w:eastAsia="es-ES"/>
        </w:rPr>
        <w:t xml:space="preserve"> días naturales de morosidad, a</w:t>
      </w:r>
      <w:r w:rsidRPr="00F75A80">
        <w:rPr>
          <w:lang w:val="es-ES_tradnl" w:eastAsia="es-ES"/>
        </w:rPr>
        <w:t xml:space="preserve"> partir de lo cual podrán contabilizarse como gastos financieros por incobrabilidad.</w:t>
      </w:r>
    </w:p>
    <w:p w14:paraId="7AEA617E" w14:textId="77777777" w:rsidR="007A7839" w:rsidRPr="008F1503" w:rsidRDefault="007A7839" w:rsidP="00E23D98">
      <w:pPr>
        <w:rPr>
          <w:rFonts w:cs="Arial"/>
          <w:lang w:val="es-ES_tradnl" w:eastAsia="es-ES"/>
        </w:rPr>
      </w:pPr>
      <w:r w:rsidRPr="008F1503">
        <w:rPr>
          <w:rFonts w:cs="Arial"/>
          <w:lang w:val="es-ES_tradnl" w:eastAsia="es-ES"/>
        </w:rPr>
        <w:t xml:space="preserve">Los emisores que asuman el costo de transacciones </w:t>
      </w:r>
      <w:r w:rsidRPr="00CF263B">
        <w:rPr>
          <w:rFonts w:cs="Arial"/>
          <w:lang w:val="es-ES_tradnl" w:eastAsia="es-ES"/>
        </w:rPr>
        <w:t>incobrables generadas</w:t>
      </w:r>
      <w:r w:rsidRPr="008F1503">
        <w:rPr>
          <w:rFonts w:cs="Arial"/>
          <w:lang w:val="es-ES_tradnl" w:eastAsia="es-ES"/>
        </w:rPr>
        <w:t xml:space="preserve"> con el funcionamiento de SINPE-TP, realizarán el manejo financiero-contable de dichas transacciones de conformidad con sus políticas y procedimientos internos de registro.</w:t>
      </w:r>
    </w:p>
    <w:p w14:paraId="0CAB05CE" w14:textId="77777777" w:rsidR="007A7839" w:rsidRDefault="007A7839" w:rsidP="00E23D98">
      <w:pPr>
        <w:pStyle w:val="Ttulo2"/>
        <w:numPr>
          <w:ilvl w:val="1"/>
          <w:numId w:val="3"/>
        </w:numPr>
        <w:tabs>
          <w:tab w:val="clear" w:pos="510"/>
        </w:tabs>
        <w:spacing w:line="276" w:lineRule="auto"/>
        <w:ind w:left="229" w:hanging="229"/>
      </w:pPr>
      <w:bookmarkStart w:id="93" w:name="_Toc213828770"/>
      <w:bookmarkStart w:id="94" w:name="_Toc216697954"/>
      <w:r>
        <w:t>Procedimiento de recuperación de deudas</w:t>
      </w:r>
      <w:bookmarkEnd w:id="93"/>
      <w:bookmarkEnd w:id="94"/>
      <w:r>
        <w:t xml:space="preserve"> </w:t>
      </w:r>
    </w:p>
    <w:p w14:paraId="180A6590" w14:textId="77777777" w:rsidR="007A7839" w:rsidRPr="00764160" w:rsidRDefault="007A7839" w:rsidP="00E23D98">
      <w:pPr>
        <w:rPr>
          <w:lang w:val="es-ES_tradnl" w:eastAsia="es-ES"/>
        </w:rPr>
      </w:pPr>
      <w:bookmarkStart w:id="95" w:name="_Hlk122448956"/>
      <w:r w:rsidRPr="00CF2848">
        <w:rPr>
          <w:lang w:val="es-ES_tradnl" w:eastAsia="es-ES"/>
        </w:rPr>
        <w:t xml:space="preserve">El BCCR dispone de un procedimiento para </w:t>
      </w:r>
      <w:r>
        <w:rPr>
          <w:lang w:val="es-ES_tradnl" w:eastAsia="es-ES"/>
        </w:rPr>
        <w:t>gestionar</w:t>
      </w:r>
      <w:r w:rsidRPr="00CF2848">
        <w:rPr>
          <w:lang w:val="es-ES_tradnl" w:eastAsia="es-ES"/>
        </w:rPr>
        <w:t xml:space="preserve"> la recuperación de las deuda</w:t>
      </w:r>
      <w:r w:rsidRPr="00764160">
        <w:rPr>
          <w:lang w:val="es-ES_tradnl" w:eastAsia="es-ES"/>
        </w:rPr>
        <w:t>s que se encuentren morosas con SINPE-TP, el cual funciona de la siguiente forma:</w:t>
      </w:r>
    </w:p>
    <w:p w14:paraId="61E701DA" w14:textId="77777777" w:rsidR="007A7839" w:rsidRPr="00764160" w:rsidRDefault="007A7839" w:rsidP="00FA10A3">
      <w:pPr>
        <w:pStyle w:val="ListaNivel2"/>
        <w:numPr>
          <w:ilvl w:val="0"/>
          <w:numId w:val="9"/>
        </w:numPr>
        <w:spacing w:line="276" w:lineRule="auto"/>
      </w:pPr>
      <w:r w:rsidRPr="00764160">
        <w:t xml:space="preserve">El procedimiento se activa cuando el usuario (tarjetahabiente) realiza una nueva transacción en el validador para que se tramite </w:t>
      </w:r>
      <w:r>
        <w:t>su</w:t>
      </w:r>
      <w:r w:rsidRPr="00764160">
        <w:t xml:space="preserve"> autorización con el emisor, luego de haber realizado la transacción por la cual su dispositivo de pago fue </w:t>
      </w:r>
      <w:r>
        <w:t>ingresado</w:t>
      </w:r>
      <w:r w:rsidRPr="00764160">
        <w:t xml:space="preserve"> en la lista de denegación.</w:t>
      </w:r>
    </w:p>
    <w:p w14:paraId="763EFF67" w14:textId="77777777" w:rsidR="007A7839" w:rsidRDefault="007A7839" w:rsidP="00E23D98">
      <w:pPr>
        <w:pStyle w:val="ListaNivel2"/>
        <w:tabs>
          <w:tab w:val="clear" w:pos="1077"/>
        </w:tabs>
        <w:spacing w:line="276" w:lineRule="auto"/>
        <w:ind w:left="737" w:firstLine="0"/>
      </w:pPr>
      <w:r w:rsidRPr="00764160">
        <w:t xml:space="preserve">Esta segunda transacción </w:t>
      </w:r>
      <w:r>
        <w:t>es</w:t>
      </w:r>
      <w:r w:rsidRPr="00764160">
        <w:t xml:space="preserve"> rechazada por el validador y, por lo tanto, no </w:t>
      </w:r>
      <w:r>
        <w:t>sirve</w:t>
      </w:r>
      <w:r w:rsidRPr="00764160">
        <w:t xml:space="preserve"> para el pago de pasajes por encontrarse el dispositivo de pago dentro de la lista de denegación, pero si funciona para accionar el procedimiento de recuperación de deuda</w:t>
      </w:r>
      <w:r>
        <w:t xml:space="preserve"> con el emisor del dispositivo de pago.</w:t>
      </w:r>
      <w:bookmarkEnd w:id="95"/>
    </w:p>
    <w:p w14:paraId="69D9123E" w14:textId="77777777" w:rsidR="007A7839" w:rsidRPr="009308BD" w:rsidRDefault="007A7839" w:rsidP="00FA10A3">
      <w:pPr>
        <w:pStyle w:val="ListaNivel2"/>
        <w:numPr>
          <w:ilvl w:val="0"/>
          <w:numId w:val="6"/>
        </w:numPr>
        <w:spacing w:line="276" w:lineRule="auto"/>
      </w:pPr>
      <w:r w:rsidRPr="009308BD">
        <w:lastRenderedPageBreak/>
        <w:t>SINPE-TP ejecuta al menos cinco intentos de cobro automáticos, iniciando en las fechas que se consideren con mayor probabilidad de éxito para recuperar los saldos adeudados por los tarjetahabientes.</w:t>
      </w:r>
    </w:p>
    <w:p w14:paraId="479DD03B" w14:textId="77777777" w:rsidR="007A7839" w:rsidRPr="0024095D" w:rsidRDefault="007A7839" w:rsidP="00FA10A3">
      <w:pPr>
        <w:pStyle w:val="ListaNivel2"/>
        <w:numPr>
          <w:ilvl w:val="0"/>
          <w:numId w:val="6"/>
        </w:numPr>
        <w:spacing w:line="276" w:lineRule="auto"/>
        <w:rPr>
          <w:rFonts w:cs="Arial"/>
        </w:rPr>
      </w:pPr>
      <w:r w:rsidRPr="009308BD">
        <w:t xml:space="preserve">El usuario dispone de la aplicación SINPE-TP </w:t>
      </w:r>
      <w:r>
        <w:t>Pasajero</w:t>
      </w:r>
      <w:r w:rsidRPr="009308BD">
        <w:t xml:space="preserve">, por medio de la cual puede solicitar </w:t>
      </w:r>
      <w:r>
        <w:t>el cobro de</w:t>
      </w:r>
      <w:r w:rsidRPr="009308BD">
        <w:t xml:space="preserve"> las deudas pendientes de pago</w:t>
      </w:r>
      <w:r>
        <w:rPr>
          <w:rFonts w:cs="Arial"/>
        </w:rPr>
        <w:t>.</w:t>
      </w:r>
    </w:p>
    <w:p w14:paraId="0C4A3D01" w14:textId="77777777" w:rsidR="007A7839" w:rsidRDefault="007A7839" w:rsidP="00E23D98">
      <w:pPr>
        <w:rPr>
          <w:lang w:val="es-ES_tradnl" w:eastAsia="es-ES"/>
        </w:rPr>
      </w:pPr>
      <w:r w:rsidRPr="00275F23">
        <w:rPr>
          <w:lang w:val="es-ES_tradnl" w:eastAsia="es-ES"/>
        </w:rPr>
        <w:t>En el momento en que se logra hacer efectiv</w:t>
      </w:r>
      <w:r>
        <w:rPr>
          <w:lang w:val="es-ES_tradnl" w:eastAsia="es-ES"/>
        </w:rPr>
        <w:t>o</w:t>
      </w:r>
      <w:r w:rsidRPr="00275F23">
        <w:rPr>
          <w:lang w:val="es-ES_tradnl" w:eastAsia="es-ES"/>
        </w:rPr>
        <w:t xml:space="preserve"> </w:t>
      </w:r>
      <w:r>
        <w:rPr>
          <w:lang w:val="es-ES_tradnl" w:eastAsia="es-ES"/>
        </w:rPr>
        <w:t xml:space="preserve">el cobro </w:t>
      </w:r>
      <w:r w:rsidRPr="00275F23">
        <w:rPr>
          <w:lang w:val="es-ES_tradnl" w:eastAsia="es-ES"/>
        </w:rPr>
        <w:t xml:space="preserve">de la deuda, las sumas que se recuperen </w:t>
      </w:r>
      <w:r>
        <w:rPr>
          <w:lang w:val="es-ES_tradnl" w:eastAsia="es-ES"/>
        </w:rPr>
        <w:t>son</w:t>
      </w:r>
      <w:r w:rsidRPr="00275F23">
        <w:rPr>
          <w:lang w:val="es-ES_tradnl" w:eastAsia="es-ES"/>
        </w:rPr>
        <w:t xml:space="preserve"> liquidadas al emisor del dispositivo de pago o al BCCR, según corresponda en cada caso, y el dispositivo de pago es </w:t>
      </w:r>
      <w:r>
        <w:rPr>
          <w:lang w:val="es-ES_tradnl" w:eastAsia="es-ES"/>
        </w:rPr>
        <w:t>excluido</w:t>
      </w:r>
      <w:r w:rsidRPr="00275F23">
        <w:rPr>
          <w:lang w:val="es-ES_tradnl" w:eastAsia="es-ES"/>
        </w:rPr>
        <w:t xml:space="preserve"> de la lista de denegación para que su titular pueda seguir</w:t>
      </w:r>
      <w:r>
        <w:rPr>
          <w:lang w:val="es-ES_tradnl" w:eastAsia="es-ES"/>
        </w:rPr>
        <w:t>lo</w:t>
      </w:r>
      <w:r w:rsidRPr="00275F23">
        <w:rPr>
          <w:lang w:val="es-ES_tradnl" w:eastAsia="es-ES"/>
        </w:rPr>
        <w:t xml:space="preserve"> utilizando </w:t>
      </w:r>
      <w:r>
        <w:rPr>
          <w:lang w:val="es-ES_tradnl" w:eastAsia="es-ES"/>
        </w:rPr>
        <w:t xml:space="preserve">en el </w:t>
      </w:r>
      <w:r w:rsidRPr="00275F23">
        <w:rPr>
          <w:lang w:val="es-ES_tradnl" w:eastAsia="es-ES"/>
        </w:rPr>
        <w:t>ecosistema de pagos de SINPE</w:t>
      </w:r>
      <w:r>
        <w:rPr>
          <w:lang w:val="es-ES_tradnl" w:eastAsia="es-ES"/>
        </w:rPr>
        <w:noBreakHyphen/>
      </w:r>
      <w:r w:rsidRPr="00275F23">
        <w:rPr>
          <w:lang w:val="es-ES_tradnl" w:eastAsia="es-ES"/>
        </w:rPr>
        <w:t>TP.</w:t>
      </w:r>
      <w:r>
        <w:rPr>
          <w:lang w:val="es-ES_tradnl" w:eastAsia="es-ES"/>
        </w:rPr>
        <w:t xml:space="preserve"> </w:t>
      </w:r>
      <w:r w:rsidRPr="00275F23">
        <w:rPr>
          <w:lang w:val="es-ES_tradnl" w:eastAsia="es-ES"/>
        </w:rPr>
        <w:t xml:space="preserve">Sobre el monto de las deudas recuperadas aplica el cobro de la comisión de adquirencia, de acuerdo con los apartados </w:t>
      </w:r>
      <w:r>
        <w:rPr>
          <w:lang w:val="es-ES_tradnl" w:eastAsia="es-ES"/>
        </w:rPr>
        <w:t>5.1.1</w:t>
      </w:r>
      <w:r w:rsidRPr="00275F23">
        <w:rPr>
          <w:lang w:val="es-ES_tradnl" w:eastAsia="es-ES"/>
        </w:rPr>
        <w:t xml:space="preserve"> de la presente norma complementaria.</w:t>
      </w:r>
    </w:p>
    <w:p w14:paraId="1713137A" w14:textId="77777777" w:rsidR="007A7839" w:rsidRDefault="007A7839" w:rsidP="00E23D98">
      <w:pPr>
        <w:pStyle w:val="Ttulo2"/>
        <w:numPr>
          <w:ilvl w:val="1"/>
          <w:numId w:val="3"/>
        </w:numPr>
        <w:tabs>
          <w:tab w:val="clear" w:pos="510"/>
        </w:tabs>
        <w:spacing w:line="276" w:lineRule="auto"/>
        <w:ind w:left="229" w:hanging="229"/>
      </w:pPr>
      <w:bookmarkStart w:id="96" w:name="_Toc213828771"/>
      <w:bookmarkStart w:id="97" w:name="_Toc216697955"/>
      <w:r>
        <w:t>Administración de la lista de denegación</w:t>
      </w:r>
      <w:bookmarkEnd w:id="96"/>
      <w:bookmarkEnd w:id="97"/>
    </w:p>
    <w:p w14:paraId="51DEE711" w14:textId="77777777" w:rsidR="007A7839" w:rsidRPr="00764160" w:rsidRDefault="007A7839" w:rsidP="00E23D98">
      <w:pPr>
        <w:rPr>
          <w:lang w:val="es-ES_tradnl" w:eastAsia="es-ES"/>
        </w:rPr>
      </w:pPr>
      <w:r w:rsidRPr="00CF2848">
        <w:rPr>
          <w:lang w:val="es-ES_tradnl" w:eastAsia="es-ES"/>
        </w:rPr>
        <w:t xml:space="preserve">Los dispositivos de pago </w:t>
      </w:r>
      <w:r>
        <w:rPr>
          <w:lang w:val="es-ES_tradnl" w:eastAsia="es-ES"/>
        </w:rPr>
        <w:t>pueden</w:t>
      </w:r>
      <w:r w:rsidRPr="00CF2848">
        <w:rPr>
          <w:lang w:val="es-ES_tradnl" w:eastAsia="es-ES"/>
        </w:rPr>
        <w:t xml:space="preserve"> ser ingresados o excluidos de la lista de denegación, de conformid</w:t>
      </w:r>
      <w:r w:rsidRPr="00764160">
        <w:rPr>
          <w:lang w:val="es-ES_tradnl" w:eastAsia="es-ES"/>
        </w:rPr>
        <w:t>ad con las siguientes situaciones:</w:t>
      </w:r>
    </w:p>
    <w:p w14:paraId="6F535668" w14:textId="77777777" w:rsidR="007A7839" w:rsidRPr="00764160" w:rsidRDefault="007A7839" w:rsidP="00FA10A3">
      <w:pPr>
        <w:pStyle w:val="ListaNivel2"/>
        <w:numPr>
          <w:ilvl w:val="0"/>
          <w:numId w:val="10"/>
        </w:numPr>
        <w:spacing w:line="276" w:lineRule="auto"/>
      </w:pPr>
      <w:r w:rsidRPr="00CB0785">
        <w:rPr>
          <w:b/>
          <w:bCs/>
        </w:rPr>
        <w:t>Ingreso de dispositivos de pago en la lista:</w:t>
      </w:r>
      <w:r w:rsidRPr="00764160">
        <w:t xml:space="preserve"> el ingreso de un dispositivo de pago en la lista de denegación se produc</w:t>
      </w:r>
      <w:r>
        <w:t>e</w:t>
      </w:r>
      <w:r w:rsidRPr="00764160">
        <w:t xml:space="preserve"> cuando el emisor</w:t>
      </w:r>
      <w:r>
        <w:t xml:space="preserve"> </w:t>
      </w:r>
      <w:r w:rsidRPr="00764160">
        <w:t xml:space="preserve">rechaza la autorización de </w:t>
      </w:r>
      <w:r>
        <w:t>una</w:t>
      </w:r>
      <w:r w:rsidRPr="00764160">
        <w:t xml:space="preserve"> transacción, por presentar el dispositivo</w:t>
      </w:r>
      <w:r>
        <w:t xml:space="preserve"> de pago </w:t>
      </w:r>
      <w:r w:rsidRPr="00764160">
        <w:t xml:space="preserve">alguna situación por la cual no pueda </w:t>
      </w:r>
      <w:r>
        <w:t>asumir</w:t>
      </w:r>
      <w:r w:rsidRPr="00764160">
        <w:t xml:space="preserve"> cobros de SINPE-TP.</w:t>
      </w:r>
    </w:p>
    <w:p w14:paraId="6B26CED0" w14:textId="77777777" w:rsidR="007A7839" w:rsidRPr="00764160" w:rsidRDefault="007A7839" w:rsidP="00FA10A3">
      <w:pPr>
        <w:pStyle w:val="ListaNivel2"/>
        <w:numPr>
          <w:ilvl w:val="0"/>
          <w:numId w:val="6"/>
        </w:numPr>
        <w:spacing w:line="276" w:lineRule="auto"/>
      </w:pPr>
      <w:r w:rsidRPr="00764160">
        <w:rPr>
          <w:b/>
          <w:bCs/>
        </w:rPr>
        <w:t xml:space="preserve">Exclusión de dispositivos de pago de la lista: </w:t>
      </w:r>
      <w:r w:rsidRPr="00764160">
        <w:t>la exclusión o el retiro de un dispositivo de pago de la lista de denegación se produc</w:t>
      </w:r>
      <w:r>
        <w:t>e</w:t>
      </w:r>
      <w:r w:rsidRPr="00764160">
        <w:t xml:space="preserve"> cuando el </w:t>
      </w:r>
      <w:r>
        <w:t>tarjetahabiente</w:t>
      </w:r>
      <w:r w:rsidRPr="00764160">
        <w:t xml:space="preserve"> no mantenga deudas morosas o incobrables con SINPE-TP, </w:t>
      </w:r>
      <w:r w:rsidRPr="00401AFE">
        <w:rPr>
          <w:lang w:val="es-CR"/>
        </w:rPr>
        <w:t>o cuando el emisor del tarjetahabiente autorice su reactivación,</w:t>
      </w:r>
      <w:r>
        <w:rPr>
          <w:lang w:val="es-CR"/>
        </w:rPr>
        <w:t xml:space="preserve"> </w:t>
      </w:r>
      <w:r w:rsidRPr="00764160">
        <w:t xml:space="preserve">de </w:t>
      </w:r>
      <w:r>
        <w:t>conformidad</w:t>
      </w:r>
      <w:r w:rsidRPr="00764160">
        <w:t xml:space="preserve"> con el procedimiento de autorización de transacciones.</w:t>
      </w:r>
    </w:p>
    <w:p w14:paraId="4AD8E54B" w14:textId="77777777" w:rsidR="007A7839" w:rsidRDefault="007A7839" w:rsidP="00E23D98">
      <w:r w:rsidRPr="00764160">
        <w:t xml:space="preserve">Cada vez que se genere un cambio en la lista de denegación por las situaciones descritas en </w:t>
      </w:r>
      <w:r>
        <w:t>el</w:t>
      </w:r>
      <w:r w:rsidRPr="00CF2848">
        <w:t xml:space="preserve"> presente apartado, y siempre </w:t>
      </w:r>
      <w:r w:rsidRPr="00764160">
        <w:t>dentro de la siguiente hora (60 minutos) de haber recibido la notificación del adquirente, el BCCR actualizar</w:t>
      </w:r>
      <w:r>
        <w:t>á</w:t>
      </w:r>
      <w:r w:rsidRPr="00764160">
        <w:t xml:space="preserve"> todos los validadores </w:t>
      </w:r>
      <w:r>
        <w:t xml:space="preserve">que se encuentren </w:t>
      </w:r>
      <w:r w:rsidRPr="008A0C76">
        <w:t>habilitados en las unidades de transporte y conectados al Sistema Central de Recaudo, de conformid</w:t>
      </w:r>
      <w:r>
        <w:t>ad con lo dispuesto por los artículos 41 y 42 del Reglamento de SINPE-TP.</w:t>
      </w:r>
    </w:p>
    <w:p w14:paraId="7DE13F17" w14:textId="77777777" w:rsidR="007A7839" w:rsidRDefault="007A7839" w:rsidP="00E23D98">
      <w:pPr>
        <w:pStyle w:val="Ttulo2"/>
        <w:numPr>
          <w:ilvl w:val="1"/>
          <w:numId w:val="3"/>
        </w:numPr>
        <w:tabs>
          <w:tab w:val="clear" w:pos="510"/>
        </w:tabs>
        <w:spacing w:line="276" w:lineRule="auto"/>
        <w:ind w:left="229" w:hanging="229"/>
      </w:pPr>
      <w:bookmarkStart w:id="98" w:name="_Toc213828772"/>
      <w:bookmarkStart w:id="99" w:name="_Toc216697956"/>
      <w:r>
        <w:t>Inspección del pago de pasajes</w:t>
      </w:r>
      <w:bookmarkEnd w:id="98"/>
      <w:bookmarkEnd w:id="99"/>
    </w:p>
    <w:p w14:paraId="453E552F" w14:textId="77777777" w:rsidR="007A7839" w:rsidRDefault="007A7839" w:rsidP="00E23D98">
      <w:pPr>
        <w:rPr>
          <w:rFonts w:cs="Arial"/>
          <w:lang w:val="es-ES_tradnl" w:eastAsia="es-ES"/>
        </w:rPr>
      </w:pPr>
      <w:r>
        <w:rPr>
          <w:rFonts w:cs="Arial"/>
          <w:lang w:val="es-ES_tradnl" w:eastAsia="es-ES"/>
        </w:rPr>
        <w:t xml:space="preserve">El BCCR podrá habilitar en la plataforma de SINPE-TP funcionalidades tecnológicas que permitan al operador inspeccionar dentro de sus unidades de transporte el pago del costo del viaje (tarifa) por parte de los pasajeros, quienes en estos casos deberán </w:t>
      </w:r>
      <w:r w:rsidRPr="00764160">
        <w:rPr>
          <w:rFonts w:cs="Arial"/>
          <w:lang w:val="es-ES_tradnl" w:eastAsia="es-ES"/>
        </w:rPr>
        <w:t xml:space="preserve">colaborar con el personal encargado de las labores de </w:t>
      </w:r>
      <w:r>
        <w:rPr>
          <w:rFonts w:cs="Arial"/>
          <w:lang w:val="es-ES_tradnl" w:eastAsia="es-ES"/>
        </w:rPr>
        <w:t>verificación respectivas.</w:t>
      </w:r>
    </w:p>
    <w:p w14:paraId="0356C16C" w14:textId="77777777" w:rsidR="007A7839" w:rsidRDefault="007A7839" w:rsidP="00E23D98">
      <w:pPr>
        <w:pStyle w:val="Ttulo2"/>
        <w:numPr>
          <w:ilvl w:val="1"/>
          <w:numId w:val="3"/>
        </w:numPr>
        <w:tabs>
          <w:tab w:val="clear" w:pos="510"/>
        </w:tabs>
        <w:spacing w:line="276" w:lineRule="auto"/>
        <w:ind w:left="229" w:hanging="229"/>
      </w:pPr>
      <w:bookmarkStart w:id="100" w:name="_Toc213828773"/>
      <w:bookmarkStart w:id="101" w:name="_Toc216697957"/>
      <w:r>
        <w:t>Notificación de transacciones</w:t>
      </w:r>
      <w:bookmarkEnd w:id="100"/>
      <w:bookmarkEnd w:id="101"/>
    </w:p>
    <w:p w14:paraId="3246FB71" w14:textId="77777777" w:rsidR="007A7839" w:rsidRDefault="007A7839" w:rsidP="00E23D98">
      <w:pPr>
        <w:rPr>
          <w:rFonts w:cs="Arial"/>
          <w:lang w:val="es-ES_tradnl" w:eastAsia="es-ES"/>
        </w:rPr>
      </w:pPr>
      <w:r w:rsidRPr="00FF34FD">
        <w:rPr>
          <w:rFonts w:cs="Arial"/>
          <w:lang w:val="es-ES_tradnl" w:eastAsia="es-ES"/>
        </w:rPr>
        <w:t xml:space="preserve">Las transacciones que </w:t>
      </w:r>
      <w:r>
        <w:rPr>
          <w:rFonts w:cs="Arial"/>
          <w:lang w:val="es-ES_tradnl" w:eastAsia="es-ES"/>
        </w:rPr>
        <w:t>registren</w:t>
      </w:r>
      <w:r w:rsidRPr="00FF34FD">
        <w:rPr>
          <w:rFonts w:cs="Arial"/>
          <w:lang w:val="es-ES_tradnl" w:eastAsia="es-ES"/>
        </w:rPr>
        <w:t xml:space="preserve"> los </w:t>
      </w:r>
      <w:r>
        <w:rPr>
          <w:rFonts w:cs="Arial"/>
          <w:lang w:val="es-ES_tradnl" w:eastAsia="es-ES"/>
        </w:rPr>
        <w:t>usuarios</w:t>
      </w:r>
      <w:r w:rsidRPr="00FF34FD">
        <w:rPr>
          <w:rFonts w:cs="Arial"/>
          <w:lang w:val="es-ES_tradnl" w:eastAsia="es-ES"/>
        </w:rPr>
        <w:t xml:space="preserve"> en el servicio SINPE-TP con el uso de sus dispositivos de pago para la cancelación de pasajes, </w:t>
      </w:r>
      <w:r>
        <w:rPr>
          <w:rFonts w:cs="Arial"/>
          <w:lang w:val="es-ES_tradnl" w:eastAsia="es-ES"/>
        </w:rPr>
        <w:t>son</w:t>
      </w:r>
      <w:r w:rsidRPr="00FF34FD">
        <w:rPr>
          <w:rFonts w:cs="Arial"/>
          <w:lang w:val="es-ES_tradnl" w:eastAsia="es-ES"/>
        </w:rPr>
        <w:t xml:space="preserve"> notificadas </w:t>
      </w:r>
      <w:r>
        <w:rPr>
          <w:rFonts w:cs="Arial"/>
          <w:lang w:val="es-ES_tradnl" w:eastAsia="es-ES"/>
        </w:rPr>
        <w:t>a los tarjetahabientes de conformidad con lo dispuesto por el Reglamento del Sistema de Tarjetas de Pago, emitido por la Junta Directiva del BCCR de conformidad con el artículo 69 de la ley 7558.</w:t>
      </w:r>
    </w:p>
    <w:p w14:paraId="6828E229" w14:textId="77777777" w:rsidR="007A7839" w:rsidRDefault="007A7839" w:rsidP="00E23D98">
      <w:pPr>
        <w:pStyle w:val="Ttulo1"/>
        <w:numPr>
          <w:ilvl w:val="0"/>
          <w:numId w:val="3"/>
        </w:numPr>
        <w:tabs>
          <w:tab w:val="clear" w:pos="340"/>
        </w:tabs>
        <w:spacing w:line="276" w:lineRule="auto"/>
        <w:ind w:left="426" w:hanging="426"/>
      </w:pPr>
      <w:bookmarkStart w:id="102" w:name="_Toc213828774"/>
      <w:bookmarkStart w:id="103" w:name="_Toc216697958"/>
      <w:r>
        <w:t>Manejo de información</w:t>
      </w:r>
      <w:bookmarkEnd w:id="102"/>
      <w:bookmarkEnd w:id="103"/>
    </w:p>
    <w:p w14:paraId="03791D02" w14:textId="77777777" w:rsidR="007A7839" w:rsidRDefault="007A7839" w:rsidP="00E23D98">
      <w:pPr>
        <w:rPr>
          <w:lang w:val="es-ES_tradnl" w:eastAsia="es-ES"/>
        </w:rPr>
      </w:pPr>
      <w:r>
        <w:rPr>
          <w:lang w:val="es-ES_tradnl" w:eastAsia="es-ES"/>
        </w:rPr>
        <w:t xml:space="preserve">El </w:t>
      </w:r>
      <w:r w:rsidRPr="00764160">
        <w:rPr>
          <w:lang w:val="es-ES_tradnl" w:eastAsia="es-ES"/>
        </w:rPr>
        <w:t xml:space="preserve">intercambio de información entre el BCCR y </w:t>
      </w:r>
      <w:r>
        <w:rPr>
          <w:lang w:val="es-ES_tradnl" w:eastAsia="es-ES"/>
        </w:rPr>
        <w:t>los participantes</w:t>
      </w:r>
      <w:r w:rsidRPr="00764160">
        <w:rPr>
          <w:lang w:val="es-ES_tradnl" w:eastAsia="es-ES"/>
        </w:rPr>
        <w:t xml:space="preserve"> </w:t>
      </w:r>
      <w:r>
        <w:rPr>
          <w:lang w:val="es-ES_tradnl" w:eastAsia="es-ES"/>
        </w:rPr>
        <w:t xml:space="preserve">de SINPE-TP </w:t>
      </w:r>
      <w:r w:rsidRPr="00764160">
        <w:rPr>
          <w:lang w:val="es-ES_tradnl" w:eastAsia="es-ES"/>
        </w:rPr>
        <w:t xml:space="preserve">se rige por </w:t>
      </w:r>
      <w:r>
        <w:rPr>
          <w:lang w:val="es-ES_tradnl" w:eastAsia="es-ES"/>
        </w:rPr>
        <w:t xml:space="preserve">lo dispuesto en los </w:t>
      </w:r>
      <w:r w:rsidRPr="00764160">
        <w:rPr>
          <w:lang w:val="es-ES_tradnl" w:eastAsia="es-ES"/>
        </w:rPr>
        <w:t>siguientes apartados.</w:t>
      </w:r>
    </w:p>
    <w:p w14:paraId="585A8E99" w14:textId="77777777" w:rsidR="007A7839" w:rsidRDefault="007A7839" w:rsidP="00E23D98">
      <w:pPr>
        <w:pStyle w:val="Ttulo2"/>
        <w:numPr>
          <w:ilvl w:val="1"/>
          <w:numId w:val="3"/>
        </w:numPr>
        <w:tabs>
          <w:tab w:val="clear" w:pos="510"/>
        </w:tabs>
        <w:spacing w:line="276" w:lineRule="auto"/>
        <w:ind w:left="229" w:hanging="229"/>
      </w:pPr>
      <w:bookmarkStart w:id="104" w:name="_Toc213828775"/>
      <w:bookmarkStart w:id="105" w:name="_Toc216697959"/>
      <w:r>
        <w:lastRenderedPageBreak/>
        <w:t>Principio registral</w:t>
      </w:r>
      <w:bookmarkEnd w:id="104"/>
      <w:bookmarkEnd w:id="105"/>
    </w:p>
    <w:p w14:paraId="251D5841" w14:textId="77777777" w:rsidR="007A7839" w:rsidRDefault="007A7839" w:rsidP="00E23D98">
      <w:r>
        <w:t>El servicio SINPE-TP se rige por el principio de buena fe registral, por lo que el BCCR asume que la información reportada, facilitada o registrada por los participantes del servicio es veraz, legítima, completa y se encuentra exenta de vicios registrales.</w:t>
      </w:r>
    </w:p>
    <w:p w14:paraId="71CF72D4" w14:textId="77777777" w:rsidR="007A7839" w:rsidRDefault="007A7839" w:rsidP="00E23D98">
      <w:pPr>
        <w:pStyle w:val="Ttulo2"/>
        <w:numPr>
          <w:ilvl w:val="1"/>
          <w:numId w:val="3"/>
        </w:numPr>
        <w:tabs>
          <w:tab w:val="clear" w:pos="510"/>
        </w:tabs>
        <w:spacing w:line="276" w:lineRule="auto"/>
        <w:ind w:left="229" w:hanging="229"/>
      </w:pPr>
      <w:bookmarkStart w:id="106" w:name="_Toc213828776"/>
      <w:bookmarkStart w:id="107" w:name="_Toc216697960"/>
      <w:r>
        <w:t>Información a cargo del CTP</w:t>
      </w:r>
      <w:bookmarkEnd w:id="106"/>
      <w:bookmarkEnd w:id="107"/>
    </w:p>
    <w:p w14:paraId="3E751837" w14:textId="77777777" w:rsidR="007A7839" w:rsidRPr="00FF34FD" w:rsidRDefault="007A7839" w:rsidP="00E23D98">
      <w:pPr>
        <w:rPr>
          <w:rFonts w:cs="Arial"/>
          <w:lang w:val="es-ES_tradnl" w:eastAsia="es-ES"/>
        </w:rPr>
      </w:pPr>
      <w:r w:rsidRPr="00FF34FD">
        <w:rPr>
          <w:rFonts w:cs="Arial"/>
          <w:lang w:val="es-ES_tradnl" w:eastAsia="es-ES"/>
        </w:rPr>
        <w:t>Con el propósito de atender las necesidades operativas del servicio SINPE-TP, y cada vez que se requiera, el CTP debe comunicar al BCCR la información relacionada con la operación del servicio de autobús, tal como: características de los modelos de operación, trazado de rutas y ramales, operadores</w:t>
      </w:r>
      <w:r>
        <w:rPr>
          <w:rFonts w:cs="Arial"/>
          <w:lang w:val="es-ES_tradnl" w:eastAsia="es-ES"/>
        </w:rPr>
        <w:t xml:space="preserve"> de transporte autorizados</w:t>
      </w:r>
      <w:r w:rsidRPr="00FF34FD">
        <w:rPr>
          <w:rFonts w:cs="Arial"/>
          <w:lang w:val="es-ES_tradnl" w:eastAsia="es-ES"/>
        </w:rPr>
        <w:t>, flota autorizada y conductores acreditados, así como la demás información que se requiera para el normal funcionamiento del sistema.</w:t>
      </w:r>
    </w:p>
    <w:p w14:paraId="2D2ED0B8" w14:textId="77777777" w:rsidR="007A7839" w:rsidRDefault="007A7839" w:rsidP="00E23D98">
      <w:pPr>
        <w:rPr>
          <w:rFonts w:cs="Arial"/>
          <w:lang w:val="es-ES_tradnl" w:eastAsia="es-ES"/>
        </w:rPr>
      </w:pPr>
      <w:r>
        <w:rPr>
          <w:rFonts w:cs="Arial"/>
          <w:lang w:val="es-ES_tradnl" w:eastAsia="es-ES"/>
        </w:rPr>
        <w:t xml:space="preserve">El CTP deberá reportar la </w:t>
      </w:r>
      <w:r w:rsidRPr="00FF34FD">
        <w:rPr>
          <w:rFonts w:cs="Arial"/>
          <w:lang w:val="es-ES_tradnl" w:eastAsia="es-ES"/>
        </w:rPr>
        <w:t xml:space="preserve">información por los medios y en </w:t>
      </w:r>
      <w:r>
        <w:rPr>
          <w:rFonts w:cs="Arial"/>
          <w:lang w:val="es-ES_tradnl" w:eastAsia="es-ES"/>
        </w:rPr>
        <w:t xml:space="preserve">las </w:t>
      </w:r>
      <w:r w:rsidRPr="00FF34FD">
        <w:rPr>
          <w:rFonts w:cs="Arial"/>
          <w:lang w:val="es-ES_tradnl" w:eastAsia="es-ES"/>
        </w:rPr>
        <w:t xml:space="preserve">condiciones de tiempo y forma requeridos </w:t>
      </w:r>
      <w:r>
        <w:rPr>
          <w:rFonts w:cs="Arial"/>
          <w:lang w:val="es-ES_tradnl" w:eastAsia="es-ES"/>
        </w:rPr>
        <w:t xml:space="preserve">por el BCCR para </w:t>
      </w:r>
      <w:r w:rsidRPr="00FF34FD">
        <w:rPr>
          <w:rFonts w:cs="Arial"/>
          <w:lang w:val="es-ES_tradnl" w:eastAsia="es-ES"/>
        </w:rPr>
        <w:t>el funcionamiento de</w:t>
      </w:r>
      <w:r>
        <w:rPr>
          <w:rFonts w:cs="Arial"/>
          <w:lang w:val="es-ES_tradnl" w:eastAsia="es-ES"/>
        </w:rPr>
        <w:t>l servicio</w:t>
      </w:r>
      <w:r w:rsidRPr="00FF34FD">
        <w:rPr>
          <w:rFonts w:cs="Arial"/>
          <w:lang w:val="es-ES_tradnl" w:eastAsia="es-ES"/>
        </w:rPr>
        <w:t xml:space="preserve"> SINPE-TP.</w:t>
      </w:r>
    </w:p>
    <w:p w14:paraId="7809FB68" w14:textId="77777777" w:rsidR="007A7839" w:rsidRDefault="007A7839" w:rsidP="00E23D98">
      <w:pPr>
        <w:pStyle w:val="Ttulo2"/>
        <w:numPr>
          <w:ilvl w:val="1"/>
          <w:numId w:val="3"/>
        </w:numPr>
        <w:tabs>
          <w:tab w:val="clear" w:pos="510"/>
        </w:tabs>
        <w:spacing w:line="276" w:lineRule="auto"/>
        <w:ind w:left="229" w:hanging="229"/>
      </w:pPr>
      <w:bookmarkStart w:id="108" w:name="_Toc213828777"/>
      <w:bookmarkStart w:id="109" w:name="_Toc216697961"/>
      <w:bookmarkStart w:id="110" w:name="_Hlk178589592"/>
      <w:r>
        <w:t>Información a cargo de la Aresep</w:t>
      </w:r>
      <w:bookmarkEnd w:id="108"/>
      <w:bookmarkEnd w:id="109"/>
    </w:p>
    <w:p w14:paraId="31FEB972" w14:textId="77777777" w:rsidR="007A7839" w:rsidRPr="00266938" w:rsidRDefault="007A7839" w:rsidP="00E23D98">
      <w:pPr>
        <w:rPr>
          <w:lang w:val="es-ES_tradnl" w:eastAsia="es-ES"/>
        </w:rPr>
      </w:pPr>
      <w:r w:rsidRPr="00FF34FD">
        <w:rPr>
          <w:lang w:val="es-ES_tradnl" w:eastAsia="es-ES"/>
        </w:rPr>
        <w:t>Con el propósito de atender las necesidades operativas de</w:t>
      </w:r>
      <w:r>
        <w:rPr>
          <w:lang w:val="es-ES_tradnl" w:eastAsia="es-ES"/>
        </w:rPr>
        <w:t>l servicio</w:t>
      </w:r>
      <w:r w:rsidRPr="00FF34FD">
        <w:rPr>
          <w:lang w:val="es-ES_tradnl" w:eastAsia="es-ES"/>
        </w:rPr>
        <w:t xml:space="preserve"> SINPE-TP, y cada vez que se </w:t>
      </w:r>
      <w:r w:rsidRPr="00266938">
        <w:rPr>
          <w:lang w:val="es-ES_tradnl" w:eastAsia="es-ES"/>
        </w:rPr>
        <w:t xml:space="preserve">requiera, la Aresep debe comunicar al BCCR el monto de las tarifas oficiales del servicio de transporte público, así como cualquier cambio o ajuste que </w:t>
      </w:r>
      <w:r>
        <w:rPr>
          <w:lang w:val="es-ES_tradnl" w:eastAsia="es-ES"/>
        </w:rPr>
        <w:t>autorice</w:t>
      </w:r>
      <w:r w:rsidRPr="00266938">
        <w:rPr>
          <w:lang w:val="es-ES_tradnl" w:eastAsia="es-ES"/>
        </w:rPr>
        <w:t xml:space="preserve"> para las mismas.</w:t>
      </w:r>
    </w:p>
    <w:p w14:paraId="141D1D36" w14:textId="77777777" w:rsidR="007A7839" w:rsidRPr="00266938" w:rsidRDefault="007A7839" w:rsidP="00E23D98">
      <w:pPr>
        <w:rPr>
          <w:lang w:val="es-ES_tradnl" w:eastAsia="es-ES"/>
        </w:rPr>
      </w:pPr>
      <w:r w:rsidRPr="00063DEA">
        <w:rPr>
          <w:lang w:val="es-ES_tradnl" w:eastAsia="es-ES"/>
        </w:rPr>
        <w:t xml:space="preserve">Para preparar la herramienta tecnológica de SINPE-TP con la habilitación de los cambios tarifarios que </w:t>
      </w:r>
      <w:r w:rsidRPr="00CF263B">
        <w:rPr>
          <w:lang w:val="es-ES_tradnl" w:eastAsia="es-ES"/>
        </w:rPr>
        <w:t>autorice</w:t>
      </w:r>
      <w:r w:rsidRPr="00063DEA">
        <w:rPr>
          <w:lang w:val="es-ES_tradnl" w:eastAsia="es-ES"/>
        </w:rPr>
        <w:t xml:space="preserve"> la Aresep, la información debe</w:t>
      </w:r>
      <w:r w:rsidRPr="00CF263B">
        <w:rPr>
          <w:lang w:val="es-ES_tradnl" w:eastAsia="es-ES"/>
        </w:rPr>
        <w:t>rá</w:t>
      </w:r>
      <w:r w:rsidRPr="00063DEA">
        <w:rPr>
          <w:lang w:val="es-ES_tradnl" w:eastAsia="es-ES"/>
        </w:rPr>
        <w:t xml:space="preserve"> reportarse al BCCR con una antelación mínima de cinco días hábiles a su entrada en operación.</w:t>
      </w:r>
    </w:p>
    <w:p w14:paraId="3BF66F71" w14:textId="77777777" w:rsidR="007A7839" w:rsidRDefault="007A7839" w:rsidP="00E23D98">
      <w:pPr>
        <w:pStyle w:val="Ttulo2"/>
        <w:numPr>
          <w:ilvl w:val="1"/>
          <w:numId w:val="3"/>
        </w:numPr>
        <w:tabs>
          <w:tab w:val="clear" w:pos="510"/>
        </w:tabs>
        <w:spacing w:line="276" w:lineRule="auto"/>
        <w:ind w:left="229" w:hanging="229"/>
      </w:pPr>
      <w:bookmarkStart w:id="111" w:name="_Toc178596981"/>
      <w:bookmarkStart w:id="112" w:name="_Toc178597040"/>
      <w:bookmarkStart w:id="113" w:name="_Toc213828778"/>
      <w:bookmarkStart w:id="114" w:name="_Toc216697962"/>
      <w:bookmarkEnd w:id="110"/>
      <w:bookmarkEnd w:id="111"/>
      <w:bookmarkEnd w:id="112"/>
      <w:r>
        <w:t>Información a cargo de los operadores del servicio de autobús</w:t>
      </w:r>
      <w:bookmarkEnd w:id="113"/>
      <w:bookmarkEnd w:id="114"/>
    </w:p>
    <w:p w14:paraId="781E1F2F" w14:textId="77777777" w:rsidR="007A7839" w:rsidRPr="00A3388C" w:rsidRDefault="007A7839" w:rsidP="00E23D98">
      <w:pPr>
        <w:rPr>
          <w:lang w:val="es-ES_tradnl" w:eastAsia="es-ES"/>
        </w:rPr>
      </w:pPr>
      <w:r w:rsidRPr="00265E33">
        <w:rPr>
          <w:lang w:val="es-ES_tradnl" w:eastAsia="es-ES"/>
        </w:rPr>
        <w:t>Con el propósito de atender las necesidades operativas del servicio SINPE-TP, y cada vez que se requiera, los operadores del servicio de autobús de ruta regular deben proveer al BCCR la siguiente información</w:t>
      </w:r>
      <w:r w:rsidRPr="00A3388C">
        <w:rPr>
          <w:lang w:val="es-ES_tradnl" w:eastAsia="es-ES"/>
        </w:rPr>
        <w:t>:</w:t>
      </w:r>
    </w:p>
    <w:p w14:paraId="369F45CF" w14:textId="77777777" w:rsidR="007A7839" w:rsidRPr="00A3388C" w:rsidRDefault="007A7839" w:rsidP="00FA10A3">
      <w:pPr>
        <w:pStyle w:val="ListaNivel2"/>
        <w:numPr>
          <w:ilvl w:val="0"/>
          <w:numId w:val="11"/>
        </w:numPr>
        <w:spacing w:line="276" w:lineRule="auto"/>
      </w:pPr>
      <w:r w:rsidRPr="00A3388C">
        <w:t xml:space="preserve">Código y nombre de </w:t>
      </w:r>
      <w:r>
        <w:t xml:space="preserve">las rutas y ramales </w:t>
      </w:r>
      <w:r w:rsidRPr="00A3388C">
        <w:t>en l</w:t>
      </w:r>
      <w:r>
        <w:t>os</w:t>
      </w:r>
      <w:r w:rsidRPr="00A3388C">
        <w:t xml:space="preserve"> que se habilita </w:t>
      </w:r>
      <w:r>
        <w:t xml:space="preserve">la plataforma </w:t>
      </w:r>
      <w:r w:rsidRPr="00A3388C">
        <w:t xml:space="preserve">SINPE-TP. </w:t>
      </w:r>
    </w:p>
    <w:p w14:paraId="1745FA3B" w14:textId="77777777" w:rsidR="007A7839" w:rsidRPr="00A3388C" w:rsidRDefault="007A7839" w:rsidP="00FA10A3">
      <w:pPr>
        <w:pStyle w:val="ListaNivel2"/>
        <w:numPr>
          <w:ilvl w:val="0"/>
          <w:numId w:val="11"/>
        </w:numPr>
        <w:spacing w:line="276" w:lineRule="auto"/>
      </w:pPr>
      <w:r w:rsidRPr="00A3388C">
        <w:t>Números de placa (matr</w:t>
      </w:r>
      <w:r>
        <w:t>í</w:t>
      </w:r>
      <w:r w:rsidRPr="00A3388C">
        <w:t>cula) de l</w:t>
      </w:r>
      <w:r>
        <w:t>o</w:t>
      </w:r>
      <w:r w:rsidRPr="00A3388C">
        <w:t xml:space="preserve">s </w:t>
      </w:r>
      <w:r>
        <w:t>autobuses</w:t>
      </w:r>
      <w:r w:rsidRPr="00A3388C">
        <w:t xml:space="preserve"> con l</w:t>
      </w:r>
      <w:r>
        <w:t>os</w:t>
      </w:r>
      <w:r w:rsidRPr="00A3388C">
        <w:t xml:space="preserve"> que se atiende</w:t>
      </w:r>
      <w:r>
        <w:t>n</w:t>
      </w:r>
      <w:r w:rsidRPr="00A3388C">
        <w:t xml:space="preserve"> la</w:t>
      </w:r>
      <w:r>
        <w:t>s</w:t>
      </w:r>
      <w:r w:rsidRPr="00A3388C">
        <w:t xml:space="preserve"> ruta</w:t>
      </w:r>
      <w:r>
        <w:t>s y ramales</w:t>
      </w:r>
      <w:r w:rsidRPr="00A3388C">
        <w:t>.</w:t>
      </w:r>
    </w:p>
    <w:p w14:paraId="729D6FB7" w14:textId="77777777" w:rsidR="007A7839" w:rsidRPr="00A3388C" w:rsidRDefault="007A7839" w:rsidP="00FA10A3">
      <w:pPr>
        <w:pStyle w:val="ListaNivel2"/>
        <w:numPr>
          <w:ilvl w:val="0"/>
          <w:numId w:val="11"/>
        </w:numPr>
        <w:spacing w:line="276" w:lineRule="auto"/>
      </w:pPr>
      <w:r w:rsidRPr="00A3388C">
        <w:t>El resultado de la verificación de las tarifas vigentes para sus rutas</w:t>
      </w:r>
      <w:r>
        <w:t>, ramales y fraccionamientos tarifarios</w:t>
      </w:r>
      <w:r w:rsidRPr="00A3388C">
        <w:t>.</w:t>
      </w:r>
    </w:p>
    <w:p w14:paraId="1CD3A7DC" w14:textId="77777777" w:rsidR="007A7839" w:rsidRDefault="007A7839" w:rsidP="00E23D98">
      <w:pPr>
        <w:rPr>
          <w:lang w:val="es-ES_tradnl" w:eastAsia="es-ES"/>
        </w:rPr>
      </w:pPr>
      <w:bookmarkStart w:id="115" w:name="_Hlk178519352"/>
      <w:r w:rsidRPr="00C70FA8">
        <w:rPr>
          <w:lang w:val="es-ES_tradnl" w:eastAsia="es-ES"/>
        </w:rPr>
        <w:t>El operador</w:t>
      </w:r>
      <w:r>
        <w:rPr>
          <w:lang w:val="es-ES_tradnl" w:eastAsia="es-ES"/>
        </w:rPr>
        <w:t xml:space="preserve"> </w:t>
      </w:r>
      <w:r w:rsidRPr="00C70FA8">
        <w:rPr>
          <w:lang w:val="es-ES_tradnl" w:eastAsia="es-ES"/>
        </w:rPr>
        <w:t xml:space="preserve">debe entregar la información </w:t>
      </w:r>
      <w:r>
        <w:rPr>
          <w:lang w:val="es-ES_tradnl" w:eastAsia="es-ES"/>
        </w:rPr>
        <w:t xml:space="preserve">al BCCR </w:t>
      </w:r>
      <w:r w:rsidRPr="00306359">
        <w:rPr>
          <w:lang w:val="es-ES_tradnl" w:eastAsia="es-ES"/>
        </w:rPr>
        <w:t>con al menos cinco días hábiles de anticipación a</w:t>
      </w:r>
      <w:r>
        <w:rPr>
          <w:lang w:val="es-ES_tradnl" w:eastAsia="es-ES"/>
        </w:rPr>
        <w:t xml:space="preserve"> </w:t>
      </w:r>
      <w:r w:rsidRPr="00C70FA8">
        <w:rPr>
          <w:lang w:val="es-ES_tradnl" w:eastAsia="es-ES"/>
        </w:rPr>
        <w:t xml:space="preserve">su entrada en </w:t>
      </w:r>
      <w:r>
        <w:rPr>
          <w:lang w:val="es-ES_tradnl" w:eastAsia="es-ES"/>
        </w:rPr>
        <w:t>operación</w:t>
      </w:r>
      <w:r w:rsidRPr="00C70FA8">
        <w:rPr>
          <w:lang w:val="es-ES_tradnl" w:eastAsia="es-ES"/>
        </w:rPr>
        <w:t xml:space="preserve">, con el uso del </w:t>
      </w:r>
      <w:r w:rsidRPr="004A5E58">
        <w:rPr>
          <w:lang w:val="es-ES_tradnl" w:eastAsia="es-ES"/>
        </w:rPr>
        <w:t>formulario “</w:t>
      </w:r>
      <w:r w:rsidRPr="00B64802">
        <w:rPr>
          <w:i/>
          <w:iCs/>
          <w:lang w:val="es-ES_tradnl" w:eastAsia="es-ES"/>
        </w:rPr>
        <w:t>Reporte de Información del Operador de Transporte – Modalidad Autobús</w:t>
      </w:r>
      <w:r>
        <w:rPr>
          <w:i/>
          <w:iCs/>
          <w:lang w:val="es-ES_tradnl" w:eastAsia="es-ES"/>
        </w:rPr>
        <w:t xml:space="preserve"> de Ruta Regular</w:t>
      </w:r>
      <w:r w:rsidRPr="004A5E58">
        <w:rPr>
          <w:lang w:val="es-ES_tradnl" w:eastAsia="es-ES"/>
        </w:rPr>
        <w:t>” (Anexo 0</w:t>
      </w:r>
      <w:r>
        <w:rPr>
          <w:lang w:val="es-ES_tradnl" w:eastAsia="es-ES"/>
        </w:rPr>
        <w:t>5</w:t>
      </w:r>
      <w:r w:rsidRPr="004A5E58">
        <w:rPr>
          <w:lang w:val="es-ES_tradnl" w:eastAsia="es-ES"/>
        </w:rPr>
        <w:t xml:space="preserve"> de la presente</w:t>
      </w:r>
      <w:r w:rsidRPr="00C70FA8">
        <w:rPr>
          <w:lang w:val="es-ES_tradnl" w:eastAsia="es-ES"/>
        </w:rPr>
        <w:t xml:space="preserve"> norma complementaria).</w:t>
      </w:r>
    </w:p>
    <w:p w14:paraId="7EDB5771" w14:textId="77777777" w:rsidR="007A7839" w:rsidRDefault="007A7839" w:rsidP="00E23D98">
      <w:pPr>
        <w:pStyle w:val="Ttulo2"/>
        <w:numPr>
          <w:ilvl w:val="1"/>
          <w:numId w:val="3"/>
        </w:numPr>
        <w:tabs>
          <w:tab w:val="clear" w:pos="510"/>
        </w:tabs>
        <w:spacing w:line="276" w:lineRule="auto"/>
        <w:ind w:left="229" w:hanging="229"/>
      </w:pPr>
      <w:bookmarkStart w:id="116" w:name="_Toc177998386"/>
      <w:bookmarkStart w:id="117" w:name="_Toc178505000"/>
      <w:bookmarkStart w:id="118" w:name="_Toc178522748"/>
      <w:bookmarkStart w:id="119" w:name="_Toc178596983"/>
      <w:bookmarkStart w:id="120" w:name="_Toc178597042"/>
      <w:bookmarkStart w:id="121" w:name="_Toc177998387"/>
      <w:bookmarkStart w:id="122" w:name="_Toc178505001"/>
      <w:bookmarkStart w:id="123" w:name="_Toc178522749"/>
      <w:bookmarkStart w:id="124" w:name="_Toc178596984"/>
      <w:bookmarkStart w:id="125" w:name="_Toc178597043"/>
      <w:bookmarkStart w:id="126" w:name="_Toc213828779"/>
      <w:bookmarkStart w:id="127" w:name="_Toc216697963"/>
      <w:bookmarkEnd w:id="115"/>
      <w:bookmarkEnd w:id="116"/>
      <w:bookmarkEnd w:id="117"/>
      <w:bookmarkEnd w:id="118"/>
      <w:bookmarkEnd w:id="119"/>
      <w:bookmarkEnd w:id="120"/>
      <w:bookmarkEnd w:id="121"/>
      <w:bookmarkEnd w:id="122"/>
      <w:bookmarkEnd w:id="123"/>
      <w:bookmarkEnd w:id="124"/>
      <w:bookmarkEnd w:id="125"/>
      <w:r>
        <w:t>Información a cargo de Incofer</w:t>
      </w:r>
      <w:bookmarkEnd w:id="126"/>
      <w:bookmarkEnd w:id="127"/>
    </w:p>
    <w:p w14:paraId="3FB696EB" w14:textId="77777777" w:rsidR="007A7839" w:rsidRPr="009F78D7" w:rsidRDefault="007A7839" w:rsidP="00E23D98">
      <w:pPr>
        <w:rPr>
          <w:rFonts w:cs="Arial"/>
          <w:lang w:val="es-ES_tradnl" w:eastAsia="es-ES"/>
        </w:rPr>
      </w:pPr>
      <w:r w:rsidRPr="009F78D7">
        <w:rPr>
          <w:rFonts w:cs="Arial"/>
          <w:lang w:val="es-ES_tradnl" w:eastAsia="es-ES"/>
        </w:rPr>
        <w:t>Con el propósito de atender las necesidades operativas del servicio SINPE-TP, y cada vez que se requiera, Incofer debe proveer al BCCR la siguiente información:</w:t>
      </w:r>
    </w:p>
    <w:p w14:paraId="5AC87B6E" w14:textId="77777777" w:rsidR="007A7839" w:rsidRPr="009F78D7" w:rsidRDefault="007A7839" w:rsidP="00FA10A3">
      <w:pPr>
        <w:pStyle w:val="ListaNivel2"/>
        <w:numPr>
          <w:ilvl w:val="0"/>
          <w:numId w:val="12"/>
        </w:numPr>
        <w:spacing w:line="276" w:lineRule="auto"/>
      </w:pPr>
      <w:r w:rsidRPr="009F78D7">
        <w:t>La localización del origen y destino de las rutas incorporadas al sistema.</w:t>
      </w:r>
    </w:p>
    <w:p w14:paraId="5833FE6E" w14:textId="77777777" w:rsidR="007A7839" w:rsidRPr="009F78D7" w:rsidRDefault="007A7839" w:rsidP="00FA10A3">
      <w:pPr>
        <w:pStyle w:val="ListaNivel2"/>
        <w:numPr>
          <w:ilvl w:val="0"/>
          <w:numId w:val="12"/>
        </w:numPr>
        <w:spacing w:line="276" w:lineRule="auto"/>
      </w:pPr>
      <w:r w:rsidRPr="009F78D7">
        <w:t>El catálogo de cobradores, debiendo suministrar para cada cobrador el nombre completo y su número de documento de identificación.</w:t>
      </w:r>
    </w:p>
    <w:p w14:paraId="5DB4A923" w14:textId="77777777" w:rsidR="007A7839" w:rsidRPr="009F78D7" w:rsidRDefault="007A7839" w:rsidP="00FA10A3">
      <w:pPr>
        <w:pStyle w:val="ListaNivel2"/>
        <w:numPr>
          <w:ilvl w:val="0"/>
          <w:numId w:val="12"/>
        </w:numPr>
        <w:spacing w:line="276" w:lineRule="auto"/>
      </w:pPr>
      <w:r w:rsidRPr="009F78D7">
        <w:t>El resultado de la verificación de las tarifas vigentes para sus rutas.</w:t>
      </w:r>
    </w:p>
    <w:p w14:paraId="76C9821F" w14:textId="77777777" w:rsidR="007A7839" w:rsidRPr="00631381" w:rsidRDefault="007A7839" w:rsidP="00E23D98">
      <w:pPr>
        <w:rPr>
          <w:lang w:val="es-ES_tradnl" w:eastAsia="es-ES"/>
        </w:rPr>
      </w:pPr>
      <w:r w:rsidRPr="000D1C8A">
        <w:rPr>
          <w:rFonts w:cs="Arial"/>
          <w:lang w:val="es-ES_tradnl" w:eastAsia="es-ES"/>
        </w:rPr>
        <w:lastRenderedPageBreak/>
        <w:t xml:space="preserve">Incofer deberá entregar la información al BCCR </w:t>
      </w:r>
      <w:r w:rsidRPr="00CF263B">
        <w:rPr>
          <w:rFonts w:cs="Arial"/>
          <w:lang w:val="es-ES_tradnl" w:eastAsia="es-ES"/>
        </w:rPr>
        <w:t>cinco</w:t>
      </w:r>
      <w:r w:rsidRPr="000D1C8A">
        <w:rPr>
          <w:rFonts w:cs="Arial"/>
          <w:lang w:val="es-ES_tradnl" w:eastAsia="es-ES"/>
        </w:rPr>
        <w:t xml:space="preserve"> días hábiles </w:t>
      </w:r>
      <w:r w:rsidRPr="00CF263B">
        <w:rPr>
          <w:rFonts w:cs="Arial"/>
          <w:lang w:val="es-ES_tradnl" w:eastAsia="es-ES"/>
        </w:rPr>
        <w:t xml:space="preserve">de anticipación A </w:t>
      </w:r>
      <w:r w:rsidRPr="000D1C8A">
        <w:rPr>
          <w:rFonts w:cs="Arial"/>
          <w:lang w:val="es-ES_tradnl" w:eastAsia="es-ES"/>
        </w:rPr>
        <w:t>su entrada en operación, por los medios que el BCCR determine.</w:t>
      </w:r>
    </w:p>
    <w:p w14:paraId="2B91DA5F" w14:textId="77777777" w:rsidR="007A7839" w:rsidRDefault="007A7839" w:rsidP="00E23D98">
      <w:pPr>
        <w:pStyle w:val="Ttulo2"/>
        <w:numPr>
          <w:ilvl w:val="1"/>
          <w:numId w:val="3"/>
        </w:numPr>
        <w:tabs>
          <w:tab w:val="clear" w:pos="510"/>
        </w:tabs>
        <w:spacing w:line="276" w:lineRule="auto"/>
        <w:ind w:left="229" w:hanging="229"/>
      </w:pPr>
      <w:bookmarkStart w:id="128" w:name="_Toc213828780"/>
      <w:bookmarkStart w:id="129" w:name="_Toc216697964"/>
      <w:r>
        <w:t>Información a cargo del BCCR</w:t>
      </w:r>
      <w:bookmarkEnd w:id="128"/>
      <w:bookmarkEnd w:id="129"/>
    </w:p>
    <w:p w14:paraId="157332C6" w14:textId="77777777" w:rsidR="007A7839" w:rsidRPr="009F78D7" w:rsidRDefault="007A7839" w:rsidP="00E23D98">
      <w:pPr>
        <w:rPr>
          <w:rFonts w:cs="Arial"/>
          <w:lang w:val="es-ES_tradnl" w:eastAsia="es-ES"/>
        </w:rPr>
      </w:pPr>
      <w:r w:rsidRPr="009F78D7">
        <w:rPr>
          <w:rFonts w:cs="Arial"/>
          <w:lang w:val="es-ES_tradnl" w:eastAsia="es-ES"/>
        </w:rPr>
        <w:t xml:space="preserve">El BCCR suministrará a los operadores </w:t>
      </w:r>
      <w:r w:rsidRPr="009F78D7">
        <w:rPr>
          <w:lang w:val="es-ES_tradnl" w:eastAsia="es-ES"/>
        </w:rPr>
        <w:t>de transporte reportes de información con el detalle de las transacciones procesadas por medio de la plataforma de</w:t>
      </w:r>
      <w:r>
        <w:rPr>
          <w:lang w:val="es-ES_tradnl" w:eastAsia="es-ES"/>
        </w:rPr>
        <w:t xml:space="preserve"> pagos de</w:t>
      </w:r>
      <w:r w:rsidRPr="009F78D7">
        <w:rPr>
          <w:lang w:val="es-ES_tradnl" w:eastAsia="es-ES"/>
        </w:rPr>
        <w:t xml:space="preserve"> SINPE-TP</w:t>
      </w:r>
      <w:r w:rsidRPr="00B64802">
        <w:rPr>
          <w:lang w:val="es-ES_tradnl" w:eastAsia="es-ES"/>
        </w:rPr>
        <w:t>, así como sobre</w:t>
      </w:r>
      <w:r w:rsidRPr="009F78D7">
        <w:rPr>
          <w:lang w:val="es-ES_tradnl" w:eastAsia="es-ES"/>
        </w:rPr>
        <w:t xml:space="preserve"> los resultados de la liquidación de los ingresos tarifarios recaudados.</w:t>
      </w:r>
      <w:r>
        <w:rPr>
          <w:lang w:val="es-ES_tradnl" w:eastAsia="es-ES"/>
        </w:rPr>
        <w:t xml:space="preserve"> </w:t>
      </w:r>
      <w:r w:rsidRPr="009F78D7">
        <w:rPr>
          <w:lang w:val="es-ES_tradnl" w:eastAsia="es-ES"/>
        </w:rPr>
        <w:t xml:space="preserve">Para los efectos, especificará </w:t>
      </w:r>
      <w:r w:rsidRPr="009F78D7">
        <w:rPr>
          <w:rFonts w:cs="Arial"/>
          <w:lang w:val="es-ES_tradnl" w:eastAsia="es-ES"/>
        </w:rPr>
        <w:t xml:space="preserve">en cada reporte el monto bruto de la recaudación y las deducciones aplicadas, </w:t>
      </w:r>
      <w:r>
        <w:rPr>
          <w:rFonts w:cs="Arial"/>
          <w:lang w:val="es-ES_tradnl" w:eastAsia="es-ES"/>
        </w:rPr>
        <w:t>además de l</w:t>
      </w:r>
      <w:r w:rsidRPr="009F78D7">
        <w:rPr>
          <w:rFonts w:cs="Arial"/>
          <w:lang w:val="es-ES_tradnl" w:eastAsia="es-ES"/>
        </w:rPr>
        <w:t>os detalles que sean requeridos para que los operadores puedan atender sus necesidades de registro y control, en lo que respecta a las transacciones de SINPE-TP.</w:t>
      </w:r>
    </w:p>
    <w:p w14:paraId="7F6F9B9C" w14:textId="77777777" w:rsidR="007A7839" w:rsidRPr="00B64802" w:rsidRDefault="007A7839" w:rsidP="00E23D98">
      <w:pPr>
        <w:rPr>
          <w:rFonts w:cs="Arial"/>
          <w:lang w:val="es-ES_tradnl" w:eastAsia="es-ES"/>
        </w:rPr>
      </w:pPr>
      <w:r w:rsidRPr="009F78D7">
        <w:rPr>
          <w:rFonts w:cs="Arial"/>
          <w:lang w:val="es-ES_tradnl" w:eastAsia="es-ES"/>
        </w:rPr>
        <w:t>El reporte de los operadores del servicio de autobús de ruta regular cumple con el formato de la “</w:t>
      </w:r>
      <w:r w:rsidRPr="00B64802">
        <w:rPr>
          <w:rFonts w:cs="Arial"/>
          <w:i/>
          <w:iCs/>
          <w:lang w:val="es-ES_tradnl" w:eastAsia="es-ES"/>
        </w:rPr>
        <w:t>Hoja de Liquidación de Ingresos Tarifarios</w:t>
      </w:r>
      <w:r>
        <w:rPr>
          <w:rFonts w:cs="Arial"/>
          <w:i/>
          <w:iCs/>
          <w:lang w:val="es-ES_tradnl" w:eastAsia="es-ES"/>
        </w:rPr>
        <w:t xml:space="preserve"> (Autobús de Ruta Regular)</w:t>
      </w:r>
      <w:r w:rsidRPr="009F78D7">
        <w:rPr>
          <w:rFonts w:cs="Arial"/>
          <w:lang w:val="es-ES_tradnl" w:eastAsia="es-ES"/>
        </w:rPr>
        <w:t>”, del Anexo 06 de la presente norma complementaria.</w:t>
      </w:r>
      <w:r>
        <w:rPr>
          <w:rFonts w:cs="Arial"/>
          <w:lang w:val="es-ES_tradnl" w:eastAsia="es-ES"/>
        </w:rPr>
        <w:t xml:space="preserve"> </w:t>
      </w:r>
      <w:r w:rsidRPr="009F78D7">
        <w:rPr>
          <w:rFonts w:cs="Arial"/>
          <w:lang w:val="es-ES_tradnl" w:eastAsia="es-ES"/>
        </w:rPr>
        <w:t xml:space="preserve">Por su parte, los reportes de Incofer cumplen con los formatos del </w:t>
      </w:r>
      <w:r w:rsidRPr="00B64802">
        <w:rPr>
          <w:rFonts w:cs="Arial"/>
          <w:i/>
          <w:iCs/>
          <w:lang w:val="es-ES_tradnl" w:eastAsia="es-ES"/>
        </w:rPr>
        <w:t xml:space="preserve">“Reporte Diario de Operaciones de Recaudación Tarifaria de Incofer” </w:t>
      </w:r>
      <w:r w:rsidRPr="00B64802">
        <w:rPr>
          <w:rFonts w:cs="Arial"/>
          <w:lang w:val="es-ES_tradnl" w:eastAsia="es-ES"/>
        </w:rPr>
        <w:t>y la “</w:t>
      </w:r>
      <w:r w:rsidRPr="00B64802">
        <w:rPr>
          <w:rFonts w:cs="Arial"/>
          <w:i/>
          <w:iCs/>
          <w:lang w:val="es-ES_tradnl" w:eastAsia="es-ES"/>
        </w:rPr>
        <w:t>Hoja de Liquidación de la Recaudación Tarifaria de Incofer</w:t>
      </w:r>
      <w:r w:rsidRPr="00B64802">
        <w:rPr>
          <w:rFonts w:cs="Arial"/>
          <w:lang w:val="es-ES_tradnl" w:eastAsia="es-ES"/>
        </w:rPr>
        <w:t>”, del mismo anexo.</w:t>
      </w:r>
    </w:p>
    <w:p w14:paraId="77B1AD06" w14:textId="77777777" w:rsidR="007A7839" w:rsidRDefault="007A7839" w:rsidP="00E23D98">
      <w:pPr>
        <w:rPr>
          <w:rFonts w:cs="Arial"/>
          <w:lang w:val="es-ES_tradnl" w:eastAsia="es-ES"/>
        </w:rPr>
      </w:pPr>
      <w:r w:rsidRPr="009F78D7">
        <w:rPr>
          <w:rFonts w:cs="Arial"/>
          <w:lang w:val="es-ES_tradnl" w:eastAsia="es-ES"/>
        </w:rPr>
        <w:t xml:space="preserve">Adicionalmente, el BCCR pondrá a disposición de los reguladores y los operadores </w:t>
      </w:r>
      <w:r w:rsidRPr="009F78D7">
        <w:rPr>
          <w:lang w:val="es-ES_tradnl" w:eastAsia="es-ES"/>
        </w:rPr>
        <w:t xml:space="preserve">de transporte, </w:t>
      </w:r>
      <w:r w:rsidRPr="009F78D7">
        <w:rPr>
          <w:rFonts w:cs="Arial"/>
          <w:lang w:val="es-ES_tradnl" w:eastAsia="es-ES"/>
        </w:rPr>
        <w:t xml:space="preserve">facilitades tecnológicas para acceder a la información administrada por el Sistema Central de Recaudo, de conformidad con </w:t>
      </w:r>
      <w:bookmarkStart w:id="130" w:name="_Hlk132312896"/>
      <w:r w:rsidRPr="009F78D7">
        <w:rPr>
          <w:rFonts w:cs="Arial"/>
          <w:lang w:val="es-ES_tradnl" w:eastAsia="es-ES"/>
        </w:rPr>
        <w:t xml:space="preserve">los derechos y permisos que corresponda para cada caso como parte de la estructura de seguridad </w:t>
      </w:r>
      <w:bookmarkEnd w:id="130"/>
      <w:r>
        <w:rPr>
          <w:rFonts w:cs="Arial"/>
          <w:lang w:val="es-ES_tradnl" w:eastAsia="es-ES"/>
        </w:rPr>
        <w:t>del servicio SINPE-TP</w:t>
      </w:r>
      <w:r w:rsidRPr="009F78D7">
        <w:rPr>
          <w:rFonts w:cs="Arial"/>
          <w:lang w:val="es-ES_tradnl" w:eastAsia="es-ES"/>
        </w:rPr>
        <w:t>.</w:t>
      </w:r>
    </w:p>
    <w:p w14:paraId="7647BB08" w14:textId="77777777" w:rsidR="007A7839" w:rsidRDefault="007A7839" w:rsidP="00E23D98">
      <w:pPr>
        <w:pStyle w:val="Ttulo2"/>
        <w:numPr>
          <w:ilvl w:val="1"/>
          <w:numId w:val="3"/>
        </w:numPr>
        <w:tabs>
          <w:tab w:val="clear" w:pos="510"/>
        </w:tabs>
        <w:spacing w:line="276" w:lineRule="auto"/>
        <w:ind w:left="229" w:hanging="229"/>
      </w:pPr>
      <w:bookmarkStart w:id="131" w:name="_Toc213828781"/>
      <w:bookmarkStart w:id="132" w:name="_Toc216697965"/>
      <w:r>
        <w:t>Suministro automático de datos</w:t>
      </w:r>
      <w:bookmarkEnd w:id="131"/>
      <w:bookmarkEnd w:id="132"/>
    </w:p>
    <w:p w14:paraId="38DF2BDA" w14:textId="77777777" w:rsidR="007A7839" w:rsidRDefault="007A7839" w:rsidP="00E23D98">
      <w:pPr>
        <w:rPr>
          <w:lang w:val="es-ES_tradnl" w:eastAsia="es-ES"/>
        </w:rPr>
      </w:pPr>
      <w:bookmarkStart w:id="133" w:name="_Hlk132313358"/>
      <w:r w:rsidRPr="00A3388C">
        <w:rPr>
          <w:lang w:val="es-ES_tradnl" w:eastAsia="es-ES"/>
        </w:rPr>
        <w:t xml:space="preserve">El servicio SINPE-TP dispone de un mecanismo </w:t>
      </w:r>
      <w:r w:rsidRPr="00FF34FD">
        <w:rPr>
          <w:lang w:val="es-ES_tradnl" w:eastAsia="es-ES"/>
        </w:rPr>
        <w:t xml:space="preserve">electrónico </w:t>
      </w:r>
      <w:r w:rsidRPr="00A3388C">
        <w:rPr>
          <w:lang w:val="es-ES_tradnl" w:eastAsia="es-ES"/>
        </w:rPr>
        <w:t>para el suministro automatizado de datos</w:t>
      </w:r>
      <w:r>
        <w:rPr>
          <w:lang w:val="es-ES_tradnl" w:eastAsia="es-ES"/>
        </w:rPr>
        <w:t xml:space="preserve"> que </w:t>
      </w:r>
      <w:r w:rsidRPr="00A3388C">
        <w:rPr>
          <w:lang w:val="es-ES_tradnl" w:eastAsia="es-ES"/>
        </w:rPr>
        <w:t xml:space="preserve">puede ser utilizado por los operadores </w:t>
      </w:r>
      <w:r>
        <w:rPr>
          <w:lang w:val="es-ES_tradnl" w:eastAsia="es-ES"/>
        </w:rPr>
        <w:t xml:space="preserve">de transporte </w:t>
      </w:r>
      <w:r w:rsidRPr="00A3388C">
        <w:rPr>
          <w:lang w:val="es-ES_tradnl" w:eastAsia="es-ES"/>
        </w:rPr>
        <w:t>mediante el consumo de una API de consulta</w:t>
      </w:r>
      <w:r>
        <w:rPr>
          <w:lang w:val="es-ES_tradnl" w:eastAsia="es-ES"/>
        </w:rPr>
        <w:t xml:space="preserve">, la cual establece un </w:t>
      </w:r>
      <w:r w:rsidRPr="00A3388C">
        <w:rPr>
          <w:lang w:val="es-ES_tradnl" w:eastAsia="es-ES"/>
        </w:rPr>
        <w:t>enlace de comunicación</w:t>
      </w:r>
      <w:r>
        <w:rPr>
          <w:lang w:val="es-ES_tradnl" w:eastAsia="es-ES"/>
        </w:rPr>
        <w:t xml:space="preserve"> </w:t>
      </w:r>
      <w:bookmarkStart w:id="134" w:name="_Hlk132313545"/>
      <w:r>
        <w:rPr>
          <w:lang w:val="es-ES_tradnl" w:eastAsia="es-ES"/>
        </w:rPr>
        <w:t>con el Sistema Central de Recaudo</w:t>
      </w:r>
      <w:bookmarkEnd w:id="134"/>
      <w:r>
        <w:rPr>
          <w:lang w:val="es-ES_tradnl" w:eastAsia="es-ES"/>
        </w:rPr>
        <w:t>,</w:t>
      </w:r>
      <w:r w:rsidRPr="00A3388C">
        <w:rPr>
          <w:lang w:val="es-ES_tradnl" w:eastAsia="es-ES"/>
        </w:rPr>
        <w:t xml:space="preserve"> de conformidad con las condiciones </w:t>
      </w:r>
      <w:r>
        <w:rPr>
          <w:lang w:val="es-ES_tradnl" w:eastAsia="es-ES"/>
        </w:rPr>
        <w:t>dispuestas</w:t>
      </w:r>
      <w:r w:rsidRPr="00A3388C">
        <w:rPr>
          <w:lang w:val="es-ES_tradnl" w:eastAsia="es-ES"/>
        </w:rPr>
        <w:t xml:space="preserve"> en el documento “</w:t>
      </w:r>
      <w:r w:rsidRPr="007964FB">
        <w:rPr>
          <w:i/>
          <w:iCs/>
          <w:u w:val="single"/>
          <w:lang w:val="es-ES_tradnl" w:eastAsia="es-ES"/>
        </w:rPr>
        <w:t>No</w:t>
      </w:r>
      <w:r>
        <w:rPr>
          <w:i/>
          <w:iCs/>
          <w:u w:val="single"/>
          <w:lang w:val="es-ES_tradnl" w:eastAsia="es-ES"/>
        </w:rPr>
        <w:t>rm</w:t>
      </w:r>
      <w:r w:rsidRPr="007964FB">
        <w:rPr>
          <w:i/>
          <w:iCs/>
          <w:u w:val="single"/>
          <w:lang w:val="es-ES_tradnl" w:eastAsia="es-ES"/>
        </w:rPr>
        <w:t xml:space="preserve">a Técnica - </w:t>
      </w:r>
      <w:r w:rsidRPr="00A3388C">
        <w:rPr>
          <w:i/>
          <w:iCs/>
          <w:u w:val="single"/>
          <w:lang w:val="es-ES_tradnl" w:eastAsia="es-ES"/>
        </w:rPr>
        <w:t xml:space="preserve">Estándar </w:t>
      </w:r>
      <w:r>
        <w:rPr>
          <w:i/>
          <w:iCs/>
          <w:u w:val="single"/>
          <w:lang w:val="es-ES_tradnl" w:eastAsia="es-ES"/>
        </w:rPr>
        <w:t>E</w:t>
      </w:r>
      <w:r w:rsidRPr="00A3388C">
        <w:rPr>
          <w:i/>
          <w:iCs/>
          <w:u w:val="single"/>
          <w:lang w:val="es-ES_tradnl" w:eastAsia="es-ES"/>
        </w:rPr>
        <w:t xml:space="preserve">lectrónico para la </w:t>
      </w:r>
      <w:r>
        <w:rPr>
          <w:i/>
          <w:iCs/>
          <w:u w:val="single"/>
          <w:lang w:val="es-ES_tradnl" w:eastAsia="es-ES"/>
        </w:rPr>
        <w:t>C</w:t>
      </w:r>
      <w:r w:rsidRPr="00A3388C">
        <w:rPr>
          <w:i/>
          <w:iCs/>
          <w:u w:val="single"/>
          <w:lang w:val="es-ES_tradnl" w:eastAsia="es-ES"/>
        </w:rPr>
        <w:t xml:space="preserve">omunicación con </w:t>
      </w:r>
      <w:r>
        <w:rPr>
          <w:i/>
          <w:iCs/>
          <w:u w:val="single"/>
          <w:lang w:val="es-ES_tradnl" w:eastAsia="es-ES"/>
        </w:rPr>
        <w:t>O</w:t>
      </w:r>
      <w:r w:rsidRPr="00A3388C">
        <w:rPr>
          <w:i/>
          <w:iCs/>
          <w:u w:val="single"/>
          <w:lang w:val="es-ES_tradnl" w:eastAsia="es-ES"/>
        </w:rPr>
        <w:t>peradores</w:t>
      </w:r>
      <w:r w:rsidRPr="00A3388C">
        <w:rPr>
          <w:lang w:val="es-ES_tradnl" w:eastAsia="es-ES"/>
        </w:rPr>
        <w:t xml:space="preserve">”, de la Serie de Normas </w:t>
      </w:r>
      <w:r>
        <w:rPr>
          <w:lang w:val="es-ES_tradnl" w:eastAsia="es-ES"/>
        </w:rPr>
        <w:t xml:space="preserve">Técnicas de </w:t>
      </w:r>
      <w:r w:rsidRPr="00A3388C">
        <w:rPr>
          <w:lang w:val="es-ES_tradnl" w:eastAsia="es-ES"/>
        </w:rPr>
        <w:t>SINPE.</w:t>
      </w:r>
    </w:p>
    <w:p w14:paraId="64A20D1B" w14:textId="77777777" w:rsidR="007A7839" w:rsidRPr="00266938" w:rsidRDefault="007A7839" w:rsidP="00E23D98">
      <w:pPr>
        <w:rPr>
          <w:lang w:eastAsia="es-ES"/>
        </w:rPr>
      </w:pPr>
      <w:r w:rsidRPr="00266938">
        <w:rPr>
          <w:lang w:eastAsia="es-ES"/>
        </w:rPr>
        <w:t xml:space="preserve">Los operadores </w:t>
      </w:r>
      <w:r w:rsidRPr="00266938">
        <w:rPr>
          <w:lang w:val="es-ES_tradnl" w:eastAsia="es-ES"/>
        </w:rPr>
        <w:t>de transporte</w:t>
      </w:r>
      <w:r w:rsidRPr="00266938">
        <w:rPr>
          <w:lang w:eastAsia="es-ES"/>
        </w:rPr>
        <w:t xml:space="preserve"> también disponen del portal web del BCCR denominado “Central Directo” (</w:t>
      </w:r>
      <w:hyperlink r:id="rId18" w:history="1">
        <w:r w:rsidRPr="00D53791">
          <w:rPr>
            <w:rStyle w:val="Hipervnculo"/>
            <w:color w:val="0000CC"/>
            <w:lang w:eastAsia="es-ES"/>
          </w:rPr>
          <w:t>https://www.centraldirecto.fi.cr/</w:t>
        </w:r>
      </w:hyperlink>
      <w:r w:rsidRPr="00266938">
        <w:rPr>
          <w:lang w:eastAsia="es-ES"/>
        </w:rPr>
        <w:t>), para interactuar con el servicio SINPE-TP y acceder a funcionalidades tales como: gestión de usuarios, generación de reportes, mantenimiento de catálogos y consultas del detalle completo de sus transacciones, entre otras.</w:t>
      </w:r>
    </w:p>
    <w:p w14:paraId="37DDA684" w14:textId="77777777" w:rsidR="007A7839" w:rsidRDefault="007A7839" w:rsidP="00E23D98">
      <w:pPr>
        <w:rPr>
          <w:rFonts w:cs="Arial"/>
          <w:lang w:val="es-ES_tradnl" w:eastAsia="es-ES"/>
        </w:rPr>
      </w:pPr>
      <w:bookmarkStart w:id="135" w:name="_Hlk132313715"/>
      <w:bookmarkEnd w:id="133"/>
      <w:r w:rsidRPr="00096F2C">
        <w:rPr>
          <w:rFonts w:cs="Arial"/>
          <w:lang w:eastAsia="es-ES"/>
        </w:rPr>
        <w:t>Se exceptúan</w:t>
      </w:r>
      <w:r w:rsidRPr="00096F2C">
        <w:rPr>
          <w:rFonts w:cs="Arial"/>
          <w:lang w:val="es-ES_tradnl" w:eastAsia="es-ES"/>
        </w:rPr>
        <w:t xml:space="preserve"> </w:t>
      </w:r>
      <w:r w:rsidRPr="00FF34FD">
        <w:rPr>
          <w:rFonts w:cs="Arial"/>
          <w:lang w:val="es-ES_tradnl" w:eastAsia="es-ES"/>
        </w:rPr>
        <w:t xml:space="preserve">de la comunicación </w:t>
      </w:r>
      <w:r w:rsidRPr="00096F2C">
        <w:rPr>
          <w:rFonts w:cs="Arial"/>
          <w:lang w:val="es-ES_tradnl" w:eastAsia="es-ES"/>
        </w:rPr>
        <w:t xml:space="preserve">los datos sensibles de los </w:t>
      </w:r>
      <w:r>
        <w:rPr>
          <w:rFonts w:cs="Arial"/>
          <w:lang w:val="es-ES_tradnl" w:eastAsia="es-ES"/>
        </w:rPr>
        <w:t>usuarios</w:t>
      </w:r>
      <w:r w:rsidRPr="00C70FA8">
        <w:rPr>
          <w:rFonts w:cs="Arial"/>
          <w:lang w:val="es-ES_tradnl" w:eastAsia="es-ES"/>
        </w:rPr>
        <w:t xml:space="preserve"> que se encuentren protegidos</w:t>
      </w:r>
      <w:r>
        <w:rPr>
          <w:rFonts w:cs="Arial"/>
          <w:lang w:val="es-ES_tradnl" w:eastAsia="es-ES"/>
        </w:rPr>
        <w:t xml:space="preserve"> </w:t>
      </w:r>
      <w:r w:rsidRPr="00C70FA8">
        <w:rPr>
          <w:rFonts w:cs="Arial"/>
          <w:lang w:val="es-ES_tradnl" w:eastAsia="es-ES"/>
        </w:rPr>
        <w:t>por disposiciones legales o en virtud del cumplimiento de la norma PCI DSS.</w:t>
      </w:r>
    </w:p>
    <w:p w14:paraId="4D49EA66" w14:textId="77777777" w:rsidR="007A7839" w:rsidRDefault="007A7839" w:rsidP="00E23D98">
      <w:pPr>
        <w:pStyle w:val="Ttulo2"/>
        <w:numPr>
          <w:ilvl w:val="1"/>
          <w:numId w:val="3"/>
        </w:numPr>
        <w:tabs>
          <w:tab w:val="clear" w:pos="510"/>
        </w:tabs>
        <w:spacing w:line="276" w:lineRule="auto"/>
        <w:ind w:left="229" w:hanging="229"/>
      </w:pPr>
      <w:bookmarkStart w:id="136" w:name="_Toc213828782"/>
      <w:bookmarkStart w:id="137" w:name="_Toc216697966"/>
      <w:r>
        <w:t>Actualizaciones</w:t>
      </w:r>
      <w:bookmarkEnd w:id="136"/>
      <w:bookmarkEnd w:id="137"/>
    </w:p>
    <w:p w14:paraId="27B219BB" w14:textId="77777777" w:rsidR="007A7839" w:rsidRDefault="007A7839" w:rsidP="00E23D98">
      <w:pPr>
        <w:rPr>
          <w:rFonts w:cs="Arial"/>
          <w:lang w:val="es-ES_tradnl" w:eastAsia="es-ES"/>
        </w:rPr>
      </w:pPr>
      <w:r w:rsidRPr="00C41E94">
        <w:rPr>
          <w:rFonts w:cs="Arial"/>
          <w:lang w:val="es-ES_tradnl" w:eastAsia="es-ES"/>
        </w:rPr>
        <w:t xml:space="preserve">El operador </w:t>
      </w:r>
      <w:r>
        <w:rPr>
          <w:lang w:val="es-ES_tradnl" w:eastAsia="es-ES"/>
        </w:rPr>
        <w:t xml:space="preserve">de transporte </w:t>
      </w:r>
      <w:r w:rsidRPr="00C41E94">
        <w:rPr>
          <w:rFonts w:cs="Arial"/>
          <w:lang w:val="es-ES_tradnl" w:eastAsia="es-ES"/>
        </w:rPr>
        <w:t xml:space="preserve">es responsable de mantener actualizada su información administrativa y de operación </w:t>
      </w:r>
      <w:r>
        <w:rPr>
          <w:rFonts w:cs="Arial"/>
          <w:lang w:val="es-ES_tradnl" w:eastAsia="es-ES"/>
        </w:rPr>
        <w:t xml:space="preserve">que sea </w:t>
      </w:r>
      <w:r w:rsidRPr="00C41E94">
        <w:rPr>
          <w:rFonts w:cs="Arial"/>
          <w:lang w:val="es-ES_tradnl" w:eastAsia="es-ES"/>
        </w:rPr>
        <w:t xml:space="preserve">requerida </w:t>
      </w:r>
      <w:r>
        <w:rPr>
          <w:rFonts w:cs="Arial"/>
          <w:lang w:val="es-ES_tradnl" w:eastAsia="es-ES"/>
        </w:rPr>
        <w:t>por</w:t>
      </w:r>
      <w:r w:rsidRPr="00C41E94">
        <w:rPr>
          <w:rFonts w:cs="Arial"/>
          <w:lang w:val="es-ES_tradnl" w:eastAsia="es-ES"/>
        </w:rPr>
        <w:t xml:space="preserve"> el BCCR </w:t>
      </w:r>
      <w:r>
        <w:rPr>
          <w:rFonts w:cs="Arial"/>
          <w:lang w:val="es-ES_tradnl" w:eastAsia="es-ES"/>
        </w:rPr>
        <w:t>para</w:t>
      </w:r>
      <w:r w:rsidRPr="00C41E94">
        <w:rPr>
          <w:rFonts w:cs="Arial"/>
          <w:lang w:val="es-ES_tradnl" w:eastAsia="es-ES"/>
        </w:rPr>
        <w:t xml:space="preserve"> </w:t>
      </w:r>
      <w:r>
        <w:rPr>
          <w:rFonts w:cs="Arial"/>
          <w:lang w:val="es-ES_tradnl" w:eastAsia="es-ES"/>
        </w:rPr>
        <w:t>el funcionamiento d</w:t>
      </w:r>
      <w:r w:rsidRPr="00FF34FD">
        <w:rPr>
          <w:rFonts w:cs="Arial"/>
          <w:lang w:val="es-ES_tradnl" w:eastAsia="es-ES"/>
        </w:rPr>
        <w:t xml:space="preserve">el servicio </w:t>
      </w:r>
      <w:r w:rsidRPr="00C41E94">
        <w:rPr>
          <w:rFonts w:cs="Arial"/>
          <w:lang w:val="es-ES_tradnl" w:eastAsia="es-ES"/>
        </w:rPr>
        <w:t xml:space="preserve">SINPE-TP, de forma que debe mantenerse vigilante para suministrar oportunamente al BCCR las comunicaciones que procedan cada vez que </w:t>
      </w:r>
      <w:r>
        <w:rPr>
          <w:rFonts w:cs="Arial"/>
          <w:lang w:val="es-ES_tradnl" w:eastAsia="es-ES"/>
        </w:rPr>
        <w:t xml:space="preserve">sus </w:t>
      </w:r>
      <w:r w:rsidRPr="00C41E94">
        <w:rPr>
          <w:rFonts w:cs="Arial"/>
          <w:lang w:val="es-ES_tradnl" w:eastAsia="es-ES"/>
        </w:rPr>
        <w:t xml:space="preserve">datos </w:t>
      </w:r>
      <w:r w:rsidRPr="00FF34FD">
        <w:rPr>
          <w:rFonts w:cs="Arial"/>
          <w:lang w:val="es-ES_tradnl" w:eastAsia="es-ES"/>
        </w:rPr>
        <w:t>experimente</w:t>
      </w:r>
      <w:r>
        <w:rPr>
          <w:rFonts w:cs="Arial"/>
          <w:lang w:val="es-ES_tradnl" w:eastAsia="es-ES"/>
        </w:rPr>
        <w:t>n</w:t>
      </w:r>
      <w:r w:rsidRPr="00FF34FD">
        <w:rPr>
          <w:rFonts w:cs="Arial"/>
          <w:lang w:val="es-ES_tradnl" w:eastAsia="es-ES"/>
        </w:rPr>
        <w:t xml:space="preserve"> algún cambio </w:t>
      </w:r>
      <w:r w:rsidRPr="00C41E94">
        <w:rPr>
          <w:rFonts w:cs="Arial"/>
          <w:lang w:val="es-ES_tradnl" w:eastAsia="es-ES"/>
        </w:rPr>
        <w:t xml:space="preserve">o </w:t>
      </w:r>
      <w:r w:rsidRPr="00FF34FD">
        <w:rPr>
          <w:rFonts w:cs="Arial"/>
          <w:lang w:val="es-ES_tradnl" w:eastAsia="es-ES"/>
        </w:rPr>
        <w:t xml:space="preserve">porque </w:t>
      </w:r>
      <w:r w:rsidRPr="00C41E94">
        <w:rPr>
          <w:rFonts w:cs="Arial"/>
          <w:lang w:val="es-ES_tradnl" w:eastAsia="es-ES"/>
        </w:rPr>
        <w:t xml:space="preserve">deba reportar información adicional a la </w:t>
      </w:r>
      <w:r>
        <w:rPr>
          <w:rFonts w:cs="Arial"/>
          <w:lang w:val="es-ES_tradnl" w:eastAsia="es-ES"/>
        </w:rPr>
        <w:t xml:space="preserve">que haya reportado </w:t>
      </w:r>
      <w:r w:rsidRPr="00C41E94">
        <w:rPr>
          <w:rFonts w:cs="Arial"/>
          <w:lang w:val="es-ES_tradnl" w:eastAsia="es-ES"/>
        </w:rPr>
        <w:t>con anterioridad</w:t>
      </w:r>
      <w:r>
        <w:rPr>
          <w:rFonts w:cs="Arial"/>
          <w:lang w:val="es-ES_tradnl" w:eastAsia="es-ES"/>
        </w:rPr>
        <w:t>.</w:t>
      </w:r>
    </w:p>
    <w:p w14:paraId="7691EA21" w14:textId="77777777" w:rsidR="007A7839" w:rsidRDefault="007A7839" w:rsidP="00E23D98">
      <w:pPr>
        <w:pStyle w:val="Ttulo2"/>
        <w:numPr>
          <w:ilvl w:val="1"/>
          <w:numId w:val="3"/>
        </w:numPr>
        <w:tabs>
          <w:tab w:val="clear" w:pos="510"/>
        </w:tabs>
        <w:spacing w:line="276" w:lineRule="auto"/>
        <w:ind w:left="229" w:hanging="229"/>
      </w:pPr>
      <w:bookmarkStart w:id="138" w:name="_Toc213828783"/>
      <w:bookmarkStart w:id="139" w:name="_Toc216697967"/>
      <w:r>
        <w:t>Seguridad de la información sensible</w:t>
      </w:r>
      <w:bookmarkEnd w:id="138"/>
      <w:bookmarkEnd w:id="139"/>
    </w:p>
    <w:p w14:paraId="56CFF3F7" w14:textId="77777777" w:rsidR="007A7839" w:rsidRDefault="007A7839" w:rsidP="00E23D98">
      <w:r w:rsidRPr="00AA4635">
        <w:t>Los proveedores de servicio</w:t>
      </w:r>
      <w:r>
        <w:t>s</w:t>
      </w:r>
      <w:r w:rsidRPr="00AA4635">
        <w:t xml:space="preserve"> que accedan a información sensible de los dispositivos de pago, en virtud de sus funciones y de la </w:t>
      </w:r>
      <w:r w:rsidRPr="00B64802">
        <w:rPr>
          <w:rFonts w:cs="Arial"/>
          <w:lang w:val="es-ES_tradnl" w:eastAsia="es-ES"/>
        </w:rPr>
        <w:t>necesidad</w:t>
      </w:r>
      <w:r w:rsidRPr="00AA4635">
        <w:t xml:space="preserve"> del procesamiento y liquidación de las transacciones de SINPE</w:t>
      </w:r>
      <w:r w:rsidRPr="00AA4635">
        <w:noBreakHyphen/>
        <w:t xml:space="preserve">TP, son responsables por la seguridad de dicha información, debiendo administrarla </w:t>
      </w:r>
      <w:r>
        <w:t xml:space="preserve">con </w:t>
      </w:r>
      <w:r w:rsidRPr="00AA4635">
        <w:t xml:space="preserve">procedimientos </w:t>
      </w:r>
      <w:r w:rsidRPr="00AA4635">
        <w:lastRenderedPageBreak/>
        <w:t xml:space="preserve">tecnológicos y operativos que la protejan con </w:t>
      </w:r>
      <w:r>
        <w:t xml:space="preserve">la aplicación de medidas y </w:t>
      </w:r>
      <w:r w:rsidRPr="00AA4635">
        <w:t>estándares de seguridad fiables.</w:t>
      </w:r>
    </w:p>
    <w:p w14:paraId="02CF2DDD" w14:textId="77777777" w:rsidR="007A7839" w:rsidRDefault="007A7839" w:rsidP="00E23D98">
      <w:pPr>
        <w:pStyle w:val="Ttulo1"/>
        <w:numPr>
          <w:ilvl w:val="0"/>
          <w:numId w:val="3"/>
        </w:numPr>
        <w:tabs>
          <w:tab w:val="clear" w:pos="340"/>
        </w:tabs>
        <w:spacing w:line="276" w:lineRule="auto"/>
        <w:ind w:left="426" w:hanging="426"/>
      </w:pPr>
      <w:bookmarkStart w:id="140" w:name="_Toc213828784"/>
      <w:bookmarkStart w:id="141" w:name="_Toc216697968"/>
      <w:r>
        <w:t>Servicios</w:t>
      </w:r>
      <w:bookmarkEnd w:id="140"/>
      <w:bookmarkEnd w:id="141"/>
      <w:r>
        <w:t xml:space="preserve"> </w:t>
      </w:r>
    </w:p>
    <w:p w14:paraId="611F36AC" w14:textId="77777777" w:rsidR="007A7839" w:rsidRDefault="007A7839" w:rsidP="00E23D98">
      <w:pPr>
        <w:pStyle w:val="Ttulo2"/>
        <w:numPr>
          <w:ilvl w:val="1"/>
          <w:numId w:val="3"/>
        </w:numPr>
        <w:tabs>
          <w:tab w:val="clear" w:pos="510"/>
        </w:tabs>
        <w:spacing w:line="276" w:lineRule="auto"/>
        <w:ind w:left="229" w:hanging="229"/>
      </w:pPr>
      <w:bookmarkStart w:id="142" w:name="_Toc213828785"/>
      <w:bookmarkStart w:id="143" w:name="_Toc216697969"/>
      <w:r>
        <w:t>Servicio de adquirencia</w:t>
      </w:r>
      <w:bookmarkEnd w:id="142"/>
      <w:bookmarkEnd w:id="143"/>
      <w:r>
        <w:t xml:space="preserve"> </w:t>
      </w:r>
    </w:p>
    <w:p w14:paraId="058157F5" w14:textId="77777777" w:rsidR="007A7839" w:rsidRPr="004A5E58" w:rsidRDefault="007A7839" w:rsidP="00E23D98">
      <w:r>
        <w:rPr>
          <w:rFonts w:cs="Arial"/>
          <w:lang w:val="es-ES_tradnl" w:eastAsia="es-ES"/>
        </w:rPr>
        <w:t xml:space="preserve">El </w:t>
      </w:r>
      <w:r w:rsidRPr="003B26D9">
        <w:rPr>
          <w:rFonts w:cs="Arial"/>
          <w:lang w:val="es-ES_tradnl" w:eastAsia="es-ES"/>
        </w:rPr>
        <w:t xml:space="preserve">servicio de adquirencia de SINPE-TP </w:t>
      </w:r>
      <w:r>
        <w:rPr>
          <w:rFonts w:cs="Arial"/>
          <w:lang w:val="es-ES_tradnl" w:eastAsia="es-ES"/>
        </w:rPr>
        <w:t>es</w:t>
      </w:r>
      <w:r w:rsidRPr="003B26D9">
        <w:rPr>
          <w:rFonts w:cs="Arial"/>
          <w:lang w:val="es-ES_tradnl" w:eastAsia="es-ES"/>
        </w:rPr>
        <w:t xml:space="preserve"> provisto por las entidades </w:t>
      </w:r>
      <w:r w:rsidRPr="00FF34FD">
        <w:rPr>
          <w:rFonts w:cs="Arial"/>
          <w:lang w:val="es-ES_tradnl" w:eastAsia="es-ES"/>
        </w:rPr>
        <w:t xml:space="preserve">bancarias </w:t>
      </w:r>
      <w:r w:rsidRPr="003B26D9">
        <w:rPr>
          <w:rFonts w:cs="Arial"/>
          <w:lang w:val="es-ES_tradnl" w:eastAsia="es-ES"/>
        </w:rPr>
        <w:t xml:space="preserve">que se integren a </w:t>
      </w:r>
      <w:r>
        <w:rPr>
          <w:rFonts w:cs="Arial"/>
          <w:lang w:val="es-ES_tradnl" w:eastAsia="es-ES"/>
        </w:rPr>
        <w:t>su</w:t>
      </w:r>
      <w:r w:rsidRPr="003B26D9">
        <w:rPr>
          <w:rFonts w:cs="Arial"/>
          <w:lang w:val="es-ES_tradnl" w:eastAsia="es-ES"/>
        </w:rPr>
        <w:t xml:space="preserve"> plataforma </w:t>
      </w:r>
      <w:r>
        <w:rPr>
          <w:rFonts w:cs="Arial"/>
          <w:lang w:val="es-ES_tradnl" w:eastAsia="es-ES"/>
        </w:rPr>
        <w:t>tecnológica para</w:t>
      </w:r>
      <w:r w:rsidRPr="003B26D9">
        <w:rPr>
          <w:rFonts w:cs="Arial"/>
          <w:lang w:val="es-ES_tradnl" w:eastAsia="es-ES"/>
        </w:rPr>
        <w:t xml:space="preserve"> cumplir con </w:t>
      </w:r>
      <w:r>
        <w:rPr>
          <w:rFonts w:cs="Arial"/>
          <w:lang w:val="es-ES_tradnl" w:eastAsia="es-ES"/>
        </w:rPr>
        <w:t xml:space="preserve">el </w:t>
      </w:r>
      <w:r w:rsidRPr="003B26D9">
        <w:rPr>
          <w:rFonts w:cs="Arial"/>
          <w:lang w:val="es-ES_tradnl" w:eastAsia="es-ES"/>
        </w:rPr>
        <w:t>rol</w:t>
      </w:r>
      <w:r>
        <w:rPr>
          <w:rFonts w:cs="Arial"/>
          <w:lang w:val="es-ES_tradnl" w:eastAsia="es-ES"/>
        </w:rPr>
        <w:t xml:space="preserve"> de adquirentes del sistema de tarjetas de pago</w:t>
      </w:r>
      <w:r w:rsidRPr="003B26D9">
        <w:rPr>
          <w:rFonts w:cs="Arial"/>
          <w:lang w:val="es-ES_tradnl" w:eastAsia="es-ES"/>
        </w:rPr>
        <w:t xml:space="preserve">, </w:t>
      </w:r>
      <w:r>
        <w:rPr>
          <w:rFonts w:cs="Arial"/>
          <w:lang w:val="es-ES_tradnl" w:eastAsia="es-ES"/>
        </w:rPr>
        <w:t xml:space="preserve">lo que implica </w:t>
      </w:r>
      <w:r w:rsidRPr="003B26D9">
        <w:rPr>
          <w:rFonts w:cs="Arial"/>
          <w:lang w:val="es-ES_tradnl" w:eastAsia="es-ES"/>
        </w:rPr>
        <w:t xml:space="preserve">recibir las transacciones y procesarlas bajo el esquema de pagos sin contacto </w:t>
      </w:r>
      <w:r>
        <w:rPr>
          <w:rFonts w:cs="Arial"/>
          <w:lang w:val="es-ES_tradnl" w:eastAsia="es-ES"/>
        </w:rPr>
        <w:t>del</w:t>
      </w:r>
      <w:r w:rsidRPr="003B26D9">
        <w:rPr>
          <w:rFonts w:cs="Arial"/>
          <w:lang w:val="es-ES_tradnl" w:eastAsia="es-ES"/>
        </w:rPr>
        <w:t xml:space="preserve"> transporte, de conformidad con las guías de implementación de VISA</w:t>
      </w:r>
      <w:r w:rsidRPr="00FF34FD">
        <w:rPr>
          <w:rFonts w:cs="Arial"/>
          <w:lang w:val="es-ES_tradnl" w:eastAsia="es-ES"/>
        </w:rPr>
        <w:t xml:space="preserve">, </w:t>
      </w:r>
      <w:r w:rsidRPr="003B26D9">
        <w:rPr>
          <w:rFonts w:cs="Arial"/>
          <w:lang w:val="es-ES_tradnl" w:eastAsia="es-ES"/>
        </w:rPr>
        <w:t>MasterCard</w:t>
      </w:r>
      <w:r w:rsidRPr="00FF34FD">
        <w:rPr>
          <w:rFonts w:cs="Arial"/>
          <w:lang w:val="es-ES_tradnl" w:eastAsia="es-ES"/>
        </w:rPr>
        <w:t xml:space="preserve"> y American Express</w:t>
      </w:r>
      <w:r>
        <w:rPr>
          <w:rFonts w:cs="Arial"/>
          <w:lang w:val="es-ES_tradnl" w:eastAsia="es-ES"/>
        </w:rPr>
        <w:t xml:space="preserve"> </w:t>
      </w:r>
      <w:r w:rsidRPr="004A5E58">
        <w:t>(Anexo 02</w:t>
      </w:r>
      <w:r>
        <w:t xml:space="preserve">, </w:t>
      </w:r>
      <w:r w:rsidRPr="004A5E58">
        <w:t>Anexo 03</w:t>
      </w:r>
      <w:r>
        <w:t xml:space="preserve"> y Anexo 04,</w:t>
      </w:r>
      <w:r w:rsidRPr="004A5E58">
        <w:t xml:space="preserve"> respectivamente).</w:t>
      </w:r>
    </w:p>
    <w:p w14:paraId="4E17F299" w14:textId="77777777" w:rsidR="007A7839" w:rsidRPr="003B26D9" w:rsidRDefault="007A7839" w:rsidP="00E23D98">
      <w:pPr>
        <w:rPr>
          <w:rFonts w:cs="Arial"/>
          <w:lang w:val="es-ES_tradnl" w:eastAsia="es-ES"/>
        </w:rPr>
      </w:pPr>
      <w:r>
        <w:rPr>
          <w:rFonts w:cs="Arial"/>
          <w:lang w:val="es-ES_tradnl" w:eastAsia="es-ES"/>
        </w:rPr>
        <w:t xml:space="preserve">Las entidades bancarias interesadas en participar como adquirentes de SINPE-TP, deben presentar a </w:t>
      </w:r>
      <w:r w:rsidRPr="004A5E58">
        <w:rPr>
          <w:rFonts w:cs="Arial"/>
          <w:lang w:val="es-ES_tradnl" w:eastAsia="es-ES"/>
        </w:rPr>
        <w:t xml:space="preserve">la División </w:t>
      </w:r>
      <w:r>
        <w:rPr>
          <w:rFonts w:cs="Arial"/>
          <w:lang w:val="es-ES_tradnl" w:eastAsia="es-ES"/>
        </w:rPr>
        <w:t>S</w:t>
      </w:r>
      <w:r w:rsidRPr="004A5E58">
        <w:rPr>
          <w:rFonts w:cs="Arial"/>
          <w:lang w:val="es-ES_tradnl" w:eastAsia="es-ES"/>
        </w:rPr>
        <w:t>istemas de Pago del BCCR una solicitud con el formato contenido en el Anexo 0</w:t>
      </w:r>
      <w:r>
        <w:rPr>
          <w:rFonts w:cs="Arial"/>
          <w:lang w:val="es-ES_tradnl" w:eastAsia="es-ES"/>
        </w:rPr>
        <w:t>7</w:t>
      </w:r>
      <w:r w:rsidRPr="004A5E58">
        <w:rPr>
          <w:rFonts w:cs="Arial"/>
          <w:lang w:val="es-ES_tradnl" w:eastAsia="es-ES"/>
        </w:rPr>
        <w:t xml:space="preserve"> de</w:t>
      </w:r>
      <w:r>
        <w:rPr>
          <w:rFonts w:cs="Arial"/>
          <w:lang w:val="es-ES_tradnl" w:eastAsia="es-ES"/>
        </w:rPr>
        <w:t xml:space="preserve"> la presente norma complementaria (</w:t>
      </w:r>
      <w:r w:rsidRPr="007964FB">
        <w:rPr>
          <w:rFonts w:cs="Arial"/>
          <w:i/>
          <w:iCs/>
          <w:lang w:val="es-ES_tradnl" w:eastAsia="es-ES"/>
        </w:rPr>
        <w:t>“Solicitud de Participación como Adquirente de SINPE-TP”</w:t>
      </w:r>
      <w:r>
        <w:rPr>
          <w:rFonts w:cs="Arial"/>
          <w:lang w:val="es-ES_tradnl" w:eastAsia="es-ES"/>
        </w:rPr>
        <w:t>).</w:t>
      </w:r>
    </w:p>
    <w:p w14:paraId="07C2B1F3" w14:textId="77777777" w:rsidR="007A7839" w:rsidRPr="003B26D9" w:rsidRDefault="007A7839" w:rsidP="00E23D98">
      <w:pPr>
        <w:rPr>
          <w:rFonts w:cs="Arial"/>
          <w:lang w:val="es-ES_tradnl" w:eastAsia="es-ES"/>
        </w:rPr>
      </w:pPr>
      <w:r w:rsidRPr="003B26D9">
        <w:rPr>
          <w:rFonts w:cs="Arial"/>
          <w:lang w:val="es-ES_tradnl" w:eastAsia="es-ES"/>
        </w:rPr>
        <w:t xml:space="preserve">La comunicación entre la plataforma </w:t>
      </w:r>
      <w:r>
        <w:rPr>
          <w:rFonts w:cs="Arial"/>
          <w:lang w:val="es-ES_tradnl" w:eastAsia="es-ES"/>
        </w:rPr>
        <w:t xml:space="preserve">tecnológica de </w:t>
      </w:r>
      <w:r w:rsidRPr="003B26D9">
        <w:rPr>
          <w:rFonts w:cs="Arial"/>
          <w:lang w:val="es-ES_tradnl" w:eastAsia="es-ES"/>
        </w:rPr>
        <w:t xml:space="preserve">SINPE-TP y </w:t>
      </w:r>
      <w:r w:rsidRPr="00FF34FD">
        <w:rPr>
          <w:rFonts w:cs="Arial"/>
          <w:lang w:val="es-ES_tradnl" w:eastAsia="es-ES"/>
        </w:rPr>
        <w:t xml:space="preserve">los </w:t>
      </w:r>
      <w:r w:rsidRPr="003B26D9">
        <w:rPr>
          <w:rFonts w:cs="Arial"/>
          <w:lang w:val="es-ES_tradnl" w:eastAsia="es-ES"/>
        </w:rPr>
        <w:t>adquirentes se realiza de conformidad con las condiciones establecidas en el documento “</w:t>
      </w:r>
      <w:r w:rsidRPr="00E962F8">
        <w:rPr>
          <w:rFonts w:cs="Arial"/>
          <w:i/>
          <w:iCs/>
          <w:u w:val="single"/>
          <w:lang w:val="es-ES_tradnl" w:eastAsia="es-ES"/>
        </w:rPr>
        <w:t>No</w:t>
      </w:r>
      <w:r>
        <w:rPr>
          <w:rFonts w:cs="Arial"/>
          <w:i/>
          <w:iCs/>
          <w:u w:val="single"/>
          <w:lang w:val="es-ES_tradnl" w:eastAsia="es-ES"/>
        </w:rPr>
        <w:t>rm</w:t>
      </w:r>
      <w:r w:rsidRPr="00E962F8">
        <w:rPr>
          <w:rFonts w:cs="Arial"/>
          <w:i/>
          <w:iCs/>
          <w:u w:val="single"/>
          <w:lang w:val="es-ES_tradnl" w:eastAsia="es-ES"/>
        </w:rPr>
        <w:t xml:space="preserve">a Técnica - </w:t>
      </w:r>
      <w:r w:rsidRPr="003B26D9">
        <w:rPr>
          <w:rFonts w:cs="Arial"/>
          <w:i/>
          <w:iCs/>
          <w:u w:val="single"/>
          <w:lang w:val="es-ES_tradnl" w:eastAsia="es-ES"/>
        </w:rPr>
        <w:t xml:space="preserve">Estándar </w:t>
      </w:r>
      <w:r>
        <w:rPr>
          <w:rFonts w:cs="Arial"/>
          <w:i/>
          <w:iCs/>
          <w:u w:val="single"/>
          <w:lang w:val="es-ES_tradnl" w:eastAsia="es-ES"/>
        </w:rPr>
        <w:t>E</w:t>
      </w:r>
      <w:r w:rsidRPr="003B26D9">
        <w:rPr>
          <w:rFonts w:cs="Arial"/>
          <w:i/>
          <w:iCs/>
          <w:u w:val="single"/>
          <w:lang w:val="es-ES_tradnl" w:eastAsia="es-ES"/>
        </w:rPr>
        <w:t xml:space="preserve">lectrónico para la </w:t>
      </w:r>
      <w:r>
        <w:rPr>
          <w:rFonts w:cs="Arial"/>
          <w:i/>
          <w:iCs/>
          <w:u w:val="single"/>
          <w:lang w:val="es-ES_tradnl" w:eastAsia="es-ES"/>
        </w:rPr>
        <w:t>C</w:t>
      </w:r>
      <w:r w:rsidRPr="003B26D9">
        <w:rPr>
          <w:rFonts w:cs="Arial"/>
          <w:i/>
          <w:iCs/>
          <w:u w:val="single"/>
          <w:lang w:val="es-ES_tradnl" w:eastAsia="es-ES"/>
        </w:rPr>
        <w:t xml:space="preserve">omunicación con </w:t>
      </w:r>
      <w:r>
        <w:rPr>
          <w:rFonts w:cs="Arial"/>
          <w:i/>
          <w:iCs/>
          <w:u w:val="single"/>
          <w:lang w:val="es-ES_tradnl" w:eastAsia="es-ES"/>
        </w:rPr>
        <w:t>A</w:t>
      </w:r>
      <w:r w:rsidRPr="003B26D9">
        <w:rPr>
          <w:rFonts w:cs="Arial"/>
          <w:i/>
          <w:iCs/>
          <w:u w:val="single"/>
          <w:lang w:val="es-ES_tradnl" w:eastAsia="es-ES"/>
        </w:rPr>
        <w:t>dquirentes</w:t>
      </w:r>
      <w:r w:rsidRPr="003B26D9">
        <w:rPr>
          <w:rFonts w:cs="Arial"/>
          <w:lang w:val="es-ES_tradnl" w:eastAsia="es-ES"/>
        </w:rPr>
        <w:t xml:space="preserve">”, de la Serie de Normas </w:t>
      </w:r>
      <w:r>
        <w:rPr>
          <w:rFonts w:cs="Arial"/>
          <w:lang w:val="es-ES_tradnl" w:eastAsia="es-ES"/>
        </w:rPr>
        <w:t xml:space="preserve">Técnicas </w:t>
      </w:r>
      <w:r w:rsidRPr="003B26D9">
        <w:rPr>
          <w:rFonts w:cs="Arial"/>
          <w:lang w:val="es-ES_tradnl" w:eastAsia="es-ES"/>
        </w:rPr>
        <w:t>de SINPE</w:t>
      </w:r>
      <w:r>
        <w:rPr>
          <w:rFonts w:cs="Arial"/>
          <w:lang w:val="es-ES_tradnl" w:eastAsia="es-ES"/>
        </w:rPr>
        <w:t>-TP</w:t>
      </w:r>
      <w:r w:rsidRPr="003B26D9">
        <w:rPr>
          <w:rFonts w:cs="Arial"/>
          <w:lang w:val="es-ES_tradnl" w:eastAsia="es-ES"/>
        </w:rPr>
        <w:t>.</w:t>
      </w:r>
    </w:p>
    <w:p w14:paraId="53316D00" w14:textId="77777777" w:rsidR="007A7839" w:rsidRDefault="007A7839" w:rsidP="00E23D98">
      <w:pPr>
        <w:rPr>
          <w:rFonts w:cs="Arial"/>
          <w:lang w:val="es-ES_tradnl" w:eastAsia="es-ES"/>
        </w:rPr>
      </w:pPr>
      <w:r w:rsidRPr="001A141C">
        <w:rPr>
          <w:rFonts w:cs="Arial"/>
          <w:lang w:val="es-ES_tradnl" w:eastAsia="es-ES"/>
        </w:rPr>
        <w:t xml:space="preserve">Con la prestación de sus servicios </w:t>
      </w:r>
      <w:r>
        <w:rPr>
          <w:rFonts w:cs="Arial"/>
          <w:lang w:val="es-ES_tradnl" w:eastAsia="es-ES"/>
        </w:rPr>
        <w:t xml:space="preserve">de procesamiento </w:t>
      </w:r>
      <w:r w:rsidRPr="001A141C">
        <w:rPr>
          <w:rFonts w:cs="Arial"/>
          <w:lang w:val="es-ES_tradnl" w:eastAsia="es-ES"/>
        </w:rPr>
        <w:t>a SINPE-TP, el adquirente debe mantener un nivel de disponibilidad de al menos 99</w:t>
      </w:r>
      <w:r>
        <w:rPr>
          <w:rFonts w:cs="Arial"/>
          <w:lang w:val="es-ES_tradnl" w:eastAsia="es-ES"/>
        </w:rPr>
        <w:t>,</w:t>
      </w:r>
      <w:r w:rsidRPr="001A141C">
        <w:rPr>
          <w:rFonts w:cs="Arial"/>
          <w:lang w:val="es-ES_tradnl" w:eastAsia="es-ES"/>
        </w:rPr>
        <w:t>99%.</w:t>
      </w:r>
      <w:r>
        <w:rPr>
          <w:rFonts w:cs="Arial"/>
          <w:lang w:val="es-ES_tradnl" w:eastAsia="es-ES"/>
        </w:rPr>
        <w:t xml:space="preserve"> </w:t>
      </w:r>
      <w:r w:rsidRPr="001A141C">
        <w:rPr>
          <w:rFonts w:cs="Arial"/>
          <w:lang w:val="es-ES_tradnl" w:eastAsia="es-ES"/>
        </w:rPr>
        <w:t xml:space="preserve">También deberá atender diligentemente en tiempo y forma las solicitudes de trabajo y las mejoras </w:t>
      </w:r>
      <w:r>
        <w:rPr>
          <w:rFonts w:cs="Arial"/>
          <w:lang w:val="es-ES_tradnl" w:eastAsia="es-ES"/>
        </w:rPr>
        <w:t>a la plataforma</w:t>
      </w:r>
      <w:r w:rsidRPr="001A141C">
        <w:rPr>
          <w:rFonts w:cs="Arial"/>
          <w:lang w:val="es-ES_tradnl" w:eastAsia="es-ES"/>
        </w:rPr>
        <w:t xml:space="preserve"> SINPE-TP que requieran de su participación como adquirente del sistema.</w:t>
      </w:r>
    </w:p>
    <w:p w14:paraId="2A2F7BE8" w14:textId="77777777" w:rsidR="007A7839" w:rsidRPr="008F1503" w:rsidRDefault="007A7839" w:rsidP="00E23D98">
      <w:pPr>
        <w:rPr>
          <w:rFonts w:cs="Arial"/>
          <w:lang w:val="es-ES_tradnl" w:eastAsia="es-ES"/>
        </w:rPr>
      </w:pPr>
      <w:r w:rsidRPr="00CF263B">
        <w:rPr>
          <w:rFonts w:cs="Arial"/>
          <w:lang w:val="es-ES_tradnl" w:eastAsia="es-ES"/>
        </w:rPr>
        <w:t xml:space="preserve">Las tasas de comisión de adquirencia resultantes del proceso de subasta competida que establece el artículo 38 del Reglamento de Sistemas Nacional de Pago Electrónico en el Transporte Público, serán comunicadas oficialmente por el BCCR a los entes de regulación y operadores de transporte dentro de los cinco días hábiles siguientes al cierre del proceso de subasta. </w:t>
      </w:r>
    </w:p>
    <w:p w14:paraId="7AB14420" w14:textId="77777777" w:rsidR="007A7839" w:rsidRDefault="007A7839" w:rsidP="00E23D98">
      <w:pPr>
        <w:pStyle w:val="Ttulo3"/>
        <w:numPr>
          <w:ilvl w:val="2"/>
          <w:numId w:val="3"/>
        </w:numPr>
        <w:tabs>
          <w:tab w:val="clear" w:pos="624"/>
        </w:tabs>
        <w:spacing w:line="276" w:lineRule="auto"/>
        <w:ind w:left="426" w:hanging="360"/>
      </w:pPr>
      <w:bookmarkStart w:id="144" w:name="_Toc213828786"/>
      <w:bookmarkStart w:id="145" w:name="_Toc216697970"/>
      <w:bookmarkStart w:id="146" w:name="_Hlk212197577"/>
      <w:r>
        <w:t>Cobro y liquidación de comisiones</w:t>
      </w:r>
      <w:bookmarkEnd w:id="144"/>
      <w:bookmarkEnd w:id="145"/>
    </w:p>
    <w:bookmarkEnd w:id="146"/>
    <w:p w14:paraId="7D8F7F73" w14:textId="77777777" w:rsidR="007A7839" w:rsidRPr="002E7E32" w:rsidRDefault="007A7839" w:rsidP="00E23D98">
      <w:pPr>
        <w:rPr>
          <w:lang w:val="es-ES_tradnl" w:eastAsia="es-ES"/>
        </w:rPr>
      </w:pPr>
      <w:r w:rsidRPr="002E7E32">
        <w:rPr>
          <w:lang w:val="es-ES_tradnl" w:eastAsia="es-ES"/>
        </w:rPr>
        <w:t>La tasa de comisión del servicio de adquirencia se establece con base en las tasas comunicadas al BCCR por los adquirentes</w:t>
      </w:r>
      <w:r>
        <w:rPr>
          <w:lang w:val="es-ES_tradnl" w:eastAsia="es-ES"/>
        </w:rPr>
        <w:t>,</w:t>
      </w:r>
      <w:r w:rsidRPr="002E7E32">
        <w:rPr>
          <w:lang w:val="es-ES_tradnl" w:eastAsia="es-ES"/>
        </w:rPr>
        <w:t xml:space="preserve"> y de conformidad con el procedimiento competido para el procesamiento de transacciones que establece el artículo </w:t>
      </w:r>
      <w:r>
        <w:rPr>
          <w:lang w:val="es-ES_tradnl" w:eastAsia="es-ES"/>
        </w:rPr>
        <w:t>38</w:t>
      </w:r>
      <w:r w:rsidRPr="002E7E32">
        <w:rPr>
          <w:lang w:val="es-ES_tradnl" w:eastAsia="es-ES"/>
        </w:rPr>
        <w:t xml:space="preserve"> del Reglamento </w:t>
      </w:r>
      <w:r>
        <w:rPr>
          <w:lang w:val="es-ES_tradnl" w:eastAsia="es-ES"/>
        </w:rPr>
        <w:t>de SINPE-TP</w:t>
      </w:r>
      <w:r w:rsidRPr="002E7E32">
        <w:rPr>
          <w:lang w:val="es-ES_tradnl" w:eastAsia="es-ES"/>
        </w:rPr>
        <w:t>.</w:t>
      </w:r>
    </w:p>
    <w:p w14:paraId="05195A7D" w14:textId="77777777" w:rsidR="007A7839" w:rsidRPr="002E7E32" w:rsidRDefault="007A7839" w:rsidP="00E23D98">
      <w:pPr>
        <w:rPr>
          <w:rFonts w:cs="Arial"/>
          <w:lang w:val="es-ES_tradnl" w:eastAsia="es-ES"/>
        </w:rPr>
      </w:pPr>
      <w:r w:rsidRPr="002E7E32">
        <w:rPr>
          <w:rFonts w:cs="Arial"/>
          <w:lang w:val="es-ES_tradnl" w:eastAsia="es-ES"/>
        </w:rPr>
        <w:t>La comisión por el servicio de adquirencia se cobra sobre el monto de las transacciones efectivamente liquidadas a los operadores de transporte (según el inciso c)</w:t>
      </w:r>
      <w:r>
        <w:rPr>
          <w:rFonts w:cs="Arial"/>
          <w:lang w:val="es-ES_tradnl" w:eastAsia="es-ES"/>
        </w:rPr>
        <w:t xml:space="preserve">, </w:t>
      </w:r>
      <w:r w:rsidRPr="002E7E32">
        <w:rPr>
          <w:rFonts w:cs="Arial"/>
          <w:lang w:val="es-ES_tradnl" w:eastAsia="es-ES"/>
        </w:rPr>
        <w:t xml:space="preserve">del apartado </w:t>
      </w:r>
      <w:r>
        <w:rPr>
          <w:rFonts w:cs="Arial"/>
          <w:lang w:val="es-ES_tradnl" w:eastAsia="es-ES"/>
        </w:rPr>
        <w:t>3</w:t>
      </w:r>
      <w:r w:rsidRPr="002E7E32">
        <w:rPr>
          <w:rFonts w:cs="Arial"/>
          <w:lang w:val="es-ES_tradnl" w:eastAsia="es-ES"/>
        </w:rPr>
        <w:t>.2</w:t>
      </w:r>
      <w:r>
        <w:rPr>
          <w:rFonts w:cs="Arial"/>
          <w:lang w:val="es-ES_tradnl" w:eastAsia="es-ES"/>
        </w:rPr>
        <w:t xml:space="preserve"> de la presente norma complementaria</w:t>
      </w:r>
      <w:r w:rsidRPr="002E7E32">
        <w:rPr>
          <w:rFonts w:cs="Arial"/>
          <w:lang w:val="es-ES_tradnl" w:eastAsia="es-ES"/>
        </w:rPr>
        <w:t xml:space="preserve">) y de conformidad con lo dispuesto por el artículo </w:t>
      </w:r>
      <w:r>
        <w:rPr>
          <w:rFonts w:cs="Arial"/>
          <w:lang w:val="es-ES_tradnl" w:eastAsia="es-ES"/>
        </w:rPr>
        <w:t>45</w:t>
      </w:r>
      <w:r w:rsidRPr="002E7E32">
        <w:rPr>
          <w:rFonts w:cs="Arial"/>
          <w:lang w:val="es-ES_tradnl" w:eastAsia="es-ES"/>
        </w:rPr>
        <w:t xml:space="preserve"> del Reglamento </w:t>
      </w:r>
      <w:bookmarkStart w:id="147" w:name="_Hlk134124199"/>
      <w:r>
        <w:rPr>
          <w:rFonts w:cs="Arial"/>
          <w:lang w:val="es-ES_tradnl" w:eastAsia="es-ES"/>
        </w:rPr>
        <w:t>de SINPE-TP</w:t>
      </w:r>
      <w:r w:rsidRPr="002E7E32">
        <w:rPr>
          <w:rFonts w:cs="Arial"/>
          <w:lang w:val="es-ES_tradnl" w:eastAsia="es-ES"/>
        </w:rPr>
        <w:t>.</w:t>
      </w:r>
      <w:r>
        <w:rPr>
          <w:rFonts w:cs="Arial"/>
          <w:lang w:val="es-ES_tradnl" w:eastAsia="es-ES"/>
        </w:rPr>
        <w:t xml:space="preserve"> </w:t>
      </w:r>
      <w:r w:rsidRPr="002E7E32">
        <w:rPr>
          <w:rFonts w:cs="Arial"/>
          <w:lang w:val="es-ES_tradnl" w:eastAsia="es-ES"/>
        </w:rPr>
        <w:t xml:space="preserve">Dicha comisión </w:t>
      </w:r>
      <w:bookmarkStart w:id="148" w:name="_Hlk134124572"/>
      <w:r w:rsidRPr="002E7E32">
        <w:rPr>
          <w:rFonts w:cs="Arial"/>
          <w:lang w:val="es-ES_tradnl" w:eastAsia="es-ES"/>
        </w:rPr>
        <w:t xml:space="preserve">es cobrada directamente por los adquirentes </w:t>
      </w:r>
      <w:bookmarkEnd w:id="148"/>
      <w:r w:rsidRPr="002E7E32">
        <w:rPr>
          <w:rFonts w:cs="Arial"/>
          <w:lang w:val="es-ES_tradnl" w:eastAsia="es-ES"/>
        </w:rPr>
        <w:t xml:space="preserve">y deducida por </w:t>
      </w:r>
      <w:r>
        <w:rPr>
          <w:rFonts w:cs="Arial"/>
          <w:lang w:val="es-ES_tradnl" w:eastAsia="es-ES"/>
        </w:rPr>
        <w:t xml:space="preserve">el Sistema Central de Recaudo </w:t>
      </w:r>
      <w:r w:rsidRPr="002E7E32">
        <w:rPr>
          <w:rFonts w:cs="Arial"/>
          <w:lang w:val="es-ES_tradnl" w:eastAsia="es-ES"/>
        </w:rPr>
        <w:t>de los ingresos tarifarios de los operadores, en el ciclo de liquidación dentro del cual corresponda su pago.</w:t>
      </w:r>
      <w:bookmarkEnd w:id="147"/>
    </w:p>
    <w:p w14:paraId="38B11CB1" w14:textId="77777777" w:rsidR="007A7839" w:rsidRDefault="007A7839" w:rsidP="00E23D98">
      <w:pPr>
        <w:rPr>
          <w:rFonts w:cs="Arial"/>
          <w:lang w:val="es-ES_tradnl" w:eastAsia="es-ES"/>
        </w:rPr>
      </w:pPr>
      <w:r w:rsidRPr="00BA2173">
        <w:rPr>
          <w:rFonts w:cs="Arial"/>
          <w:lang w:val="es-ES_tradnl" w:eastAsia="es-ES"/>
        </w:rPr>
        <w:t>Las transacciones que presenten un problema en su procesamiento</w:t>
      </w:r>
      <w:r>
        <w:rPr>
          <w:rFonts w:cs="Arial"/>
          <w:lang w:val="es-ES_tradnl" w:eastAsia="es-ES"/>
        </w:rPr>
        <w:t xml:space="preserve"> </w:t>
      </w:r>
      <w:r w:rsidRPr="00BA2173">
        <w:rPr>
          <w:rFonts w:cs="Arial"/>
          <w:lang w:val="es-ES_tradnl" w:eastAsia="es-ES"/>
        </w:rPr>
        <w:t xml:space="preserve">por el </w:t>
      </w:r>
      <w:r>
        <w:rPr>
          <w:rFonts w:cs="Arial"/>
          <w:lang w:val="es-ES_tradnl" w:eastAsia="es-ES"/>
        </w:rPr>
        <w:t xml:space="preserve">que </w:t>
      </w:r>
      <w:r w:rsidRPr="00BA2173">
        <w:rPr>
          <w:rFonts w:cs="Arial"/>
          <w:lang w:val="es-ES_tradnl" w:eastAsia="es-ES"/>
        </w:rPr>
        <w:t>deban liquidarse en un ciclo posterior al que le</w:t>
      </w:r>
      <w:r>
        <w:rPr>
          <w:rFonts w:cs="Arial"/>
          <w:lang w:val="es-ES_tradnl" w:eastAsia="es-ES"/>
        </w:rPr>
        <w:t>s</w:t>
      </w:r>
      <w:r w:rsidRPr="00BA2173">
        <w:rPr>
          <w:rFonts w:cs="Arial"/>
          <w:lang w:val="es-ES_tradnl" w:eastAsia="es-ES"/>
        </w:rPr>
        <w:t xml:space="preserve"> corresponde, estarán sujetas a la aplicación de una comisión de adquirencia igual a la menor tasa de comisión cobrada por los adquirentes para las transacciones de SINPE-TP.</w:t>
      </w:r>
    </w:p>
    <w:p w14:paraId="7DA67D60" w14:textId="77777777" w:rsidR="007A7839" w:rsidRPr="00AA4635" w:rsidRDefault="007A7839" w:rsidP="00E23D98">
      <w:pPr>
        <w:rPr>
          <w:rFonts w:cs="Arial"/>
          <w:szCs w:val="20"/>
        </w:rPr>
      </w:pPr>
      <w:r w:rsidRPr="002E7E32">
        <w:rPr>
          <w:rFonts w:cs="Arial"/>
          <w:lang w:val="es-ES_tradnl" w:eastAsia="es-ES"/>
        </w:rPr>
        <w:t xml:space="preserve">La comisión de adquirencia se calcula tomando cada transacción individualmente y su resultado es redondeado a dos decimales. </w:t>
      </w:r>
      <w:r>
        <w:rPr>
          <w:rFonts w:cs="Arial"/>
          <w:lang w:val="es-ES_tradnl" w:eastAsia="es-ES"/>
        </w:rPr>
        <w:t xml:space="preserve">Con </w:t>
      </w:r>
      <w:r w:rsidRPr="002E7E32">
        <w:rPr>
          <w:rFonts w:cs="Arial"/>
          <w:szCs w:val="20"/>
        </w:rPr>
        <w:t xml:space="preserve">la liquidación de los ingresos tarifarios, el BCCR </w:t>
      </w:r>
      <w:r w:rsidRPr="00AA4635">
        <w:rPr>
          <w:rFonts w:cs="Arial"/>
          <w:szCs w:val="20"/>
        </w:rPr>
        <w:t>informará al operador de transporte el monto total de la comisión cobrada sobre sus transacciones y pondrá a su disposición el detalle por transacción.</w:t>
      </w:r>
    </w:p>
    <w:p w14:paraId="7724CC39" w14:textId="77777777" w:rsidR="007A7839" w:rsidRDefault="007A7839" w:rsidP="00E23D98">
      <w:pPr>
        <w:rPr>
          <w:lang w:val="es-ES_tradnl" w:eastAsia="es-ES"/>
        </w:rPr>
      </w:pPr>
      <w:bookmarkStart w:id="149" w:name="_Hlk212197690"/>
      <w:r w:rsidRPr="00AA4635">
        <w:rPr>
          <w:lang w:val="es-ES_tradnl" w:eastAsia="es-ES"/>
        </w:rPr>
        <w:lastRenderedPageBreak/>
        <w:t>El BCCR divulgará las tasas de comisión de los adquirentes mediante su página web, y las tasas efectivas de cobro las comunicará a los operadores de transporte mediante los reportes diarios de liquidación de transacciones distribuidos por el Sistema Central de Recaudo</w:t>
      </w:r>
      <w:bookmarkEnd w:id="149"/>
      <w:r>
        <w:rPr>
          <w:lang w:val="es-ES_tradnl" w:eastAsia="es-ES"/>
        </w:rPr>
        <w:t>.</w:t>
      </w:r>
    </w:p>
    <w:p w14:paraId="59BBACC1" w14:textId="77777777" w:rsidR="007A7839" w:rsidRDefault="007A7839" w:rsidP="00FA10A3">
      <w:pPr>
        <w:pStyle w:val="Ttulo3"/>
        <w:numPr>
          <w:ilvl w:val="2"/>
          <w:numId w:val="3"/>
        </w:numPr>
        <w:tabs>
          <w:tab w:val="clear" w:pos="624"/>
        </w:tabs>
        <w:spacing w:line="276" w:lineRule="auto"/>
        <w:ind w:left="426" w:hanging="426"/>
      </w:pPr>
      <w:bookmarkStart w:id="150" w:name="_Toc213828787"/>
      <w:bookmarkStart w:id="151" w:name="_Toc216697971"/>
      <w:r>
        <w:t>Conservación de datos de la autorización de transacciones</w:t>
      </w:r>
      <w:bookmarkEnd w:id="150"/>
      <w:bookmarkEnd w:id="151"/>
    </w:p>
    <w:p w14:paraId="0FDF404F" w14:textId="77777777" w:rsidR="007A7839" w:rsidRPr="00A77B2C" w:rsidRDefault="007A7839" w:rsidP="00E23D98">
      <w:pPr>
        <w:rPr>
          <w:rFonts w:cs="Arial"/>
          <w:color w:val="000000"/>
          <w:szCs w:val="20"/>
          <w:lang w:eastAsia="es-ES"/>
        </w:rPr>
      </w:pPr>
      <w:bookmarkStart w:id="152" w:name="_Hlk163068951"/>
      <w:r w:rsidRPr="00A77B2C">
        <w:rPr>
          <w:rFonts w:cs="Arial"/>
          <w:color w:val="000000"/>
          <w:szCs w:val="20"/>
          <w:lang w:eastAsia="es-ES"/>
        </w:rPr>
        <w:t xml:space="preserve">El BCCR </w:t>
      </w:r>
      <w:r>
        <w:rPr>
          <w:rFonts w:cs="Arial"/>
          <w:color w:val="000000"/>
          <w:szCs w:val="20"/>
          <w:lang w:eastAsia="es-ES"/>
        </w:rPr>
        <w:t xml:space="preserve">conservará </w:t>
      </w:r>
      <w:r w:rsidRPr="00A77B2C">
        <w:rPr>
          <w:rFonts w:cs="Arial"/>
          <w:color w:val="000000"/>
          <w:szCs w:val="20"/>
          <w:lang w:eastAsia="es-ES"/>
        </w:rPr>
        <w:t>hasta por un máximo de 14 días naturales</w:t>
      </w:r>
      <w:r>
        <w:rPr>
          <w:rFonts w:cs="Arial"/>
          <w:color w:val="000000"/>
          <w:szCs w:val="20"/>
          <w:lang w:eastAsia="es-ES"/>
        </w:rPr>
        <w:t>,</w:t>
      </w:r>
      <w:r w:rsidRPr="00A77B2C">
        <w:rPr>
          <w:rFonts w:cs="Arial"/>
          <w:color w:val="000000"/>
          <w:szCs w:val="20"/>
          <w:lang w:eastAsia="es-ES"/>
        </w:rPr>
        <w:t xml:space="preserve"> una copia de los datos con los que el emisor autoriza una transacción</w:t>
      </w:r>
      <w:r>
        <w:rPr>
          <w:rFonts w:cs="Arial"/>
          <w:color w:val="000000"/>
          <w:szCs w:val="20"/>
          <w:lang w:eastAsia="es-ES"/>
        </w:rPr>
        <w:t xml:space="preserve">. Esta copia la mantiene el BCCR como medida contingente, </w:t>
      </w:r>
      <w:r w:rsidRPr="00A77B2C">
        <w:rPr>
          <w:rFonts w:cs="Arial"/>
          <w:color w:val="000000"/>
          <w:szCs w:val="20"/>
          <w:lang w:eastAsia="es-ES"/>
        </w:rPr>
        <w:t xml:space="preserve">de conformidad con los parámetros </w:t>
      </w:r>
      <w:r w:rsidRPr="00CF263B">
        <w:rPr>
          <w:lang w:val="es-ES_tradnl" w:eastAsia="es-ES"/>
        </w:rPr>
        <w:t>de</w:t>
      </w:r>
      <w:r w:rsidRPr="00A77B2C">
        <w:rPr>
          <w:rFonts w:cs="Arial"/>
          <w:color w:val="000000"/>
          <w:szCs w:val="20"/>
          <w:lang w:eastAsia="es-ES"/>
        </w:rPr>
        <w:t xml:space="preserve"> riesgo de SINPE−TP</w:t>
      </w:r>
      <w:bookmarkEnd w:id="152"/>
      <w:r w:rsidRPr="00A77B2C">
        <w:rPr>
          <w:rFonts w:cs="Arial"/>
          <w:color w:val="000000"/>
          <w:szCs w:val="20"/>
          <w:lang w:eastAsia="es-ES"/>
        </w:rPr>
        <w:t>.</w:t>
      </w:r>
    </w:p>
    <w:p w14:paraId="02B2C229" w14:textId="77777777" w:rsidR="007A7839" w:rsidRDefault="007A7839" w:rsidP="00A40A30">
      <w:pPr>
        <w:pStyle w:val="Ttulo3"/>
        <w:numPr>
          <w:ilvl w:val="2"/>
          <w:numId w:val="3"/>
        </w:numPr>
        <w:tabs>
          <w:tab w:val="clear" w:pos="624"/>
        </w:tabs>
        <w:spacing w:line="276" w:lineRule="auto"/>
        <w:ind w:left="426" w:hanging="426"/>
      </w:pPr>
      <w:bookmarkStart w:id="153" w:name="_Toc213828788"/>
      <w:bookmarkStart w:id="154" w:name="_Toc216697972"/>
      <w:r>
        <w:t>Interoperabilidad de pagos</w:t>
      </w:r>
      <w:bookmarkEnd w:id="153"/>
      <w:bookmarkEnd w:id="154"/>
      <w:r>
        <w:t xml:space="preserve"> </w:t>
      </w:r>
    </w:p>
    <w:p w14:paraId="1ECF5FDC" w14:textId="77777777" w:rsidR="007A7839" w:rsidRDefault="007A7839" w:rsidP="00E23D98">
      <w:pPr>
        <w:rPr>
          <w:lang w:val="es-ES_tradnl" w:eastAsia="es-ES"/>
        </w:rPr>
      </w:pPr>
      <w:r>
        <w:rPr>
          <w:lang w:val="es-ES_tradnl" w:eastAsia="es-ES"/>
        </w:rPr>
        <w:t>El adquirente debe preparar y mantener su infraestructura habilitada para el procesamiento de las transacciones de todas las marcas de tarjetas que sean válidas dentro del ecosistema de pagos de SINPE-TP.</w:t>
      </w:r>
    </w:p>
    <w:p w14:paraId="149D40E9" w14:textId="77777777" w:rsidR="007A7839" w:rsidRDefault="007A7839" w:rsidP="00E23D98">
      <w:pPr>
        <w:pStyle w:val="Ttulo2"/>
        <w:numPr>
          <w:ilvl w:val="1"/>
          <w:numId w:val="3"/>
        </w:numPr>
        <w:tabs>
          <w:tab w:val="clear" w:pos="510"/>
        </w:tabs>
        <w:spacing w:line="276" w:lineRule="auto"/>
        <w:ind w:left="229" w:hanging="229"/>
      </w:pPr>
      <w:bookmarkStart w:id="155" w:name="_Toc213828789"/>
      <w:bookmarkStart w:id="156" w:name="_Toc216697973"/>
      <w:r>
        <w:t>Servicio de pasarela de pagos</w:t>
      </w:r>
      <w:bookmarkEnd w:id="155"/>
      <w:bookmarkEnd w:id="156"/>
      <w:r>
        <w:t xml:space="preserve"> </w:t>
      </w:r>
    </w:p>
    <w:p w14:paraId="6FCFE7C9" w14:textId="77777777" w:rsidR="007A7839" w:rsidRPr="00EA119D" w:rsidRDefault="007A7839" w:rsidP="00E23D98">
      <w:pPr>
        <w:rPr>
          <w:lang w:val="es-ES_tradnl" w:eastAsia="es-ES"/>
        </w:rPr>
      </w:pPr>
      <w:r w:rsidRPr="00EA119D">
        <w:rPr>
          <w:lang w:val="es-ES_tradnl" w:eastAsia="es-ES"/>
        </w:rPr>
        <w:t xml:space="preserve">El servicio de pasarela de pagos se refiere a la gestión de cobro de las transacciones SINPE-TP que registran los usuarios en </w:t>
      </w:r>
      <w:r>
        <w:rPr>
          <w:lang w:val="es-ES_tradnl" w:eastAsia="es-ES"/>
        </w:rPr>
        <w:t xml:space="preserve">la red de </w:t>
      </w:r>
      <w:r w:rsidRPr="00EA119D">
        <w:rPr>
          <w:lang w:val="es-ES_tradnl" w:eastAsia="es-ES"/>
        </w:rPr>
        <w:t xml:space="preserve">equipos de validación, la cual se realiza con la participación del proveedor de la pasarela de </w:t>
      </w:r>
      <w:r>
        <w:rPr>
          <w:lang w:val="es-ES_tradnl" w:eastAsia="es-ES"/>
        </w:rPr>
        <w:t>transporte</w:t>
      </w:r>
      <w:r w:rsidRPr="00EA119D">
        <w:rPr>
          <w:lang w:val="es-ES_tradnl" w:eastAsia="es-ES"/>
        </w:rPr>
        <w:t>, los adquirentes, las entidades emisoras de los dispositivos de pago y el Sistema Central de Recaudo, de conformidad con lo establecido en la Contratación Directa 2021CD-000090-0004900001, denominada “CONTRATACIÓN DE HORAS DE SERVICIO PARA UNA SOLUCIÓN DE PASARELA DE TRANSPORTE, COMPONENTE ESENCIAL DEL SISTEMA NACIONAL DE PAGO ELECTRÓNICO EN EL TRANSPORTE PÚBLICO”.</w:t>
      </w:r>
    </w:p>
    <w:p w14:paraId="15FBEC41" w14:textId="77777777" w:rsidR="007A7839" w:rsidRDefault="007A7839" w:rsidP="00E23D98">
      <w:pPr>
        <w:pStyle w:val="Ttulo3"/>
        <w:numPr>
          <w:ilvl w:val="2"/>
          <w:numId w:val="3"/>
        </w:numPr>
        <w:tabs>
          <w:tab w:val="clear" w:pos="624"/>
        </w:tabs>
        <w:spacing w:line="276" w:lineRule="auto"/>
        <w:ind w:left="426" w:hanging="360"/>
      </w:pPr>
      <w:bookmarkStart w:id="157" w:name="_Toc213828790"/>
      <w:bookmarkStart w:id="158" w:name="_Toc216697974"/>
      <w:r>
        <w:t>Cobro y liquidación de comisiones</w:t>
      </w:r>
      <w:bookmarkEnd w:id="157"/>
      <w:bookmarkEnd w:id="158"/>
    </w:p>
    <w:p w14:paraId="7CA3322E" w14:textId="77777777" w:rsidR="007A7839" w:rsidRPr="00FF34FD" w:rsidRDefault="007A7839" w:rsidP="00E23D98">
      <w:pPr>
        <w:rPr>
          <w:lang w:val="es-ES_tradnl" w:eastAsia="es-ES"/>
        </w:rPr>
      </w:pPr>
      <w:r>
        <w:rPr>
          <w:lang w:val="es-ES_tradnl" w:eastAsia="es-ES"/>
        </w:rPr>
        <w:t xml:space="preserve">La tasa de comisión de los servicios de pasarela de transporte es de 1,50% (ad valorem), de acuerdo con lo establecido en la </w:t>
      </w:r>
      <w:r w:rsidRPr="00FF34FD">
        <w:rPr>
          <w:lang w:val="es-ES_tradnl" w:eastAsia="es-ES"/>
        </w:rPr>
        <w:t>Contratación Directa 2021CD-000090-0004900001</w:t>
      </w:r>
      <w:r>
        <w:rPr>
          <w:lang w:val="es-ES_tradnl" w:eastAsia="es-ES"/>
        </w:rPr>
        <w:t>. El BCCR comunicará esta tasa a los interesados mediante el Sistema Central de Recaudo y su página web.</w:t>
      </w:r>
      <w:r w:rsidRPr="00FF34FD">
        <w:rPr>
          <w:lang w:val="es-ES_tradnl" w:eastAsia="es-ES"/>
        </w:rPr>
        <w:t xml:space="preserve"> </w:t>
      </w:r>
    </w:p>
    <w:p w14:paraId="1BC9143C" w14:textId="77777777" w:rsidR="007A7839" w:rsidRDefault="007A7839" w:rsidP="00E23D98">
      <w:pPr>
        <w:rPr>
          <w:lang w:val="es-ES_tradnl" w:eastAsia="es-ES"/>
        </w:rPr>
      </w:pPr>
      <w:r w:rsidRPr="00FF34FD">
        <w:rPr>
          <w:lang w:val="es-ES_tradnl" w:eastAsia="es-ES"/>
        </w:rPr>
        <w:t xml:space="preserve">El cobro de la comisión a los operadores </w:t>
      </w:r>
      <w:r>
        <w:rPr>
          <w:lang w:val="es-ES_tradnl" w:eastAsia="es-ES"/>
        </w:rPr>
        <w:t xml:space="preserve">de transporte </w:t>
      </w:r>
      <w:r w:rsidRPr="00FF34FD">
        <w:rPr>
          <w:lang w:val="es-ES_tradnl" w:eastAsia="es-ES"/>
        </w:rPr>
        <w:t xml:space="preserve">se </w:t>
      </w:r>
      <w:r>
        <w:rPr>
          <w:lang w:val="es-ES_tradnl" w:eastAsia="es-ES"/>
        </w:rPr>
        <w:t>hace</w:t>
      </w:r>
      <w:r w:rsidRPr="00FF34FD">
        <w:rPr>
          <w:lang w:val="es-ES_tradnl" w:eastAsia="es-ES"/>
        </w:rPr>
        <w:t xml:space="preserve"> efectivo en forma diaria</w:t>
      </w:r>
      <w:r>
        <w:rPr>
          <w:lang w:val="es-ES_tradnl" w:eastAsia="es-ES"/>
        </w:rPr>
        <w:t xml:space="preserve">, aplicando la tasa de comisión </w:t>
      </w:r>
      <w:r w:rsidRPr="00FF34FD">
        <w:rPr>
          <w:lang w:val="es-ES_tradnl" w:eastAsia="es-ES"/>
        </w:rPr>
        <w:t xml:space="preserve">sobre el monto bruto </w:t>
      </w:r>
      <w:r>
        <w:rPr>
          <w:lang w:val="es-ES_tradnl" w:eastAsia="es-ES"/>
        </w:rPr>
        <w:t xml:space="preserve">agregado </w:t>
      </w:r>
      <w:r w:rsidRPr="00FF34FD">
        <w:rPr>
          <w:lang w:val="es-ES_tradnl" w:eastAsia="es-ES"/>
        </w:rPr>
        <w:t>de los ingresos tarifarios recaudado</w:t>
      </w:r>
      <w:r>
        <w:rPr>
          <w:lang w:val="es-ES_tradnl" w:eastAsia="es-ES"/>
        </w:rPr>
        <w:t>s</w:t>
      </w:r>
      <w:r w:rsidRPr="00FF34FD">
        <w:rPr>
          <w:lang w:val="es-ES_tradnl" w:eastAsia="es-ES"/>
        </w:rPr>
        <w:t xml:space="preserve"> y liquidado</w:t>
      </w:r>
      <w:r>
        <w:rPr>
          <w:lang w:val="es-ES_tradnl" w:eastAsia="es-ES"/>
        </w:rPr>
        <w:t>s</w:t>
      </w:r>
      <w:r w:rsidRPr="00FF34FD">
        <w:rPr>
          <w:lang w:val="es-ES_tradnl" w:eastAsia="es-ES"/>
        </w:rPr>
        <w:t xml:space="preserve"> por medio de SINPE-TP durante el </w:t>
      </w:r>
      <w:r>
        <w:rPr>
          <w:lang w:val="es-ES_tradnl" w:eastAsia="es-ES"/>
        </w:rPr>
        <w:t xml:space="preserve">ciclo de liquidación </w:t>
      </w:r>
      <w:r w:rsidRPr="00FF34FD">
        <w:rPr>
          <w:lang w:val="es-ES_tradnl" w:eastAsia="es-ES"/>
        </w:rPr>
        <w:t>respectivo</w:t>
      </w:r>
      <w:r>
        <w:rPr>
          <w:lang w:val="es-ES_tradnl" w:eastAsia="es-ES"/>
        </w:rPr>
        <w:t>.</w:t>
      </w:r>
    </w:p>
    <w:p w14:paraId="0C1A0FA7" w14:textId="77777777" w:rsidR="007A7839" w:rsidRDefault="007A7839" w:rsidP="00E23D98">
      <w:pPr>
        <w:pStyle w:val="Ttulo2"/>
        <w:numPr>
          <w:ilvl w:val="1"/>
          <w:numId w:val="3"/>
        </w:numPr>
        <w:tabs>
          <w:tab w:val="clear" w:pos="510"/>
        </w:tabs>
        <w:spacing w:line="276" w:lineRule="auto"/>
        <w:ind w:left="229" w:hanging="229"/>
      </w:pPr>
      <w:bookmarkStart w:id="159" w:name="_Toc177998399"/>
      <w:bookmarkStart w:id="160" w:name="_Toc178505013"/>
      <w:bookmarkStart w:id="161" w:name="_Toc178522761"/>
      <w:bookmarkStart w:id="162" w:name="_Toc178596996"/>
      <w:bookmarkStart w:id="163" w:name="_Toc178597055"/>
      <w:bookmarkStart w:id="164" w:name="_Toc213828791"/>
      <w:bookmarkStart w:id="165" w:name="_Toc216697975"/>
      <w:bookmarkEnd w:id="159"/>
      <w:bookmarkEnd w:id="160"/>
      <w:bookmarkEnd w:id="161"/>
      <w:bookmarkEnd w:id="162"/>
      <w:bookmarkEnd w:id="163"/>
      <w:r>
        <w:t>Servicio de validación</w:t>
      </w:r>
      <w:bookmarkEnd w:id="164"/>
      <w:bookmarkEnd w:id="165"/>
    </w:p>
    <w:p w14:paraId="5ED72294" w14:textId="77777777" w:rsidR="007A7839" w:rsidRPr="003B26D9" w:rsidRDefault="007A7839" w:rsidP="00E23D98">
      <w:pPr>
        <w:rPr>
          <w:lang w:val="es-ES_tradnl" w:eastAsia="es-ES"/>
        </w:rPr>
      </w:pPr>
      <w:r w:rsidRPr="003B26D9">
        <w:rPr>
          <w:lang w:val="es-ES_tradnl" w:eastAsia="es-ES"/>
        </w:rPr>
        <w:t>El servicio de validación de SINPE-TP se refiere al conjunto de protocolos de comunicación, estándares de seguridad, procedimientos operativos e infraestructura tecnológica que interviene</w:t>
      </w:r>
      <w:r w:rsidRPr="00FF34FD">
        <w:rPr>
          <w:lang w:val="es-ES_tradnl" w:eastAsia="es-ES"/>
        </w:rPr>
        <w:t>n</w:t>
      </w:r>
      <w:r w:rsidRPr="003B26D9">
        <w:rPr>
          <w:lang w:val="es-ES_tradnl" w:eastAsia="es-ES"/>
        </w:rPr>
        <w:t xml:space="preserve"> en el registro de transacciones</w:t>
      </w:r>
      <w:r w:rsidRPr="00FF34FD">
        <w:rPr>
          <w:lang w:val="es-ES_tradnl" w:eastAsia="es-ES"/>
        </w:rPr>
        <w:t xml:space="preserve"> </w:t>
      </w:r>
      <w:r w:rsidRPr="003B26D9">
        <w:rPr>
          <w:lang w:val="es-ES_tradnl" w:eastAsia="es-ES"/>
        </w:rPr>
        <w:t xml:space="preserve">en </w:t>
      </w:r>
      <w:r>
        <w:rPr>
          <w:lang w:val="es-ES_tradnl" w:eastAsia="es-ES"/>
        </w:rPr>
        <w:t xml:space="preserve">la red de </w:t>
      </w:r>
      <w:r w:rsidRPr="00FF34FD">
        <w:rPr>
          <w:lang w:val="es-ES_tradnl" w:eastAsia="es-ES"/>
        </w:rPr>
        <w:t>validadores</w:t>
      </w:r>
      <w:r w:rsidRPr="003B26D9">
        <w:rPr>
          <w:lang w:val="es-ES_tradnl" w:eastAsia="es-ES"/>
        </w:rPr>
        <w:t xml:space="preserve">, </w:t>
      </w:r>
      <w:r>
        <w:rPr>
          <w:lang w:val="es-ES_tradnl" w:eastAsia="es-ES"/>
        </w:rPr>
        <w:t xml:space="preserve">así como a </w:t>
      </w:r>
      <w:r w:rsidRPr="003B26D9">
        <w:rPr>
          <w:lang w:val="es-ES_tradnl" w:eastAsia="es-ES"/>
        </w:rPr>
        <w:t xml:space="preserve">la administración local de las listas de denegación de dispositivos de pago y </w:t>
      </w:r>
      <w:r>
        <w:rPr>
          <w:lang w:val="es-ES_tradnl" w:eastAsia="es-ES"/>
        </w:rPr>
        <w:t xml:space="preserve">el envío </w:t>
      </w:r>
      <w:r w:rsidRPr="003B26D9">
        <w:rPr>
          <w:lang w:val="es-ES_tradnl" w:eastAsia="es-ES"/>
        </w:rPr>
        <w:t xml:space="preserve">de </w:t>
      </w:r>
      <w:r w:rsidRPr="00FF34FD">
        <w:rPr>
          <w:lang w:val="es-ES_tradnl" w:eastAsia="es-ES"/>
        </w:rPr>
        <w:t xml:space="preserve">transacciones </w:t>
      </w:r>
      <w:r w:rsidRPr="003B26D9">
        <w:rPr>
          <w:lang w:val="es-ES_tradnl" w:eastAsia="es-ES"/>
        </w:rPr>
        <w:t>al Sistema Central de Recaudo</w:t>
      </w:r>
      <w:r w:rsidRPr="00FF34FD">
        <w:rPr>
          <w:lang w:val="es-ES_tradnl" w:eastAsia="es-ES"/>
        </w:rPr>
        <w:t xml:space="preserve"> para </w:t>
      </w:r>
      <w:r>
        <w:rPr>
          <w:lang w:val="es-ES_tradnl" w:eastAsia="es-ES"/>
        </w:rPr>
        <w:t>su gestión cobratoria</w:t>
      </w:r>
      <w:r w:rsidRPr="003B26D9">
        <w:rPr>
          <w:lang w:val="es-ES_tradnl" w:eastAsia="es-ES"/>
        </w:rPr>
        <w:t xml:space="preserve">, de conformidad con las condiciones establecidas en el </w:t>
      </w:r>
      <w:r>
        <w:rPr>
          <w:lang w:val="es-ES_tradnl" w:eastAsia="es-ES"/>
        </w:rPr>
        <w:t xml:space="preserve">Reglamento de </w:t>
      </w:r>
      <w:r w:rsidRPr="003B26D9">
        <w:rPr>
          <w:lang w:val="es-ES_tradnl" w:eastAsia="es-ES"/>
        </w:rPr>
        <w:t xml:space="preserve">SINPE-TP y las </w:t>
      </w:r>
      <w:r>
        <w:rPr>
          <w:lang w:val="es-ES_tradnl" w:eastAsia="es-ES"/>
        </w:rPr>
        <w:t xml:space="preserve">siguientes </w:t>
      </w:r>
      <w:r w:rsidRPr="003B26D9">
        <w:rPr>
          <w:lang w:val="es-ES_tradnl" w:eastAsia="es-ES"/>
        </w:rPr>
        <w:t>normas técnicas</w:t>
      </w:r>
      <w:r>
        <w:rPr>
          <w:lang w:val="es-ES_tradnl" w:eastAsia="es-ES"/>
        </w:rPr>
        <w:t>, las</w:t>
      </w:r>
      <w:bookmarkStart w:id="166" w:name="_Toc103256006"/>
      <w:bookmarkStart w:id="167" w:name="_Toc103258164"/>
      <w:bookmarkStart w:id="168" w:name="_Toc103258228"/>
      <w:bookmarkStart w:id="169" w:name="_Toc103256007"/>
      <w:bookmarkStart w:id="170" w:name="_Toc103258165"/>
      <w:bookmarkStart w:id="171" w:name="_Toc103258229"/>
      <w:bookmarkStart w:id="172" w:name="_Toc103256008"/>
      <w:bookmarkStart w:id="173" w:name="_Toc103258166"/>
      <w:bookmarkStart w:id="174" w:name="_Toc103258230"/>
      <w:bookmarkStart w:id="175" w:name="_Toc103256009"/>
      <w:bookmarkStart w:id="176" w:name="_Toc103258167"/>
      <w:bookmarkStart w:id="177" w:name="_Toc103258231"/>
      <w:bookmarkStart w:id="178" w:name="_Toc103967588"/>
      <w:bookmarkStart w:id="179" w:name="_Toc103967841"/>
      <w:bookmarkStart w:id="180" w:name="_Toc103968284"/>
      <w:bookmarkStart w:id="181" w:name="_Toc103968719"/>
      <w:bookmarkStart w:id="182" w:name="_Toc103969029"/>
      <w:bookmarkStart w:id="183" w:name="_Toc103969232"/>
      <w:bookmarkStart w:id="184" w:name="_Toc103969559"/>
      <w:bookmarkStart w:id="185" w:name="_Toc103969692"/>
      <w:bookmarkStart w:id="186" w:name="_Toc103967590"/>
      <w:bookmarkStart w:id="187" w:name="_Toc103967843"/>
      <w:bookmarkStart w:id="188" w:name="_Toc103968286"/>
      <w:bookmarkStart w:id="189" w:name="_Toc103968721"/>
      <w:bookmarkStart w:id="190" w:name="_Toc103969031"/>
      <w:bookmarkStart w:id="191" w:name="_Toc103969234"/>
      <w:bookmarkStart w:id="192" w:name="_Toc103969561"/>
      <w:bookmarkStart w:id="193" w:name="_Toc103969694"/>
      <w:bookmarkStart w:id="194" w:name="_Toc103967591"/>
      <w:bookmarkStart w:id="195" w:name="_Toc103967844"/>
      <w:bookmarkStart w:id="196" w:name="_Toc103968287"/>
      <w:bookmarkStart w:id="197" w:name="_Toc103968722"/>
      <w:bookmarkStart w:id="198" w:name="_Toc103969032"/>
      <w:bookmarkStart w:id="199" w:name="_Toc103969235"/>
      <w:bookmarkStart w:id="200" w:name="_Toc103969562"/>
      <w:bookmarkStart w:id="201" w:name="_Toc103969695"/>
      <w:bookmarkStart w:id="202" w:name="_Toc103967592"/>
      <w:bookmarkStart w:id="203" w:name="_Toc103967845"/>
      <w:bookmarkStart w:id="204" w:name="_Toc103968288"/>
      <w:bookmarkStart w:id="205" w:name="_Toc103968723"/>
      <w:bookmarkStart w:id="206" w:name="_Toc103969033"/>
      <w:bookmarkStart w:id="207" w:name="_Toc103969236"/>
      <w:bookmarkStart w:id="208" w:name="_Toc103969563"/>
      <w:bookmarkStart w:id="209" w:name="_Toc103969696"/>
      <w:bookmarkStart w:id="210" w:name="_Toc103967593"/>
      <w:bookmarkStart w:id="211" w:name="_Toc103967846"/>
      <w:bookmarkStart w:id="212" w:name="_Toc103968289"/>
      <w:bookmarkStart w:id="213" w:name="_Toc103968724"/>
      <w:bookmarkStart w:id="214" w:name="_Toc103969034"/>
      <w:bookmarkStart w:id="215" w:name="_Toc103969237"/>
      <w:bookmarkStart w:id="216" w:name="_Toc103969564"/>
      <w:bookmarkStart w:id="217" w:name="_Toc103969697"/>
      <w:bookmarkStart w:id="218" w:name="_Toc103967594"/>
      <w:bookmarkStart w:id="219" w:name="_Toc103967847"/>
      <w:bookmarkStart w:id="220" w:name="_Toc103968290"/>
      <w:bookmarkStart w:id="221" w:name="_Toc103968725"/>
      <w:bookmarkStart w:id="222" w:name="_Toc103969035"/>
      <w:bookmarkStart w:id="223" w:name="_Toc103969238"/>
      <w:bookmarkStart w:id="224" w:name="_Toc103969565"/>
      <w:bookmarkStart w:id="225" w:name="_Toc103969698"/>
      <w:bookmarkStart w:id="226" w:name="_Toc103967595"/>
      <w:bookmarkStart w:id="227" w:name="_Toc103967848"/>
      <w:bookmarkStart w:id="228" w:name="_Toc103968291"/>
      <w:bookmarkStart w:id="229" w:name="_Toc103968726"/>
      <w:bookmarkStart w:id="230" w:name="_Toc103969036"/>
      <w:bookmarkStart w:id="231" w:name="_Toc103969239"/>
      <w:bookmarkStart w:id="232" w:name="_Toc103969566"/>
      <w:bookmarkStart w:id="233" w:name="_Toc103969699"/>
      <w:bookmarkStart w:id="234" w:name="_Toc103967596"/>
      <w:bookmarkStart w:id="235" w:name="_Toc103967849"/>
      <w:bookmarkStart w:id="236" w:name="_Toc103968292"/>
      <w:bookmarkStart w:id="237" w:name="_Toc103968727"/>
      <w:bookmarkStart w:id="238" w:name="_Toc103969037"/>
      <w:bookmarkStart w:id="239" w:name="_Toc103969240"/>
      <w:bookmarkStart w:id="240" w:name="_Toc103969567"/>
      <w:bookmarkStart w:id="241" w:name="_Toc103969700"/>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Pr>
          <w:lang w:val="es-ES_tradnl" w:eastAsia="es-ES"/>
        </w:rPr>
        <w:t xml:space="preserve"> cuales son parte integral de la presente norma complementaria</w:t>
      </w:r>
      <w:r w:rsidRPr="00FF34FD">
        <w:rPr>
          <w:lang w:val="es-ES_tradnl" w:eastAsia="es-ES"/>
        </w:rPr>
        <w:t>:</w:t>
      </w:r>
    </w:p>
    <w:p w14:paraId="7E566858" w14:textId="77777777" w:rsidR="007A7839" w:rsidRPr="003B26D9" w:rsidRDefault="007A7839" w:rsidP="00E23D98">
      <w:pPr>
        <w:pStyle w:val="ListaVietas"/>
        <w:tabs>
          <w:tab w:val="clear" w:pos="425"/>
        </w:tabs>
        <w:spacing w:line="276" w:lineRule="auto"/>
        <w:ind w:left="851" w:hanging="425"/>
      </w:pPr>
      <w:r w:rsidRPr="003B26D9">
        <w:t>Norma Técnica – Homologación de equipos de validación para SINPE-TP.</w:t>
      </w:r>
    </w:p>
    <w:p w14:paraId="53EDFD57" w14:textId="77777777" w:rsidR="007A7839" w:rsidRDefault="007A7839" w:rsidP="00E23D98">
      <w:pPr>
        <w:pStyle w:val="ListaVietas"/>
        <w:tabs>
          <w:tab w:val="clear" w:pos="425"/>
        </w:tabs>
        <w:spacing w:line="276" w:lineRule="auto"/>
        <w:ind w:left="851" w:hanging="425"/>
      </w:pPr>
      <w:r w:rsidRPr="003B26D9">
        <w:t xml:space="preserve">Norma Técnica – Operación del Servicio de Validación </w:t>
      </w:r>
      <w:r>
        <w:t>de</w:t>
      </w:r>
      <w:r w:rsidRPr="003B26D9">
        <w:t xml:space="preserve"> SINPE-TP.</w:t>
      </w:r>
    </w:p>
    <w:p w14:paraId="6C1CD8BB" w14:textId="77777777" w:rsidR="007A7839" w:rsidRPr="00FF34FD" w:rsidRDefault="007A7839" w:rsidP="00E23D98">
      <w:pPr>
        <w:pStyle w:val="ListaVietas"/>
        <w:tabs>
          <w:tab w:val="clear" w:pos="425"/>
        </w:tabs>
        <w:spacing w:line="276" w:lineRule="auto"/>
        <w:ind w:left="851" w:hanging="425"/>
      </w:pPr>
      <w:r w:rsidRPr="003B26D9">
        <w:t xml:space="preserve">Norma Técnica – </w:t>
      </w:r>
      <w:r>
        <w:t>Estándar Electrónico para la Comunicación con los Adquirentes.</w:t>
      </w:r>
    </w:p>
    <w:p w14:paraId="29B36DE1" w14:textId="77777777" w:rsidR="007A7839" w:rsidRPr="00FF34FD" w:rsidRDefault="007A7839" w:rsidP="00E23D98">
      <w:pPr>
        <w:pStyle w:val="ListaVietas"/>
        <w:tabs>
          <w:tab w:val="clear" w:pos="425"/>
        </w:tabs>
        <w:spacing w:line="276" w:lineRule="auto"/>
        <w:ind w:left="851" w:hanging="425"/>
      </w:pPr>
      <w:r w:rsidRPr="003B26D9">
        <w:t xml:space="preserve">Norma Técnica – </w:t>
      </w:r>
      <w:r>
        <w:t>Estándar Electrónico para la Comunicación con los Operadores.</w:t>
      </w:r>
    </w:p>
    <w:p w14:paraId="638B1299" w14:textId="77777777" w:rsidR="007A7839" w:rsidRDefault="007A7839" w:rsidP="00E23D98">
      <w:pPr>
        <w:pStyle w:val="ListaVietas"/>
        <w:tabs>
          <w:tab w:val="clear" w:pos="425"/>
        </w:tabs>
        <w:spacing w:line="276" w:lineRule="auto"/>
        <w:ind w:left="851" w:hanging="425"/>
      </w:pPr>
      <w:r w:rsidRPr="00C53771">
        <w:t>Norma Técnica – Estándar Electrónico para el Registro de Tarjetas Monedero SINPE-TP.</w:t>
      </w:r>
    </w:p>
    <w:p w14:paraId="274908DC" w14:textId="66C449F7" w:rsidR="00393D0F" w:rsidRDefault="00BC2E59" w:rsidP="00E23D98">
      <w:pPr>
        <w:pStyle w:val="ListaVietas"/>
        <w:tabs>
          <w:tab w:val="clear" w:pos="425"/>
        </w:tabs>
        <w:spacing w:line="276" w:lineRule="auto"/>
        <w:ind w:left="851" w:hanging="425"/>
      </w:pPr>
      <w:r w:rsidRPr="00F45F52">
        <w:lastRenderedPageBreak/>
        <w:t xml:space="preserve">Norma </w:t>
      </w:r>
      <w:r w:rsidRPr="00BC2E59">
        <w:t>Técnica</w:t>
      </w:r>
      <w:r w:rsidRPr="00F45F52">
        <w:t xml:space="preserve"> - Estándar Electrónico para </w:t>
      </w:r>
      <w:r w:rsidR="003E7AD9">
        <w:t xml:space="preserve">la Activación </w:t>
      </w:r>
      <w:r w:rsidRPr="00F45F52">
        <w:t>de Tarjetas Monedero SINPE-TP en la Aplicación SINPE-TP Pasajero</w:t>
      </w:r>
      <w:r w:rsidR="00F503BE">
        <w:t>.</w:t>
      </w:r>
    </w:p>
    <w:p w14:paraId="01CD281F" w14:textId="77777777" w:rsidR="00393D0F" w:rsidRDefault="00393D0F" w:rsidP="00393D0F">
      <w:pPr>
        <w:rPr>
          <w:lang w:val="es-ES_tradnl" w:eastAsia="es-ES"/>
        </w:rPr>
      </w:pPr>
      <w:r w:rsidRPr="00393D0F">
        <w:rPr>
          <w:rFonts w:cs="Arial"/>
          <w:lang w:val="es-ES_tradnl" w:eastAsia="es-ES"/>
        </w:rPr>
        <w:t>Todas</w:t>
      </w:r>
      <w:r>
        <w:rPr>
          <w:lang w:val="es-ES_tradnl" w:eastAsia="es-ES"/>
        </w:rPr>
        <w:t xml:space="preserve"> estas </w:t>
      </w:r>
      <w:r w:rsidRPr="00FF34FD">
        <w:rPr>
          <w:lang w:val="es-ES_tradnl" w:eastAsia="es-ES"/>
        </w:rPr>
        <w:t xml:space="preserve">normas forman parte de la Serie de Normas </w:t>
      </w:r>
      <w:r>
        <w:rPr>
          <w:lang w:val="es-ES_tradnl" w:eastAsia="es-ES"/>
        </w:rPr>
        <w:t xml:space="preserve">Técnicas </w:t>
      </w:r>
      <w:r w:rsidRPr="00FF34FD">
        <w:rPr>
          <w:lang w:val="es-ES_tradnl" w:eastAsia="es-ES"/>
        </w:rPr>
        <w:t>de SINPE</w:t>
      </w:r>
      <w:r>
        <w:rPr>
          <w:lang w:val="es-ES_tradnl" w:eastAsia="es-ES"/>
        </w:rPr>
        <w:t>-TP.</w:t>
      </w:r>
    </w:p>
    <w:p w14:paraId="0CEFE211" w14:textId="77777777" w:rsidR="007A7839" w:rsidRDefault="007A7839" w:rsidP="00E23D98">
      <w:pPr>
        <w:pStyle w:val="Ttulo3"/>
        <w:numPr>
          <w:ilvl w:val="2"/>
          <w:numId w:val="3"/>
        </w:numPr>
        <w:tabs>
          <w:tab w:val="clear" w:pos="624"/>
        </w:tabs>
        <w:spacing w:line="276" w:lineRule="auto"/>
        <w:ind w:left="426" w:hanging="360"/>
      </w:pPr>
      <w:bookmarkStart w:id="242" w:name="_Toc213828792"/>
      <w:bookmarkStart w:id="243" w:name="_Toc216697976"/>
      <w:r>
        <w:t>Configuración de parámetros en los equipos de validación</w:t>
      </w:r>
      <w:bookmarkEnd w:id="242"/>
      <w:bookmarkEnd w:id="243"/>
      <w:r>
        <w:t xml:space="preserve"> </w:t>
      </w:r>
    </w:p>
    <w:p w14:paraId="69C06F9A" w14:textId="77777777" w:rsidR="007A7839" w:rsidRDefault="007A7839" w:rsidP="00E23D98">
      <w:pPr>
        <w:rPr>
          <w:rFonts w:cs="Arial"/>
          <w:lang w:val="es-ES_tradnl" w:eastAsia="es-ES"/>
        </w:rPr>
      </w:pPr>
      <w:r w:rsidRPr="003C1E20">
        <w:rPr>
          <w:rFonts w:cs="Arial"/>
          <w:lang w:val="es-ES_tradnl" w:eastAsia="es-ES"/>
        </w:rPr>
        <w:t>El BCCR configurar</w:t>
      </w:r>
      <w:r>
        <w:rPr>
          <w:rFonts w:cs="Arial"/>
          <w:lang w:val="es-ES_tradnl" w:eastAsia="es-ES"/>
        </w:rPr>
        <w:t>á</w:t>
      </w:r>
      <w:r w:rsidRPr="003C1E20">
        <w:rPr>
          <w:rFonts w:cs="Arial"/>
          <w:lang w:val="es-ES_tradnl" w:eastAsia="es-ES"/>
        </w:rPr>
        <w:t xml:space="preserve"> los </w:t>
      </w:r>
      <w:r>
        <w:rPr>
          <w:rFonts w:cs="Arial"/>
          <w:lang w:val="es-ES_tradnl" w:eastAsia="es-ES"/>
        </w:rPr>
        <w:t xml:space="preserve">parámetros de </w:t>
      </w:r>
      <w:r w:rsidRPr="003C1E20">
        <w:rPr>
          <w:rFonts w:cs="Arial"/>
          <w:lang w:val="es-ES_tradnl" w:eastAsia="es-ES"/>
        </w:rPr>
        <w:t xml:space="preserve">SINPE-TP </w:t>
      </w:r>
      <w:r>
        <w:rPr>
          <w:rFonts w:cs="Arial"/>
          <w:lang w:val="es-ES_tradnl" w:eastAsia="es-ES"/>
        </w:rPr>
        <w:t xml:space="preserve">en los </w:t>
      </w:r>
      <w:r w:rsidRPr="003C1E20">
        <w:rPr>
          <w:rFonts w:cs="Arial"/>
          <w:lang w:val="es-ES_tradnl" w:eastAsia="es-ES"/>
        </w:rPr>
        <w:t xml:space="preserve">validadores </w:t>
      </w:r>
      <w:r>
        <w:rPr>
          <w:rFonts w:cs="Arial"/>
          <w:lang w:val="es-ES_tradnl" w:eastAsia="es-ES"/>
        </w:rPr>
        <w:t xml:space="preserve">para </w:t>
      </w:r>
      <w:r w:rsidRPr="003C1E20">
        <w:rPr>
          <w:rFonts w:cs="Arial"/>
          <w:lang w:val="es-ES_tradnl" w:eastAsia="es-ES"/>
        </w:rPr>
        <w:t>prepararlos con la información tarifaria y de rutas requerida</w:t>
      </w:r>
      <w:r>
        <w:rPr>
          <w:rFonts w:cs="Arial"/>
          <w:lang w:val="es-ES_tradnl" w:eastAsia="es-ES"/>
        </w:rPr>
        <w:t xml:space="preserve"> por el servicio de validación, a efectos de que </w:t>
      </w:r>
      <w:r>
        <w:rPr>
          <w:rFonts w:cs="Arial"/>
          <w:szCs w:val="20"/>
          <w:lang w:val="es-ES"/>
        </w:rPr>
        <w:t xml:space="preserve">los operadores </w:t>
      </w:r>
      <w:r>
        <w:rPr>
          <w:lang w:val="es-ES_tradnl" w:eastAsia="es-ES"/>
        </w:rPr>
        <w:t xml:space="preserve">de transporte </w:t>
      </w:r>
      <w:r w:rsidRPr="003C1E20">
        <w:rPr>
          <w:rFonts w:cs="Arial"/>
          <w:lang w:val="es-ES_tradnl" w:eastAsia="es-ES"/>
        </w:rPr>
        <w:t>pueda</w:t>
      </w:r>
      <w:r>
        <w:rPr>
          <w:rFonts w:cs="Arial"/>
          <w:lang w:val="es-ES_tradnl" w:eastAsia="es-ES"/>
        </w:rPr>
        <w:t>n</w:t>
      </w:r>
      <w:r w:rsidRPr="003C1E20">
        <w:rPr>
          <w:rFonts w:cs="Arial"/>
          <w:lang w:val="es-ES_tradnl" w:eastAsia="es-ES"/>
        </w:rPr>
        <w:t xml:space="preserve"> realizar el cobro de las tarifas por los viajes realizados.</w:t>
      </w:r>
      <w:r>
        <w:rPr>
          <w:rFonts w:cs="Arial"/>
          <w:lang w:val="es-ES_tradnl" w:eastAsia="es-ES"/>
        </w:rPr>
        <w:t xml:space="preserve"> Esta </w:t>
      </w:r>
      <w:r w:rsidRPr="003C1E20">
        <w:rPr>
          <w:rFonts w:cs="Arial"/>
          <w:lang w:val="es-ES_tradnl" w:eastAsia="es-ES"/>
        </w:rPr>
        <w:t xml:space="preserve">configuración se lleva a cabo en forma remota </w:t>
      </w:r>
      <w:r>
        <w:rPr>
          <w:rFonts w:cs="Arial"/>
          <w:lang w:val="es-ES_tradnl" w:eastAsia="es-ES"/>
        </w:rPr>
        <w:t xml:space="preserve">o presencial, </w:t>
      </w:r>
      <w:r w:rsidRPr="003C1E20">
        <w:rPr>
          <w:rFonts w:cs="Arial"/>
          <w:lang w:val="es-ES_tradnl" w:eastAsia="es-ES"/>
        </w:rPr>
        <w:t xml:space="preserve">y mediante protocolos que aseguren la transmisión, </w:t>
      </w:r>
      <w:r>
        <w:rPr>
          <w:rFonts w:cs="Arial"/>
          <w:lang w:val="es-ES_tradnl" w:eastAsia="es-ES"/>
        </w:rPr>
        <w:t xml:space="preserve">recepción, </w:t>
      </w:r>
      <w:r w:rsidRPr="003C1E20">
        <w:rPr>
          <w:rFonts w:cs="Arial"/>
          <w:lang w:val="es-ES_tradnl" w:eastAsia="es-ES"/>
        </w:rPr>
        <w:t>inviolabilidad e integridad de los datos</w:t>
      </w:r>
      <w:r>
        <w:rPr>
          <w:rFonts w:cs="Arial"/>
          <w:lang w:val="es-ES_tradnl" w:eastAsia="es-ES"/>
        </w:rPr>
        <w:t>.</w:t>
      </w:r>
    </w:p>
    <w:p w14:paraId="16866773" w14:textId="77777777" w:rsidR="007A7839" w:rsidRDefault="007A7839" w:rsidP="00E23D98">
      <w:pPr>
        <w:pStyle w:val="Ttulo3"/>
        <w:numPr>
          <w:ilvl w:val="2"/>
          <w:numId w:val="3"/>
        </w:numPr>
        <w:tabs>
          <w:tab w:val="clear" w:pos="624"/>
        </w:tabs>
        <w:spacing w:line="276" w:lineRule="auto"/>
        <w:ind w:left="426" w:hanging="360"/>
      </w:pPr>
      <w:bookmarkStart w:id="244" w:name="_Toc213828793"/>
      <w:bookmarkStart w:id="245" w:name="_Toc216697977"/>
      <w:r>
        <w:t>Certificación de los validadores</w:t>
      </w:r>
      <w:bookmarkEnd w:id="244"/>
      <w:bookmarkEnd w:id="245"/>
      <w:r>
        <w:t xml:space="preserve"> </w:t>
      </w:r>
    </w:p>
    <w:p w14:paraId="3D3B6DF6" w14:textId="77777777" w:rsidR="007A7839" w:rsidRPr="003C1E20" w:rsidRDefault="007A7839" w:rsidP="00E23D98">
      <w:pPr>
        <w:rPr>
          <w:rFonts w:cs="Arial"/>
          <w:lang w:val="es-ES_tradnl" w:eastAsia="es-ES"/>
        </w:rPr>
      </w:pPr>
      <w:r w:rsidRPr="003C1E20">
        <w:rPr>
          <w:rFonts w:cs="Arial"/>
          <w:lang w:val="es-ES_tradnl" w:eastAsia="es-ES"/>
        </w:rPr>
        <w:t xml:space="preserve">La arquitectura tecnológica de SINPE-TP y las infraestructuras de </w:t>
      </w:r>
      <w:r>
        <w:rPr>
          <w:rFonts w:cs="Arial"/>
          <w:lang w:val="es-ES_tradnl" w:eastAsia="es-ES"/>
        </w:rPr>
        <w:t>los</w:t>
      </w:r>
      <w:r w:rsidRPr="003C1E20">
        <w:rPr>
          <w:rFonts w:cs="Arial"/>
          <w:lang w:val="es-ES_tradnl" w:eastAsia="es-ES"/>
        </w:rPr>
        <w:t xml:space="preserve"> proveedores de servicio</w:t>
      </w:r>
      <w:r>
        <w:rPr>
          <w:rFonts w:cs="Arial"/>
          <w:lang w:val="es-ES_tradnl" w:eastAsia="es-ES"/>
        </w:rPr>
        <w:t>s</w:t>
      </w:r>
      <w:r w:rsidRPr="003C1E20">
        <w:rPr>
          <w:rFonts w:cs="Arial"/>
          <w:lang w:val="es-ES_tradnl" w:eastAsia="es-ES"/>
        </w:rPr>
        <w:t xml:space="preserve"> que se conecten al sistema, deben funcionar cumpliendo con las disposiciones y estándares de seguridad de las marcas de tarjetas, así como con la certificación PCI</w:t>
      </w:r>
      <w:r>
        <w:rPr>
          <w:rFonts w:cs="Arial"/>
          <w:lang w:val="es-ES_tradnl" w:eastAsia="es-ES"/>
        </w:rPr>
        <w:t xml:space="preserve"> </w:t>
      </w:r>
      <w:r w:rsidRPr="003C1E20">
        <w:rPr>
          <w:rFonts w:cs="Arial"/>
          <w:lang w:val="es-ES_tradnl" w:eastAsia="es-ES"/>
        </w:rPr>
        <w:t>DSS.</w:t>
      </w:r>
    </w:p>
    <w:p w14:paraId="2BF63F46" w14:textId="77777777" w:rsidR="007A7839" w:rsidRDefault="007A7839" w:rsidP="00E23D98">
      <w:pPr>
        <w:rPr>
          <w:rFonts w:cs="Arial"/>
          <w:lang w:val="es-ES_tradnl" w:eastAsia="es-ES"/>
        </w:rPr>
      </w:pPr>
      <w:r>
        <w:rPr>
          <w:rFonts w:cs="Arial"/>
          <w:lang w:val="es-ES_tradnl" w:eastAsia="es-ES"/>
        </w:rPr>
        <w:t>Los v</w:t>
      </w:r>
      <w:r w:rsidRPr="003C1E20">
        <w:rPr>
          <w:rFonts w:cs="Arial"/>
          <w:lang w:val="es-ES_tradnl" w:eastAsia="es-ES"/>
        </w:rPr>
        <w:t xml:space="preserve">alidadores que no cumplan con estos estándares y procesos de certificación no </w:t>
      </w:r>
      <w:r>
        <w:rPr>
          <w:rFonts w:cs="Arial"/>
          <w:lang w:val="es-ES_tradnl" w:eastAsia="es-ES"/>
        </w:rPr>
        <w:t>pueden</w:t>
      </w:r>
      <w:r w:rsidRPr="003C1E20">
        <w:rPr>
          <w:rFonts w:cs="Arial"/>
          <w:lang w:val="es-ES_tradnl" w:eastAsia="es-ES"/>
        </w:rPr>
        <w:t xml:space="preserve"> conectarse a la plataforma </w:t>
      </w:r>
      <w:r>
        <w:rPr>
          <w:rFonts w:cs="Arial"/>
          <w:lang w:val="es-ES_tradnl" w:eastAsia="es-ES"/>
        </w:rPr>
        <w:t xml:space="preserve">tecnológica </w:t>
      </w:r>
      <w:r w:rsidRPr="003C1E20">
        <w:rPr>
          <w:rFonts w:cs="Arial"/>
          <w:lang w:val="es-ES_tradnl" w:eastAsia="es-ES"/>
        </w:rPr>
        <w:t>de SINPE-TP</w:t>
      </w:r>
      <w:r>
        <w:rPr>
          <w:rFonts w:cs="Arial"/>
          <w:lang w:val="es-ES_tradnl" w:eastAsia="es-ES"/>
        </w:rPr>
        <w:t>.</w:t>
      </w:r>
    </w:p>
    <w:p w14:paraId="20E63028" w14:textId="77777777" w:rsidR="007A7839" w:rsidRDefault="007A7839" w:rsidP="00E23D98">
      <w:pPr>
        <w:pStyle w:val="Ttulo2"/>
        <w:numPr>
          <w:ilvl w:val="1"/>
          <w:numId w:val="3"/>
        </w:numPr>
        <w:tabs>
          <w:tab w:val="clear" w:pos="510"/>
        </w:tabs>
        <w:spacing w:line="276" w:lineRule="auto"/>
        <w:ind w:left="229" w:hanging="229"/>
      </w:pPr>
      <w:bookmarkStart w:id="246" w:name="_Toc213828794"/>
      <w:bookmarkStart w:id="247" w:name="_Toc216697978"/>
      <w:r>
        <w:t>Servicios de capacitación</w:t>
      </w:r>
      <w:bookmarkEnd w:id="246"/>
      <w:bookmarkEnd w:id="247"/>
      <w:r>
        <w:t xml:space="preserve"> </w:t>
      </w:r>
    </w:p>
    <w:p w14:paraId="39D22C33" w14:textId="77777777" w:rsidR="007A7839" w:rsidRPr="00797A95" w:rsidRDefault="007A7839" w:rsidP="00E23D98">
      <w:pPr>
        <w:rPr>
          <w:rFonts w:cs="Arial"/>
        </w:rPr>
      </w:pPr>
      <w:r w:rsidRPr="00797A95">
        <w:rPr>
          <w:rFonts w:cs="Arial"/>
        </w:rPr>
        <w:t>El BCCR impartir</w:t>
      </w:r>
      <w:r>
        <w:rPr>
          <w:rFonts w:cs="Arial"/>
        </w:rPr>
        <w:t>á</w:t>
      </w:r>
      <w:r w:rsidRPr="00797A95">
        <w:rPr>
          <w:rFonts w:cs="Arial"/>
        </w:rPr>
        <w:t xml:space="preserve"> capacitación sobre el funcionamiento de SINPE-TP a los colaboradores de </w:t>
      </w:r>
      <w:r w:rsidRPr="00797A95">
        <w:rPr>
          <w:rFonts w:cs="Arial"/>
          <w:lang w:val="es-ES_tradnl" w:eastAsia="es-ES"/>
        </w:rPr>
        <w:t>los operadores</w:t>
      </w:r>
      <w:r>
        <w:rPr>
          <w:rFonts w:cs="Arial"/>
          <w:lang w:val="es-ES_tradnl" w:eastAsia="es-ES"/>
        </w:rPr>
        <w:t xml:space="preserve"> de transporte,</w:t>
      </w:r>
      <w:r w:rsidRPr="00797A95">
        <w:rPr>
          <w:rFonts w:cs="Arial"/>
        </w:rPr>
        <w:t xml:space="preserve"> cuyas funciones guarden relación con la operación del servicio.</w:t>
      </w:r>
    </w:p>
    <w:p w14:paraId="4EF666CF" w14:textId="77777777" w:rsidR="007A7839" w:rsidRPr="00797A95" w:rsidRDefault="007A7839" w:rsidP="00E23D98">
      <w:pPr>
        <w:rPr>
          <w:rFonts w:cs="Arial"/>
        </w:rPr>
      </w:pPr>
      <w:r w:rsidRPr="00797A95">
        <w:rPr>
          <w:rFonts w:cs="Arial"/>
        </w:rPr>
        <w:t xml:space="preserve">Los programas de capacitación serán coordinados por el BCCR con </w:t>
      </w:r>
      <w:r w:rsidRPr="00797A95">
        <w:rPr>
          <w:rFonts w:cs="Arial"/>
          <w:lang w:val="es-ES_tradnl" w:eastAsia="es-ES"/>
        </w:rPr>
        <w:t>l</w:t>
      </w:r>
      <w:r w:rsidRPr="00FF34FD">
        <w:rPr>
          <w:rFonts w:cs="Arial"/>
          <w:lang w:val="es-ES_tradnl" w:eastAsia="es-ES"/>
        </w:rPr>
        <w:t>o</w:t>
      </w:r>
      <w:r w:rsidRPr="00797A95">
        <w:rPr>
          <w:rFonts w:cs="Arial"/>
          <w:lang w:val="es-ES_tradnl" w:eastAsia="es-ES"/>
        </w:rPr>
        <w:t xml:space="preserve">s </w:t>
      </w:r>
      <w:r w:rsidRPr="00FF34FD">
        <w:rPr>
          <w:rFonts w:cs="Arial"/>
          <w:lang w:val="es-ES_tradnl" w:eastAsia="es-ES"/>
        </w:rPr>
        <w:t>operadores</w:t>
      </w:r>
      <w:r>
        <w:rPr>
          <w:rFonts w:cs="Arial"/>
          <w:lang w:val="es-ES_tradnl" w:eastAsia="es-ES"/>
        </w:rPr>
        <w:t xml:space="preserve"> </w:t>
      </w:r>
      <w:r>
        <w:rPr>
          <w:lang w:val="es-ES_tradnl" w:eastAsia="es-ES"/>
        </w:rPr>
        <w:t>de transporte</w:t>
      </w:r>
      <w:r w:rsidRPr="00797A95">
        <w:rPr>
          <w:rFonts w:cs="Arial"/>
        </w:rPr>
        <w:t xml:space="preserve"> como apoyo para la atención de su rol dentro del ecosistema de pagos de SINPE-TP, o para incorporar nuevos desarrollos en los que </w:t>
      </w:r>
      <w:r w:rsidRPr="00FF34FD">
        <w:rPr>
          <w:rFonts w:cs="Arial"/>
        </w:rPr>
        <w:t xml:space="preserve">los operadores </w:t>
      </w:r>
      <w:r w:rsidRPr="00797A95">
        <w:rPr>
          <w:rFonts w:cs="Arial"/>
        </w:rPr>
        <w:t>deban participar.</w:t>
      </w:r>
    </w:p>
    <w:p w14:paraId="5DD2FB93" w14:textId="77777777" w:rsidR="007A7839" w:rsidRDefault="007A7839" w:rsidP="00E23D98">
      <w:pPr>
        <w:rPr>
          <w:rFonts w:cs="Arial"/>
        </w:rPr>
      </w:pPr>
      <w:r w:rsidRPr="00797A95">
        <w:rPr>
          <w:rFonts w:cs="Arial"/>
        </w:rPr>
        <w:t>Dependiendo de las necesidades</w:t>
      </w:r>
      <w:r>
        <w:rPr>
          <w:rFonts w:cs="Arial"/>
        </w:rPr>
        <w:t>,</w:t>
      </w:r>
      <w:r w:rsidRPr="00797A95">
        <w:rPr>
          <w:rFonts w:cs="Arial"/>
        </w:rPr>
        <w:t xml:space="preserve"> y por razones de conveniencia, las actividades de capacitación </w:t>
      </w:r>
      <w:r>
        <w:rPr>
          <w:rFonts w:cs="Arial"/>
        </w:rPr>
        <w:t>pueden</w:t>
      </w:r>
      <w:r w:rsidRPr="00797A95">
        <w:rPr>
          <w:rFonts w:cs="Arial"/>
        </w:rPr>
        <w:t xml:space="preserve"> realizarse en forma remota, </w:t>
      </w:r>
      <w:r>
        <w:rPr>
          <w:rFonts w:cs="Arial"/>
        </w:rPr>
        <w:t xml:space="preserve">de manera presencial </w:t>
      </w:r>
      <w:r w:rsidRPr="00797A95">
        <w:rPr>
          <w:rFonts w:cs="Arial"/>
        </w:rPr>
        <w:t xml:space="preserve">o mediante una </w:t>
      </w:r>
      <w:r>
        <w:rPr>
          <w:rFonts w:cs="Arial"/>
        </w:rPr>
        <w:t>combinación</w:t>
      </w:r>
      <w:r w:rsidRPr="00797A95">
        <w:rPr>
          <w:rFonts w:cs="Arial"/>
        </w:rPr>
        <w:t xml:space="preserve"> de ambas modalidades.</w:t>
      </w:r>
    </w:p>
    <w:p w14:paraId="020A1138" w14:textId="77777777" w:rsidR="007A7839" w:rsidRDefault="007A7839" w:rsidP="00E23D98">
      <w:pPr>
        <w:rPr>
          <w:rFonts w:cs="Arial"/>
        </w:rPr>
      </w:pPr>
      <w:r w:rsidRPr="00797A95">
        <w:rPr>
          <w:rFonts w:cs="Arial"/>
        </w:rPr>
        <w:t>El BCCR podr</w:t>
      </w:r>
      <w:r>
        <w:rPr>
          <w:rFonts w:cs="Arial"/>
        </w:rPr>
        <w:t>á</w:t>
      </w:r>
      <w:r w:rsidRPr="00797A95">
        <w:rPr>
          <w:rFonts w:cs="Arial"/>
        </w:rPr>
        <w:t xml:space="preserve"> impartir capacitación a grupos de personas que </w:t>
      </w:r>
      <w:r w:rsidRPr="00797A95">
        <w:rPr>
          <w:rFonts w:cs="Arial"/>
          <w:lang w:val="es-ES_tradnl" w:eastAsia="es-ES"/>
        </w:rPr>
        <w:t>l</w:t>
      </w:r>
      <w:r w:rsidRPr="00FF34FD">
        <w:rPr>
          <w:rFonts w:cs="Arial"/>
          <w:lang w:val="es-ES_tradnl" w:eastAsia="es-ES"/>
        </w:rPr>
        <w:t>o</w:t>
      </w:r>
      <w:r w:rsidRPr="00797A95">
        <w:rPr>
          <w:rFonts w:cs="Arial"/>
          <w:lang w:val="es-ES_tradnl" w:eastAsia="es-ES"/>
        </w:rPr>
        <w:t xml:space="preserve">s </w:t>
      </w:r>
      <w:r w:rsidRPr="00FF34FD">
        <w:rPr>
          <w:rFonts w:cs="Arial"/>
          <w:lang w:val="es-ES_tradnl" w:eastAsia="es-ES"/>
        </w:rPr>
        <w:t>operadores</w:t>
      </w:r>
      <w:r w:rsidRPr="00797A95">
        <w:rPr>
          <w:rFonts w:cs="Arial"/>
        </w:rPr>
        <w:t xml:space="preserve"> </w:t>
      </w:r>
      <w:r>
        <w:rPr>
          <w:lang w:val="es-ES_tradnl" w:eastAsia="es-ES"/>
        </w:rPr>
        <w:t xml:space="preserve">de transporte </w:t>
      </w:r>
      <w:r w:rsidRPr="00797A95">
        <w:rPr>
          <w:rFonts w:cs="Arial"/>
        </w:rPr>
        <w:t>designen con el rol de capacitadores, con el fin de que se encarguen de capacitar al resto de su personal interno</w:t>
      </w:r>
      <w:r>
        <w:rPr>
          <w:rFonts w:cs="Arial"/>
        </w:rPr>
        <w:t>,</w:t>
      </w:r>
      <w:r w:rsidRPr="00797A95">
        <w:rPr>
          <w:rFonts w:cs="Arial"/>
        </w:rPr>
        <w:t xml:space="preserve"> o al personal de sus proveedores que requiera ser capacitado en virtud de la relación que mantienen con el funcionamiento de SINPE</w:t>
      </w:r>
      <w:r w:rsidRPr="00797A95">
        <w:rPr>
          <w:rFonts w:cs="Arial"/>
        </w:rPr>
        <w:noBreakHyphen/>
        <w:t>TP</w:t>
      </w:r>
      <w:r>
        <w:rPr>
          <w:rFonts w:cs="Arial"/>
        </w:rPr>
        <w:t>.</w:t>
      </w:r>
    </w:p>
    <w:p w14:paraId="57434A83" w14:textId="77777777" w:rsidR="007A7839" w:rsidRDefault="007A7839" w:rsidP="00E23D98">
      <w:pPr>
        <w:pStyle w:val="Ttulo2"/>
        <w:numPr>
          <w:ilvl w:val="1"/>
          <w:numId w:val="3"/>
        </w:numPr>
        <w:tabs>
          <w:tab w:val="clear" w:pos="510"/>
        </w:tabs>
        <w:spacing w:line="276" w:lineRule="auto"/>
        <w:ind w:left="229" w:hanging="229"/>
      </w:pPr>
      <w:bookmarkStart w:id="248" w:name="_Toc213828795"/>
      <w:bookmarkStart w:id="249" w:name="_Toc216697979"/>
      <w:r>
        <w:t>Servicio de atención a los participantes</w:t>
      </w:r>
      <w:bookmarkEnd w:id="248"/>
      <w:bookmarkEnd w:id="249"/>
      <w:r>
        <w:t xml:space="preserve"> </w:t>
      </w:r>
    </w:p>
    <w:p w14:paraId="4B8E7422" w14:textId="77777777" w:rsidR="007A7839" w:rsidRPr="00AB7851" w:rsidRDefault="007A7839" w:rsidP="00E23D98">
      <w:pPr>
        <w:rPr>
          <w:szCs w:val="22"/>
          <w:lang w:val="es-ES"/>
        </w:rPr>
      </w:pPr>
      <w:bookmarkStart w:id="250" w:name="_Hlk134374551"/>
      <w:bookmarkStart w:id="251" w:name="_Hlk178502485"/>
      <w:bookmarkStart w:id="252" w:name="_Hlk178521990"/>
      <w:r>
        <w:rPr>
          <w:szCs w:val="22"/>
        </w:rPr>
        <w:t>E</w:t>
      </w:r>
      <w:r w:rsidRPr="00AB7851">
        <w:rPr>
          <w:szCs w:val="22"/>
          <w:lang w:val="es-ES"/>
        </w:rPr>
        <w:t xml:space="preserve">l Departamento SINPE-TP </w:t>
      </w:r>
      <w:r>
        <w:rPr>
          <w:szCs w:val="22"/>
        </w:rPr>
        <w:t xml:space="preserve">es responsable de atender las </w:t>
      </w:r>
      <w:r w:rsidRPr="00AB7851">
        <w:rPr>
          <w:szCs w:val="22"/>
          <w:lang w:val="es-ES"/>
        </w:rPr>
        <w:t>solicitudes y consultas de los usuarios, reguladores, operadores de transporte y proveedores de servicio</w:t>
      </w:r>
      <w:r>
        <w:rPr>
          <w:szCs w:val="22"/>
          <w:lang w:val="es-ES"/>
        </w:rPr>
        <w:t>s</w:t>
      </w:r>
      <w:r w:rsidRPr="00AB7851">
        <w:rPr>
          <w:szCs w:val="22"/>
          <w:lang w:val="es-ES"/>
        </w:rPr>
        <w:t xml:space="preserve">, </w:t>
      </w:r>
      <w:r>
        <w:rPr>
          <w:szCs w:val="22"/>
        </w:rPr>
        <w:t xml:space="preserve">así como </w:t>
      </w:r>
      <w:r w:rsidRPr="00AB7851">
        <w:rPr>
          <w:szCs w:val="22"/>
          <w:lang w:val="es-ES"/>
        </w:rPr>
        <w:t>los reportes de los incidentes que puedan presentarse con la prestación de los servicios de SINPE-TP.</w:t>
      </w:r>
    </w:p>
    <w:p w14:paraId="330A2673" w14:textId="77777777" w:rsidR="007A7839" w:rsidRDefault="007A7839" w:rsidP="00E23D98">
      <w:pPr>
        <w:rPr>
          <w:rFonts w:cs="Arial"/>
          <w:szCs w:val="20"/>
        </w:rPr>
      </w:pPr>
      <w:r w:rsidRPr="00230F41">
        <w:rPr>
          <w:rFonts w:cs="Arial"/>
          <w:szCs w:val="20"/>
        </w:rPr>
        <w:t xml:space="preserve">Mediante los recursos del Sistema de Atención al Ciudadano, el servicio SINPE-TP </w:t>
      </w:r>
      <w:r>
        <w:rPr>
          <w:rFonts w:cs="Arial"/>
          <w:szCs w:val="20"/>
        </w:rPr>
        <w:t xml:space="preserve">mantiene </w:t>
      </w:r>
      <w:r w:rsidRPr="00230F41">
        <w:rPr>
          <w:rFonts w:cs="Arial"/>
          <w:szCs w:val="20"/>
        </w:rPr>
        <w:t xml:space="preserve">habilitados los siguientes canales de comunicación para atender a los </w:t>
      </w:r>
      <w:r>
        <w:rPr>
          <w:rFonts w:cs="Arial"/>
          <w:szCs w:val="20"/>
        </w:rPr>
        <w:t>pasajeros</w:t>
      </w:r>
      <w:r w:rsidRPr="00230F41">
        <w:rPr>
          <w:rFonts w:cs="Arial"/>
          <w:szCs w:val="20"/>
        </w:rPr>
        <w:t>:</w:t>
      </w:r>
    </w:p>
    <w:p w14:paraId="2771EB69" w14:textId="77777777" w:rsidR="007A7839" w:rsidRDefault="007A7839" w:rsidP="00FA10A3">
      <w:pPr>
        <w:pStyle w:val="Prrafodelista"/>
        <w:numPr>
          <w:ilvl w:val="0"/>
          <w:numId w:val="13"/>
        </w:numPr>
        <w:spacing w:after="120" w:line="276" w:lineRule="auto"/>
        <w:ind w:left="567" w:right="106" w:hanging="215"/>
        <w:contextualSpacing w:val="0"/>
        <w:jc w:val="both"/>
        <w:rPr>
          <w:rFonts w:ascii="Arial" w:hAnsi="Arial" w:cs="Arial"/>
          <w:sz w:val="20"/>
          <w:szCs w:val="20"/>
        </w:rPr>
      </w:pPr>
      <w:r>
        <w:rPr>
          <w:rFonts w:ascii="Arial" w:hAnsi="Arial" w:cs="Arial"/>
          <w:sz w:val="20"/>
          <w:szCs w:val="20"/>
        </w:rPr>
        <w:t>La aplicación (app) SINPE-TP Pasajero, por medio de la opción “Ayuda”.</w:t>
      </w:r>
    </w:p>
    <w:p w14:paraId="5860E89F" w14:textId="77777777" w:rsidR="007A7839" w:rsidRPr="00793F98" w:rsidRDefault="007A7839" w:rsidP="00FA10A3">
      <w:pPr>
        <w:pStyle w:val="Prrafodelista"/>
        <w:numPr>
          <w:ilvl w:val="0"/>
          <w:numId w:val="13"/>
        </w:numPr>
        <w:spacing w:after="120" w:line="276" w:lineRule="auto"/>
        <w:ind w:left="567" w:right="106" w:hanging="215"/>
        <w:contextualSpacing w:val="0"/>
        <w:jc w:val="both"/>
        <w:rPr>
          <w:rFonts w:ascii="Arial" w:hAnsi="Arial" w:cs="Arial"/>
          <w:sz w:val="20"/>
          <w:szCs w:val="20"/>
        </w:rPr>
      </w:pPr>
      <w:r w:rsidRPr="00793F98">
        <w:rPr>
          <w:rFonts w:ascii="Arial" w:hAnsi="Arial" w:cs="Arial"/>
          <w:sz w:val="20"/>
          <w:szCs w:val="20"/>
        </w:rPr>
        <w:t xml:space="preserve">La página web del BCCR, mediante el vínculo </w:t>
      </w:r>
      <w:hyperlink r:id="rId19" w:history="1">
        <w:r w:rsidRPr="00793F98">
          <w:rPr>
            <w:rStyle w:val="Hipervnculo"/>
            <w:rFonts w:cs="Arial"/>
            <w:color w:val="0000CC"/>
            <w:szCs w:val="20"/>
          </w:rPr>
          <w:t>https://atencionalcliente.bccr.fi.cr/Sitio/</w:t>
        </w:r>
      </w:hyperlink>
      <w:r w:rsidRPr="00793F98">
        <w:rPr>
          <w:rFonts w:ascii="Arial" w:hAnsi="Arial" w:cs="Arial"/>
          <w:sz w:val="20"/>
          <w:szCs w:val="20"/>
        </w:rPr>
        <w:t>.</w:t>
      </w:r>
    </w:p>
    <w:p w14:paraId="18C8EE8F" w14:textId="77777777" w:rsidR="007A7839" w:rsidRPr="00793F98" w:rsidRDefault="007A7839" w:rsidP="00FA10A3">
      <w:pPr>
        <w:pStyle w:val="Prrafodelista"/>
        <w:numPr>
          <w:ilvl w:val="0"/>
          <w:numId w:val="13"/>
        </w:numPr>
        <w:spacing w:after="120" w:line="276" w:lineRule="auto"/>
        <w:ind w:left="567" w:right="106" w:hanging="215"/>
        <w:contextualSpacing w:val="0"/>
        <w:jc w:val="both"/>
        <w:rPr>
          <w:rFonts w:ascii="Arial" w:hAnsi="Arial" w:cs="Arial"/>
          <w:sz w:val="20"/>
          <w:szCs w:val="20"/>
        </w:rPr>
      </w:pPr>
      <w:r w:rsidRPr="00793F98">
        <w:rPr>
          <w:rFonts w:ascii="Arial" w:hAnsi="Arial" w:cs="Arial"/>
          <w:sz w:val="20"/>
          <w:szCs w:val="20"/>
        </w:rPr>
        <w:t xml:space="preserve">La dirección de correo electrónico </w:t>
      </w:r>
      <w:hyperlink r:id="rId20" w:history="1">
        <w:r w:rsidRPr="00793F98">
          <w:rPr>
            <w:rStyle w:val="Hipervnculo"/>
            <w:rFonts w:cs="Arial"/>
            <w:color w:val="0000CC"/>
            <w:szCs w:val="20"/>
          </w:rPr>
          <w:t>atencionalciudadano@bccr.fi.cr</w:t>
        </w:r>
      </w:hyperlink>
      <w:r w:rsidRPr="00793F98">
        <w:rPr>
          <w:rFonts w:ascii="Arial" w:hAnsi="Arial" w:cs="Arial"/>
          <w:sz w:val="20"/>
          <w:szCs w:val="20"/>
        </w:rPr>
        <w:t>.</w:t>
      </w:r>
    </w:p>
    <w:p w14:paraId="6F74B2C5" w14:textId="77777777" w:rsidR="007A7839" w:rsidRPr="00793F98" w:rsidRDefault="007A7839" w:rsidP="00FA10A3">
      <w:pPr>
        <w:pStyle w:val="Prrafodelista"/>
        <w:numPr>
          <w:ilvl w:val="0"/>
          <w:numId w:val="13"/>
        </w:numPr>
        <w:spacing w:after="120" w:line="276" w:lineRule="auto"/>
        <w:ind w:left="567" w:right="106" w:hanging="215"/>
        <w:contextualSpacing w:val="0"/>
        <w:jc w:val="both"/>
        <w:rPr>
          <w:rFonts w:ascii="Arial" w:hAnsi="Arial" w:cs="Arial"/>
          <w:sz w:val="20"/>
          <w:szCs w:val="20"/>
        </w:rPr>
      </w:pPr>
      <w:r w:rsidRPr="00793F98">
        <w:rPr>
          <w:rFonts w:ascii="Arial" w:hAnsi="Arial" w:cs="Arial"/>
          <w:sz w:val="20"/>
          <w:szCs w:val="20"/>
        </w:rPr>
        <w:t>Línea telefónica (506) 2243-3333.</w:t>
      </w:r>
    </w:p>
    <w:p w14:paraId="6AFB3310" w14:textId="77777777" w:rsidR="007A7839" w:rsidRDefault="007A7839" w:rsidP="00E23D98">
      <w:pPr>
        <w:rPr>
          <w:szCs w:val="22"/>
        </w:rPr>
      </w:pPr>
      <w:r>
        <w:rPr>
          <w:szCs w:val="22"/>
        </w:rPr>
        <w:lastRenderedPageBreak/>
        <w:t xml:space="preserve">Por las características de su participación en el servicio SINPE-TP, los operadores de transporte y los proveedores de servicios disponen de la página web del BCCR como canal oficial, </w:t>
      </w:r>
      <w:r w:rsidRPr="00EF7DFD">
        <w:rPr>
          <w:rFonts w:cs="Arial"/>
          <w:szCs w:val="20"/>
        </w:rPr>
        <w:t xml:space="preserve">mediante </w:t>
      </w:r>
      <w:r>
        <w:rPr>
          <w:rFonts w:cs="Arial"/>
          <w:szCs w:val="20"/>
        </w:rPr>
        <w:t>la dirección web</w:t>
      </w:r>
      <w:r w:rsidRPr="00EF7DFD">
        <w:rPr>
          <w:rFonts w:cs="Arial"/>
          <w:szCs w:val="20"/>
        </w:rPr>
        <w:t xml:space="preserve"> </w:t>
      </w:r>
      <w:hyperlink r:id="rId21" w:history="1">
        <w:r w:rsidRPr="00EF7DFD">
          <w:rPr>
            <w:rStyle w:val="Hipervnculo"/>
            <w:rFonts w:cs="Arial"/>
            <w:color w:val="0000CC"/>
            <w:szCs w:val="20"/>
          </w:rPr>
          <w:t>https://atencionalcliente.bccr.fi.cr/Sitio/</w:t>
        </w:r>
      </w:hyperlink>
      <w:r w:rsidRPr="00793F98">
        <w:rPr>
          <w:szCs w:val="22"/>
        </w:rPr>
        <w:t>.</w:t>
      </w:r>
    </w:p>
    <w:p w14:paraId="41E2E4A0" w14:textId="77777777" w:rsidR="007A7839" w:rsidRPr="00AB7851" w:rsidRDefault="007A7839" w:rsidP="00E23D98">
      <w:pPr>
        <w:rPr>
          <w:szCs w:val="22"/>
        </w:rPr>
      </w:pPr>
      <w:r w:rsidRPr="00AB7851">
        <w:rPr>
          <w:szCs w:val="22"/>
        </w:rPr>
        <w:t xml:space="preserve">El Departamento SINPE-TP informará oportunamente a los interesados sobre los </w:t>
      </w:r>
      <w:r>
        <w:rPr>
          <w:szCs w:val="22"/>
        </w:rPr>
        <w:t xml:space="preserve">cambios que implemente en los canales de </w:t>
      </w:r>
      <w:r w:rsidRPr="00AB7851">
        <w:rPr>
          <w:szCs w:val="22"/>
        </w:rPr>
        <w:t>comunicación</w:t>
      </w:r>
      <w:r>
        <w:rPr>
          <w:szCs w:val="22"/>
        </w:rPr>
        <w:t xml:space="preserve">, así como en los </w:t>
      </w:r>
      <w:r w:rsidRPr="00AB7851">
        <w:rPr>
          <w:szCs w:val="22"/>
        </w:rPr>
        <w:t xml:space="preserve">procedimientos operativos </w:t>
      </w:r>
      <w:r>
        <w:rPr>
          <w:szCs w:val="22"/>
        </w:rPr>
        <w:t xml:space="preserve">dispuestos para el servicio SINPE-TP. </w:t>
      </w:r>
    </w:p>
    <w:p w14:paraId="386992AF" w14:textId="77777777" w:rsidR="007A7839" w:rsidRDefault="007A7839" w:rsidP="00E23D98">
      <w:pPr>
        <w:pStyle w:val="Ttulo2"/>
        <w:numPr>
          <w:ilvl w:val="1"/>
          <w:numId w:val="3"/>
        </w:numPr>
        <w:tabs>
          <w:tab w:val="clear" w:pos="510"/>
        </w:tabs>
        <w:spacing w:line="276" w:lineRule="auto"/>
        <w:ind w:left="229" w:hanging="229"/>
      </w:pPr>
      <w:bookmarkStart w:id="253" w:name="_Toc178505020"/>
      <w:bookmarkStart w:id="254" w:name="_Toc178522768"/>
      <w:bookmarkStart w:id="255" w:name="_Toc178597003"/>
      <w:bookmarkStart w:id="256" w:name="_Toc178597062"/>
      <w:bookmarkStart w:id="257" w:name="_Toc213828796"/>
      <w:bookmarkStart w:id="258" w:name="_Toc216697980"/>
      <w:bookmarkEnd w:id="250"/>
      <w:bookmarkEnd w:id="251"/>
      <w:bookmarkEnd w:id="252"/>
      <w:bookmarkEnd w:id="253"/>
      <w:bookmarkEnd w:id="254"/>
      <w:bookmarkEnd w:id="255"/>
      <w:bookmarkEnd w:id="256"/>
      <w:r>
        <w:t>Aplicaciones móviles del servicio</w:t>
      </w:r>
      <w:r w:rsidDel="00B44B9D">
        <w:t xml:space="preserve"> </w:t>
      </w:r>
      <w:bookmarkEnd w:id="257"/>
      <w:r>
        <w:t>SINPE-TP</w:t>
      </w:r>
      <w:bookmarkEnd w:id="258"/>
    </w:p>
    <w:p w14:paraId="452D2522" w14:textId="77777777" w:rsidR="007A7839" w:rsidRPr="00266938" w:rsidRDefault="007A7839" w:rsidP="00E23D98">
      <w:pPr>
        <w:rPr>
          <w:rFonts w:cs="Arial"/>
          <w:lang w:val="es-ES_tradnl" w:eastAsia="es-ES"/>
        </w:rPr>
      </w:pPr>
      <w:bookmarkStart w:id="259" w:name="_Hlk134374527"/>
      <w:r w:rsidRPr="00AA4635">
        <w:rPr>
          <w:rFonts w:cs="Arial"/>
          <w:lang w:val="es-ES_tradnl" w:eastAsia="es-ES"/>
        </w:rPr>
        <w:t xml:space="preserve">El servicio SINPE-TP </w:t>
      </w:r>
      <w:r>
        <w:rPr>
          <w:rFonts w:cs="Arial"/>
          <w:lang w:val="es-ES_tradnl" w:eastAsia="es-ES"/>
        </w:rPr>
        <w:t>cuenta</w:t>
      </w:r>
      <w:r w:rsidRPr="00AA4635">
        <w:rPr>
          <w:rFonts w:cs="Arial"/>
          <w:lang w:val="es-ES_tradnl" w:eastAsia="es-ES"/>
        </w:rPr>
        <w:t xml:space="preserve"> </w:t>
      </w:r>
      <w:r>
        <w:rPr>
          <w:rFonts w:cs="Arial"/>
          <w:lang w:val="es-ES_tradnl" w:eastAsia="es-ES"/>
        </w:rPr>
        <w:t>con dos</w:t>
      </w:r>
      <w:r w:rsidRPr="00AA4635">
        <w:rPr>
          <w:rFonts w:cs="Arial"/>
          <w:lang w:val="es-ES_tradnl" w:eastAsia="es-ES"/>
        </w:rPr>
        <w:t xml:space="preserve"> aplicaci</w:t>
      </w:r>
      <w:r>
        <w:rPr>
          <w:rFonts w:cs="Arial"/>
          <w:lang w:val="es-ES_tradnl" w:eastAsia="es-ES"/>
        </w:rPr>
        <w:t>ones</w:t>
      </w:r>
      <w:r w:rsidRPr="00AA4635">
        <w:rPr>
          <w:rFonts w:cs="Arial"/>
          <w:lang w:val="es-ES_tradnl" w:eastAsia="es-ES"/>
        </w:rPr>
        <w:t xml:space="preserve"> móvil</w:t>
      </w:r>
      <w:r>
        <w:rPr>
          <w:rFonts w:cs="Arial"/>
          <w:lang w:val="es-ES_tradnl" w:eastAsia="es-ES"/>
        </w:rPr>
        <w:t>es</w:t>
      </w:r>
      <w:r w:rsidRPr="00AA4635">
        <w:rPr>
          <w:rFonts w:cs="Arial"/>
          <w:lang w:val="es-ES_tradnl" w:eastAsia="es-ES"/>
        </w:rPr>
        <w:t xml:space="preserve"> (app) habilitada</w:t>
      </w:r>
      <w:r>
        <w:rPr>
          <w:rFonts w:cs="Arial"/>
          <w:lang w:val="es-ES_tradnl" w:eastAsia="es-ES"/>
        </w:rPr>
        <w:t>s</w:t>
      </w:r>
      <w:r w:rsidRPr="00AA4635">
        <w:rPr>
          <w:rFonts w:cs="Arial"/>
          <w:lang w:val="es-ES_tradnl" w:eastAsia="es-ES"/>
        </w:rPr>
        <w:t xml:space="preserve"> para </w:t>
      </w:r>
      <w:r>
        <w:rPr>
          <w:rFonts w:cs="Arial"/>
          <w:lang w:val="es-ES_tradnl" w:eastAsia="es-ES"/>
        </w:rPr>
        <w:t xml:space="preserve">que los usuarios (SINPE-TP Pasajero) y operadores de transporte (SINPE-TP Operador) puedan interactuar con </w:t>
      </w:r>
      <w:bookmarkStart w:id="260" w:name="_Hlk104913616"/>
      <w:r>
        <w:rPr>
          <w:rFonts w:cs="Arial"/>
          <w:lang w:val="es-ES_tradnl" w:eastAsia="es-ES"/>
        </w:rPr>
        <w:t>el sistema, conforme con sus necesidades</w:t>
      </w:r>
      <w:r w:rsidRPr="00266938">
        <w:rPr>
          <w:rFonts w:cs="Arial"/>
          <w:lang w:val="es-ES_tradnl" w:eastAsia="es-ES"/>
        </w:rPr>
        <w:t>. La</w:t>
      </w:r>
      <w:r>
        <w:rPr>
          <w:rFonts w:cs="Arial"/>
          <w:lang w:val="es-ES_tradnl" w:eastAsia="es-ES"/>
        </w:rPr>
        <w:t>s</w:t>
      </w:r>
      <w:r w:rsidRPr="00266938">
        <w:rPr>
          <w:rFonts w:cs="Arial"/>
          <w:lang w:val="es-ES_tradnl" w:eastAsia="es-ES"/>
        </w:rPr>
        <w:t xml:space="preserve"> aplicaci</w:t>
      </w:r>
      <w:r>
        <w:rPr>
          <w:rFonts w:cs="Arial"/>
          <w:lang w:val="es-ES_tradnl" w:eastAsia="es-ES"/>
        </w:rPr>
        <w:t>ones</w:t>
      </w:r>
      <w:r w:rsidRPr="00266938">
        <w:rPr>
          <w:rFonts w:cs="Arial"/>
          <w:lang w:val="es-ES_tradnl" w:eastAsia="es-ES"/>
        </w:rPr>
        <w:t xml:space="preserve"> puede</w:t>
      </w:r>
      <w:r>
        <w:rPr>
          <w:rFonts w:cs="Arial"/>
          <w:lang w:val="es-ES_tradnl" w:eastAsia="es-ES"/>
        </w:rPr>
        <w:t>n</w:t>
      </w:r>
      <w:r w:rsidRPr="00266938">
        <w:rPr>
          <w:rFonts w:cs="Arial"/>
          <w:lang w:val="es-ES_tradnl" w:eastAsia="es-ES"/>
        </w:rPr>
        <w:t xml:space="preserve"> </w:t>
      </w:r>
      <w:bookmarkEnd w:id="260"/>
      <w:r>
        <w:rPr>
          <w:rFonts w:cs="Arial"/>
          <w:lang w:val="es-ES_tradnl" w:eastAsia="es-ES"/>
        </w:rPr>
        <w:t xml:space="preserve">descargarse </w:t>
      </w:r>
      <w:r w:rsidRPr="00266938">
        <w:rPr>
          <w:rFonts w:cs="Arial"/>
          <w:lang w:val="es-ES_tradnl" w:eastAsia="es-ES"/>
        </w:rPr>
        <w:t>en forma gratuita con el nombre “SINPE-TP” en las tiendas de Google (Play Store), Apple (App Store) y Huawei (AppGallery).</w:t>
      </w:r>
    </w:p>
    <w:p w14:paraId="6FF64FDB" w14:textId="77777777" w:rsidR="007A7839" w:rsidRPr="00266938" w:rsidRDefault="007A7839" w:rsidP="00E23D98">
      <w:pPr>
        <w:rPr>
          <w:rFonts w:cs="Arial"/>
          <w:lang w:val="es-ES_tradnl" w:eastAsia="es-ES"/>
        </w:rPr>
      </w:pPr>
      <w:bookmarkStart w:id="261" w:name="_Hlk134174455"/>
      <w:bookmarkEnd w:id="259"/>
      <w:r w:rsidRPr="00266938">
        <w:rPr>
          <w:rFonts w:cs="Arial"/>
          <w:lang w:val="es-ES_tradnl" w:eastAsia="es-ES"/>
        </w:rPr>
        <w:t xml:space="preserve">Para suscribirse en </w:t>
      </w:r>
      <w:r>
        <w:rPr>
          <w:rFonts w:cs="Arial"/>
          <w:lang w:val="es-ES_tradnl" w:eastAsia="es-ES"/>
        </w:rPr>
        <w:t xml:space="preserve">las </w:t>
      </w:r>
      <w:r w:rsidRPr="00266938">
        <w:rPr>
          <w:rFonts w:cs="Arial"/>
          <w:lang w:val="es-ES_tradnl" w:eastAsia="es-ES"/>
        </w:rPr>
        <w:t>aplicac</w:t>
      </w:r>
      <w:r>
        <w:rPr>
          <w:rFonts w:cs="Arial"/>
          <w:lang w:val="es-ES_tradnl" w:eastAsia="es-ES"/>
        </w:rPr>
        <w:t>iones</w:t>
      </w:r>
      <w:r w:rsidRPr="00266938">
        <w:rPr>
          <w:rFonts w:cs="Arial"/>
          <w:lang w:val="es-ES_tradnl" w:eastAsia="es-ES"/>
        </w:rPr>
        <w:t xml:space="preserve"> SINPE-TP Pasajero</w:t>
      </w:r>
      <w:r>
        <w:rPr>
          <w:rFonts w:cs="Arial"/>
          <w:lang w:val="es-ES_tradnl" w:eastAsia="es-ES"/>
        </w:rPr>
        <w:t xml:space="preserve"> y </w:t>
      </w:r>
      <w:r w:rsidRPr="00266938">
        <w:rPr>
          <w:rFonts w:cs="Arial"/>
          <w:lang w:val="es-ES_tradnl" w:eastAsia="es-ES"/>
        </w:rPr>
        <w:t xml:space="preserve">SINPE-TP </w:t>
      </w:r>
      <w:r>
        <w:rPr>
          <w:rFonts w:cs="Arial"/>
          <w:lang w:val="es-ES_tradnl" w:eastAsia="es-ES"/>
        </w:rPr>
        <w:t>Operador</w:t>
      </w:r>
      <w:r w:rsidRPr="00266938">
        <w:rPr>
          <w:rFonts w:cs="Arial"/>
          <w:lang w:val="es-ES_tradnl" w:eastAsia="es-ES"/>
        </w:rPr>
        <w:t xml:space="preserve">, el usuario debe sujetarse a las condiciones y el procedimiento de registro contenidos en </w:t>
      </w:r>
      <w:r w:rsidRPr="00177CE2">
        <w:rPr>
          <w:rFonts w:cs="Arial"/>
          <w:lang w:val="es-ES_tradnl" w:eastAsia="es-ES"/>
        </w:rPr>
        <w:t>el Anexo 08 de la presente norma complementaria</w:t>
      </w:r>
      <w:bookmarkEnd w:id="261"/>
      <w:r w:rsidRPr="00177CE2">
        <w:rPr>
          <w:rFonts w:cs="Arial"/>
          <w:lang w:val="es-ES_tradnl" w:eastAsia="es-ES"/>
        </w:rPr>
        <w:t xml:space="preserve"> (</w:t>
      </w:r>
      <w:r w:rsidRPr="00177CE2">
        <w:rPr>
          <w:rFonts w:cs="Arial"/>
          <w:i/>
          <w:iCs/>
          <w:lang w:val="es-ES_tradnl" w:eastAsia="es-ES"/>
        </w:rPr>
        <w:t>“Política de Privacidad y Procedimiento de Suscripción de SINPE-TP Pasajero”</w:t>
      </w:r>
      <w:r w:rsidRPr="00177CE2">
        <w:rPr>
          <w:rFonts w:cs="Arial"/>
          <w:lang w:val="es-ES_tradnl" w:eastAsia="es-ES"/>
        </w:rPr>
        <w:t>).</w:t>
      </w:r>
    </w:p>
    <w:p w14:paraId="576281D6" w14:textId="77777777" w:rsidR="007A7839" w:rsidRDefault="007A7839" w:rsidP="00E23D98">
      <w:pPr>
        <w:pStyle w:val="Ttulo1"/>
        <w:numPr>
          <w:ilvl w:val="0"/>
          <w:numId w:val="3"/>
        </w:numPr>
        <w:tabs>
          <w:tab w:val="clear" w:pos="340"/>
        </w:tabs>
        <w:spacing w:line="276" w:lineRule="auto"/>
        <w:ind w:left="426" w:hanging="426"/>
      </w:pPr>
      <w:bookmarkStart w:id="262" w:name="_Toc213828797"/>
      <w:bookmarkStart w:id="263" w:name="_Toc216697981"/>
      <w:r>
        <w:t>Vigencia de la norma</w:t>
      </w:r>
      <w:bookmarkEnd w:id="262"/>
      <w:bookmarkEnd w:id="263"/>
      <w:r>
        <w:t xml:space="preserve"> </w:t>
      </w:r>
    </w:p>
    <w:p w14:paraId="791BE38D" w14:textId="77777777" w:rsidR="007A7839" w:rsidRDefault="007A7839" w:rsidP="00E23D98">
      <w:pPr>
        <w:rPr>
          <w:rFonts w:cs="Arial"/>
        </w:rPr>
      </w:pPr>
      <w:r w:rsidRPr="00764160">
        <w:rPr>
          <w:rFonts w:cs="Arial"/>
        </w:rPr>
        <w:t xml:space="preserve">La presente norma </w:t>
      </w:r>
      <w:r>
        <w:t>complementaria</w:t>
      </w:r>
      <w:r w:rsidRPr="00764160">
        <w:rPr>
          <w:rFonts w:cs="Arial"/>
        </w:rPr>
        <w:t xml:space="preserve"> rige a partir del </w:t>
      </w:r>
      <w:r>
        <w:rPr>
          <w:rFonts w:cs="Arial"/>
        </w:rPr>
        <w:t>12</w:t>
      </w:r>
      <w:r w:rsidRPr="00764160">
        <w:rPr>
          <w:rFonts w:cs="Arial"/>
        </w:rPr>
        <w:t xml:space="preserve"> de </w:t>
      </w:r>
      <w:r>
        <w:rPr>
          <w:rFonts w:cs="Arial"/>
        </w:rPr>
        <w:t xml:space="preserve">diciembre </w:t>
      </w:r>
      <w:r w:rsidRPr="00764160">
        <w:rPr>
          <w:rFonts w:cs="Arial"/>
        </w:rPr>
        <w:t>del 202</w:t>
      </w:r>
      <w:r>
        <w:rPr>
          <w:rFonts w:cs="Arial"/>
        </w:rPr>
        <w:t>5 y sustituye a la norma oficializada el 1 de octubre del 2024, de la Serie de Normas y Procedimientos del SINPE (Reglamento del Sistema de Pagos).</w:t>
      </w:r>
      <w:bookmarkEnd w:id="135"/>
    </w:p>
    <w:p w14:paraId="3DF59F3E" w14:textId="77777777" w:rsidR="007A7839" w:rsidRDefault="007A7839" w:rsidP="00E23D98">
      <w:pPr>
        <w:rPr>
          <w:rFonts w:cs="Arial"/>
        </w:rPr>
      </w:pPr>
      <w:r>
        <w:rPr>
          <w:rFonts w:cs="Arial"/>
        </w:rPr>
        <w:br w:type="page"/>
      </w:r>
    </w:p>
    <w:p w14:paraId="12EAF3A7" w14:textId="77777777" w:rsidR="007A7839" w:rsidRDefault="007A7839" w:rsidP="007A7839">
      <w:pPr>
        <w:pStyle w:val="Ttulo1"/>
        <w:numPr>
          <w:ilvl w:val="0"/>
          <w:numId w:val="3"/>
        </w:numPr>
        <w:tabs>
          <w:tab w:val="clear" w:pos="340"/>
        </w:tabs>
        <w:spacing w:before="0" w:line="264" w:lineRule="auto"/>
        <w:ind w:left="0" w:firstLine="0"/>
        <w:rPr>
          <w:rFonts w:cs="Arial"/>
        </w:rPr>
      </w:pPr>
      <w:bookmarkStart w:id="264" w:name="_Toc134435976"/>
      <w:bookmarkStart w:id="265" w:name="_Toc213828798"/>
      <w:bookmarkStart w:id="266" w:name="_Toc216697982"/>
      <w:r>
        <w:rPr>
          <w:rFonts w:cs="Arial"/>
        </w:rPr>
        <w:lastRenderedPageBreak/>
        <w:t>Anexos</w:t>
      </w:r>
      <w:bookmarkEnd w:id="264"/>
      <w:bookmarkEnd w:id="265"/>
      <w:bookmarkEnd w:id="266"/>
    </w:p>
    <w:p w14:paraId="5A92173F" w14:textId="77777777" w:rsidR="007A7839" w:rsidRPr="004B1FB1" w:rsidRDefault="007A7839" w:rsidP="007A7839">
      <w:pPr>
        <w:spacing w:line="252" w:lineRule="auto"/>
        <w:rPr>
          <w:lang w:val="es-ES_tradnl" w:eastAsia="es-ES"/>
        </w:rPr>
      </w:pPr>
      <w:r>
        <w:rPr>
          <w:lang w:val="es-ES_tradnl" w:eastAsia="es-ES"/>
        </w:rPr>
        <w:t>Los siguientes anexos forman parte integral de la presente norma complementaria: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1"/>
        <w:gridCol w:w="4531"/>
      </w:tblGrid>
      <w:tr w:rsidR="007A7839" w:rsidRPr="003E7AD9" w14:paraId="095B49AA" w14:textId="77777777" w:rsidTr="005243DB">
        <w:trPr>
          <w:cantSplit/>
        </w:trPr>
        <w:tc>
          <w:tcPr>
            <w:tcW w:w="4542" w:type="dxa"/>
            <w:shd w:val="clear" w:color="auto" w:fill="ACB9CA"/>
          </w:tcPr>
          <w:p w14:paraId="3192B3F7" w14:textId="77777777" w:rsidR="007A7839" w:rsidRPr="00005101" w:rsidRDefault="007A7839" w:rsidP="005243DB">
            <w:pPr>
              <w:spacing w:before="60" w:after="60" w:line="264" w:lineRule="auto"/>
              <w:jc w:val="center"/>
              <w:rPr>
                <w:rFonts w:cs="Arial"/>
                <w:b/>
                <w:bCs/>
                <w:position w:val="-20"/>
              </w:rPr>
            </w:pPr>
            <w:r w:rsidRPr="00E9666B">
              <w:rPr>
                <w:rFonts w:cs="Arial"/>
                <w:b/>
                <w:bCs/>
                <w:position w:val="-20"/>
              </w:rPr>
              <w:t>ANEXO 0</w:t>
            </w:r>
            <w:r>
              <w:rPr>
                <w:rFonts w:cs="Arial"/>
                <w:b/>
                <w:bCs/>
                <w:position w:val="-20"/>
              </w:rPr>
              <w:t>1</w:t>
            </w:r>
          </w:p>
          <w:p w14:paraId="640EC9AB" w14:textId="77777777" w:rsidR="007A7839" w:rsidRPr="00005101" w:rsidRDefault="007A7839" w:rsidP="005243DB">
            <w:pPr>
              <w:spacing w:before="0" w:after="0" w:line="264" w:lineRule="auto"/>
              <w:jc w:val="center"/>
              <w:rPr>
                <w:rFonts w:cs="Arial"/>
                <w:b/>
                <w:bCs/>
                <w:position w:val="-20"/>
              </w:rPr>
            </w:pPr>
            <w:r>
              <w:rPr>
                <w:rFonts w:cs="Arial"/>
                <w:b/>
                <w:bCs/>
                <w:position w:val="-20"/>
              </w:rPr>
              <w:t>Solicitud de suscripción de operadores de transporte al servicio SINPE-TP</w:t>
            </w:r>
          </w:p>
        </w:tc>
        <w:tc>
          <w:tcPr>
            <w:tcW w:w="4539" w:type="dxa"/>
            <w:shd w:val="clear" w:color="auto" w:fill="ACB9CA"/>
          </w:tcPr>
          <w:p w14:paraId="265B9524" w14:textId="77777777" w:rsidR="007A7839" w:rsidRPr="00764160" w:rsidRDefault="007A7839" w:rsidP="005243DB">
            <w:pPr>
              <w:spacing w:before="60" w:after="60" w:line="264" w:lineRule="auto"/>
              <w:jc w:val="center"/>
              <w:rPr>
                <w:rFonts w:cs="Arial"/>
                <w:b/>
                <w:bCs/>
                <w:position w:val="-20"/>
                <w:lang w:val="en-US"/>
              </w:rPr>
            </w:pPr>
            <w:r w:rsidRPr="00764160">
              <w:rPr>
                <w:rFonts w:cs="Arial"/>
                <w:b/>
                <w:bCs/>
                <w:position w:val="-20"/>
                <w:lang w:val="en-US"/>
              </w:rPr>
              <w:t>ANEXO 02</w:t>
            </w:r>
          </w:p>
          <w:p w14:paraId="22754EC3" w14:textId="77777777" w:rsidR="007A7839" w:rsidRPr="00764160" w:rsidRDefault="007A7839" w:rsidP="005243DB">
            <w:pPr>
              <w:spacing w:before="60" w:after="60" w:line="264" w:lineRule="auto"/>
              <w:jc w:val="center"/>
              <w:rPr>
                <w:rFonts w:cs="Arial"/>
                <w:b/>
                <w:bCs/>
                <w:position w:val="-20"/>
                <w:lang w:val="en-US"/>
              </w:rPr>
            </w:pPr>
            <w:r w:rsidRPr="00121FA4">
              <w:rPr>
                <w:rFonts w:cs="Arial"/>
                <w:b/>
                <w:bCs/>
                <w:position w:val="-20"/>
                <w:lang w:val="en-US"/>
              </w:rPr>
              <w:t>VISA Contactless Transit Implementation Guide v1.1</w:t>
            </w:r>
            <w:r w:rsidRPr="00121FA4" w:rsidDel="00121FA4">
              <w:rPr>
                <w:rFonts w:cs="Arial"/>
                <w:b/>
                <w:bCs/>
                <w:position w:val="-20"/>
                <w:lang w:val="en-US"/>
              </w:rPr>
              <w:t xml:space="preserve"> </w:t>
            </w:r>
            <w:r w:rsidRPr="00764160">
              <w:rPr>
                <w:rFonts w:cs="Arial"/>
                <w:b/>
                <w:bCs/>
                <w:position w:val="-20"/>
                <w:lang w:val="en-US"/>
              </w:rPr>
              <w:t>(</w:t>
            </w:r>
            <w:r>
              <w:rPr>
                <w:rFonts w:cs="Arial"/>
                <w:b/>
                <w:bCs/>
                <w:position w:val="-20"/>
                <w:lang w:val="en-US"/>
              </w:rPr>
              <w:t xml:space="preserve">June </w:t>
            </w:r>
            <w:r w:rsidRPr="00764160">
              <w:rPr>
                <w:rFonts w:cs="Arial"/>
                <w:b/>
                <w:bCs/>
                <w:position w:val="-20"/>
                <w:lang w:val="en-US"/>
              </w:rPr>
              <w:t>201</w:t>
            </w:r>
            <w:r>
              <w:rPr>
                <w:rFonts w:cs="Arial"/>
                <w:b/>
                <w:bCs/>
                <w:position w:val="-20"/>
                <w:lang w:val="en-US"/>
              </w:rPr>
              <w:t>8</w:t>
            </w:r>
            <w:r w:rsidRPr="00764160">
              <w:rPr>
                <w:rFonts w:cs="Arial"/>
                <w:b/>
                <w:bCs/>
                <w:position w:val="-20"/>
                <w:lang w:val="en-US"/>
              </w:rPr>
              <w:t>)</w:t>
            </w:r>
          </w:p>
        </w:tc>
      </w:tr>
      <w:bookmarkStart w:id="267" w:name="_MON_1825216946"/>
      <w:bookmarkEnd w:id="267"/>
      <w:tr w:rsidR="007A7839" w:rsidRPr="00E31E89" w14:paraId="08BE830F" w14:textId="77777777" w:rsidTr="005243DB">
        <w:trPr>
          <w:cantSplit/>
        </w:trPr>
        <w:tc>
          <w:tcPr>
            <w:tcW w:w="0" w:type="auto"/>
            <w:shd w:val="clear" w:color="auto" w:fill="D5DCE4"/>
          </w:tcPr>
          <w:p w14:paraId="0E25A26D" w14:textId="77777777" w:rsidR="007A7839" w:rsidRPr="00764160" w:rsidRDefault="007A7839" w:rsidP="005243DB">
            <w:pPr>
              <w:spacing w:before="120" w:line="264" w:lineRule="auto"/>
              <w:jc w:val="center"/>
              <w:rPr>
                <w:rFonts w:cs="Arial"/>
                <w:b/>
                <w:bCs/>
                <w:position w:val="-20"/>
                <w:lang w:val="en-US"/>
              </w:rPr>
            </w:pPr>
            <w:r>
              <w:rPr>
                <w:rFonts w:cs="Arial"/>
                <w:b/>
                <w:bCs/>
                <w:lang w:val="en-US"/>
              </w:rPr>
              <w:object w:dxaOrig="1508" w:dyaOrig="983" w14:anchorId="6678E7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25pt" o:ole="">
                  <v:imagedata r:id="rId22" o:title=""/>
                </v:shape>
                <o:OLEObject Type="Embed" ProgID="Word.Document.12" ShapeID="_x0000_i1025" DrawAspect="Icon" ObjectID="_1827406173" r:id="rId23">
                  <o:FieldCodes>\s</o:FieldCodes>
                </o:OLEObject>
              </w:object>
            </w:r>
          </w:p>
        </w:tc>
        <w:tc>
          <w:tcPr>
            <w:tcW w:w="0" w:type="auto"/>
            <w:shd w:val="clear" w:color="auto" w:fill="D5DCE4"/>
          </w:tcPr>
          <w:p w14:paraId="54D4F4C1" w14:textId="77777777" w:rsidR="007A7839" w:rsidRPr="00764160" w:rsidRDefault="007A7839" w:rsidP="005243DB">
            <w:pPr>
              <w:spacing w:before="120" w:line="264" w:lineRule="auto"/>
              <w:jc w:val="center"/>
              <w:rPr>
                <w:rFonts w:cs="Arial"/>
                <w:b/>
                <w:bCs/>
                <w:position w:val="-20"/>
                <w:lang w:val="en-US"/>
              </w:rPr>
            </w:pPr>
            <w:r>
              <w:rPr>
                <w:rFonts w:cs="Arial"/>
                <w:b/>
                <w:bCs/>
                <w:lang w:val="en-US"/>
              </w:rPr>
              <w:object w:dxaOrig="1508" w:dyaOrig="983" w14:anchorId="47660234">
                <v:shape id="_x0000_i1026" type="#_x0000_t75" style="width:76.3pt;height:49.25pt" o:ole="">
                  <v:imagedata r:id="rId24" o:title=""/>
                </v:shape>
                <o:OLEObject Type="Embed" ProgID="AcroExch.Document.DC" ShapeID="_x0000_i1026" DrawAspect="Icon" ObjectID="_1827406174" r:id="rId25"/>
              </w:object>
            </w:r>
          </w:p>
        </w:tc>
      </w:tr>
      <w:tr w:rsidR="007A7839" w:rsidRPr="003E7AD9" w14:paraId="011CC98F" w14:textId="77777777" w:rsidTr="005243DB">
        <w:trPr>
          <w:cantSplit/>
        </w:trPr>
        <w:tc>
          <w:tcPr>
            <w:tcW w:w="4542" w:type="dxa"/>
            <w:tcBorders>
              <w:top w:val="single" w:sz="4" w:space="0" w:color="auto"/>
              <w:left w:val="single" w:sz="4" w:space="0" w:color="auto"/>
              <w:bottom w:val="single" w:sz="4" w:space="0" w:color="auto"/>
              <w:right w:val="single" w:sz="4" w:space="0" w:color="auto"/>
            </w:tcBorders>
            <w:shd w:val="clear" w:color="auto" w:fill="ACB9CA"/>
          </w:tcPr>
          <w:p w14:paraId="0FB67BFE" w14:textId="77777777" w:rsidR="007A7839" w:rsidRPr="00764160" w:rsidRDefault="007A7839" w:rsidP="005243DB">
            <w:pPr>
              <w:spacing w:before="60" w:after="60" w:line="264" w:lineRule="auto"/>
              <w:jc w:val="center"/>
              <w:rPr>
                <w:rFonts w:cs="Arial"/>
                <w:b/>
                <w:bCs/>
                <w:position w:val="-20"/>
                <w:lang w:val="en-US"/>
              </w:rPr>
            </w:pPr>
            <w:r w:rsidRPr="00764160">
              <w:rPr>
                <w:rFonts w:cs="Arial"/>
                <w:b/>
                <w:bCs/>
                <w:position w:val="-20"/>
                <w:lang w:val="en-US"/>
              </w:rPr>
              <w:t>ANEXO 03</w:t>
            </w:r>
          </w:p>
          <w:p w14:paraId="66BF72D2" w14:textId="77777777" w:rsidR="007A7839" w:rsidRPr="00764160" w:rsidRDefault="007A7839" w:rsidP="005243DB">
            <w:pPr>
              <w:spacing w:before="60" w:after="60" w:line="264" w:lineRule="auto"/>
              <w:jc w:val="center"/>
              <w:rPr>
                <w:rFonts w:cs="Arial"/>
                <w:b/>
                <w:bCs/>
                <w:position w:val="-20"/>
                <w:lang w:val="en-US"/>
              </w:rPr>
            </w:pPr>
            <w:r w:rsidRPr="00764160">
              <w:rPr>
                <w:rFonts w:cs="Arial"/>
                <w:b/>
                <w:bCs/>
                <w:position w:val="-20"/>
                <w:lang w:val="en-US"/>
              </w:rPr>
              <w:t>Master</w:t>
            </w:r>
            <w:r>
              <w:rPr>
                <w:rFonts w:cs="Arial"/>
                <w:b/>
                <w:bCs/>
                <w:position w:val="-20"/>
                <w:lang w:val="en-US"/>
              </w:rPr>
              <w:t>C</w:t>
            </w:r>
            <w:r w:rsidRPr="00764160">
              <w:rPr>
                <w:rFonts w:cs="Arial"/>
                <w:b/>
                <w:bCs/>
                <w:position w:val="-20"/>
                <w:lang w:val="en-US"/>
              </w:rPr>
              <w:t>ard Global Transit Implementation Guide (January 2018)</w:t>
            </w:r>
          </w:p>
        </w:tc>
        <w:tc>
          <w:tcPr>
            <w:tcW w:w="4539" w:type="dxa"/>
            <w:tcBorders>
              <w:top w:val="single" w:sz="4" w:space="0" w:color="auto"/>
              <w:left w:val="single" w:sz="4" w:space="0" w:color="auto"/>
              <w:bottom w:val="single" w:sz="4" w:space="0" w:color="auto"/>
              <w:right w:val="single" w:sz="4" w:space="0" w:color="auto"/>
            </w:tcBorders>
            <w:shd w:val="clear" w:color="auto" w:fill="ACB9CA"/>
          </w:tcPr>
          <w:p w14:paraId="59A4E14B" w14:textId="77777777" w:rsidR="007A7839" w:rsidRPr="00E854BF" w:rsidRDefault="007A7839" w:rsidP="005243DB">
            <w:pPr>
              <w:spacing w:before="60" w:after="60" w:line="264" w:lineRule="auto"/>
              <w:jc w:val="center"/>
              <w:rPr>
                <w:rFonts w:cs="Arial"/>
                <w:b/>
                <w:bCs/>
                <w:position w:val="-20"/>
                <w:lang w:val="en-US"/>
              </w:rPr>
            </w:pPr>
            <w:r w:rsidRPr="00E854BF">
              <w:rPr>
                <w:rFonts w:cs="Arial"/>
                <w:b/>
                <w:bCs/>
                <w:position w:val="-20"/>
                <w:lang w:val="en-US"/>
              </w:rPr>
              <w:t>ANEXO 04</w:t>
            </w:r>
          </w:p>
          <w:p w14:paraId="2563CF84" w14:textId="77777777" w:rsidR="007A7839" w:rsidRPr="003E1E36" w:rsidRDefault="007A7839" w:rsidP="005243DB">
            <w:pPr>
              <w:spacing w:before="60" w:after="60" w:line="264" w:lineRule="auto"/>
              <w:jc w:val="center"/>
              <w:rPr>
                <w:rFonts w:cs="Arial"/>
                <w:b/>
                <w:bCs/>
                <w:position w:val="-20"/>
                <w:lang w:val="en-US"/>
              </w:rPr>
            </w:pPr>
            <w:r w:rsidRPr="003E1E36">
              <w:rPr>
                <w:rFonts w:cs="Arial"/>
                <w:b/>
                <w:bCs/>
                <w:position w:val="-20"/>
                <w:lang w:val="en-US"/>
              </w:rPr>
              <w:t>American Express Transit Implementation Guide V2.0</w:t>
            </w:r>
            <w:r>
              <w:rPr>
                <w:rFonts w:cs="Arial"/>
                <w:b/>
                <w:bCs/>
                <w:position w:val="-20"/>
                <w:lang w:val="en-US"/>
              </w:rPr>
              <w:t xml:space="preserve"> (May 2019)</w:t>
            </w:r>
          </w:p>
        </w:tc>
      </w:tr>
      <w:tr w:rsidR="007A7839" w:rsidRPr="00005101" w14:paraId="5A96089D" w14:textId="77777777" w:rsidTr="005243DB">
        <w:trPr>
          <w:cantSplit/>
        </w:trPr>
        <w:tc>
          <w:tcPr>
            <w:tcW w:w="0" w:type="auto"/>
            <w:tcBorders>
              <w:top w:val="single" w:sz="4" w:space="0" w:color="auto"/>
              <w:left w:val="single" w:sz="4" w:space="0" w:color="auto"/>
              <w:bottom w:val="single" w:sz="4" w:space="0" w:color="auto"/>
              <w:right w:val="single" w:sz="4" w:space="0" w:color="auto"/>
            </w:tcBorders>
            <w:shd w:val="clear" w:color="auto" w:fill="D5DCE4"/>
            <w:vAlign w:val="center"/>
          </w:tcPr>
          <w:p w14:paraId="486D14D1" w14:textId="77777777" w:rsidR="007A7839" w:rsidRPr="00005101" w:rsidRDefault="007A7839" w:rsidP="005243DB">
            <w:pPr>
              <w:spacing w:before="120" w:line="264" w:lineRule="auto"/>
              <w:jc w:val="center"/>
              <w:rPr>
                <w:rFonts w:cs="Arial"/>
                <w:b/>
                <w:bCs/>
                <w:position w:val="-20"/>
              </w:rPr>
            </w:pPr>
            <w:r>
              <w:rPr>
                <w:rFonts w:cs="Arial"/>
                <w:b/>
                <w:bCs/>
              </w:rPr>
              <w:object w:dxaOrig="1508" w:dyaOrig="983" w14:anchorId="2F6F6AF2">
                <v:shape id="_x0000_i1027" type="#_x0000_t75" style="width:76.9pt;height:52.3pt" o:ole="">
                  <v:imagedata r:id="rId26" o:title=""/>
                </v:shape>
                <o:OLEObject Type="Embed" ProgID="AcroExch.Document.DC" ShapeID="_x0000_i1027" DrawAspect="Icon" ObjectID="_1827406175" r:id="rId27"/>
              </w:object>
            </w:r>
          </w:p>
        </w:tc>
        <w:tc>
          <w:tcPr>
            <w:tcW w:w="4539" w:type="dxa"/>
            <w:tcBorders>
              <w:top w:val="single" w:sz="4" w:space="0" w:color="auto"/>
              <w:left w:val="single" w:sz="4" w:space="0" w:color="auto"/>
              <w:bottom w:val="single" w:sz="4" w:space="0" w:color="auto"/>
              <w:right w:val="single" w:sz="4" w:space="0" w:color="auto"/>
            </w:tcBorders>
            <w:shd w:val="clear" w:color="auto" w:fill="D5DCE4"/>
            <w:vAlign w:val="center"/>
          </w:tcPr>
          <w:p w14:paraId="1BC473AA" w14:textId="77777777" w:rsidR="007A7839" w:rsidRPr="00005101" w:rsidRDefault="007A7839" w:rsidP="005243DB">
            <w:pPr>
              <w:spacing w:before="120" w:line="264" w:lineRule="auto"/>
              <w:jc w:val="center"/>
              <w:rPr>
                <w:rFonts w:cs="Arial"/>
                <w:b/>
                <w:bCs/>
                <w:position w:val="-20"/>
              </w:rPr>
            </w:pPr>
            <w:r>
              <w:rPr>
                <w:rFonts w:cs="Arial"/>
                <w:b/>
                <w:bCs/>
              </w:rPr>
              <w:object w:dxaOrig="1508" w:dyaOrig="983" w14:anchorId="60668886">
                <v:shape id="_x0000_i1028" type="#_x0000_t75" style="width:76.9pt;height:52.3pt" o:ole="">
                  <v:imagedata r:id="rId28" o:title=""/>
                </v:shape>
                <o:OLEObject Type="Embed" ProgID="AcroExch.Document.DC" ShapeID="_x0000_i1028" DrawAspect="Icon" ObjectID="_1827406176" r:id="rId29"/>
              </w:object>
            </w:r>
          </w:p>
        </w:tc>
      </w:tr>
      <w:tr w:rsidR="007A7839" w:rsidRPr="00005101" w14:paraId="02FA371C" w14:textId="77777777" w:rsidTr="005243DB">
        <w:trPr>
          <w:cantSplit/>
        </w:trPr>
        <w:tc>
          <w:tcPr>
            <w:tcW w:w="4542" w:type="dxa"/>
            <w:tcBorders>
              <w:top w:val="single" w:sz="4" w:space="0" w:color="auto"/>
              <w:left w:val="single" w:sz="4" w:space="0" w:color="auto"/>
              <w:bottom w:val="single" w:sz="4" w:space="0" w:color="auto"/>
              <w:right w:val="single" w:sz="4" w:space="0" w:color="auto"/>
            </w:tcBorders>
            <w:shd w:val="clear" w:color="auto" w:fill="ACB9CA"/>
          </w:tcPr>
          <w:p w14:paraId="48D5504B" w14:textId="77777777" w:rsidR="007A7839" w:rsidRPr="00005101" w:rsidRDefault="007A7839" w:rsidP="005243DB">
            <w:pPr>
              <w:spacing w:before="60" w:after="60" w:line="264" w:lineRule="auto"/>
              <w:jc w:val="center"/>
              <w:rPr>
                <w:rFonts w:cs="Arial"/>
                <w:b/>
                <w:bCs/>
                <w:position w:val="-20"/>
              </w:rPr>
            </w:pPr>
            <w:r w:rsidRPr="00E9666B">
              <w:rPr>
                <w:rFonts w:cs="Arial"/>
                <w:b/>
                <w:bCs/>
                <w:position w:val="-20"/>
              </w:rPr>
              <w:t>ANEXO 0</w:t>
            </w:r>
            <w:r>
              <w:rPr>
                <w:rFonts w:cs="Arial"/>
                <w:b/>
                <w:bCs/>
                <w:position w:val="-20"/>
              </w:rPr>
              <w:t>5</w:t>
            </w:r>
          </w:p>
          <w:p w14:paraId="3A761E3F" w14:textId="77777777" w:rsidR="007A7839" w:rsidRPr="00005101" w:rsidRDefault="007A7839" w:rsidP="005243DB">
            <w:pPr>
              <w:spacing w:before="60" w:after="60" w:line="264" w:lineRule="auto"/>
              <w:jc w:val="center"/>
              <w:rPr>
                <w:rFonts w:cs="Arial"/>
                <w:b/>
                <w:bCs/>
                <w:position w:val="-20"/>
              </w:rPr>
            </w:pPr>
            <w:r w:rsidRPr="00E31E89">
              <w:rPr>
                <w:rFonts w:cs="Arial"/>
                <w:b/>
                <w:bCs/>
                <w:position w:val="-20"/>
              </w:rPr>
              <w:t xml:space="preserve">Reporte de </w:t>
            </w:r>
            <w:r>
              <w:rPr>
                <w:rFonts w:cs="Arial"/>
                <w:b/>
                <w:bCs/>
                <w:position w:val="-20"/>
              </w:rPr>
              <w:t>I</w:t>
            </w:r>
            <w:r w:rsidRPr="00E31E89">
              <w:rPr>
                <w:rFonts w:cs="Arial"/>
                <w:b/>
                <w:bCs/>
                <w:position w:val="-20"/>
              </w:rPr>
              <w:t xml:space="preserve">nformación </w:t>
            </w:r>
            <w:r w:rsidRPr="002A5776">
              <w:rPr>
                <w:rFonts w:cs="Arial"/>
                <w:b/>
                <w:bCs/>
                <w:position w:val="-20"/>
              </w:rPr>
              <w:t xml:space="preserve">del </w:t>
            </w:r>
            <w:r>
              <w:rPr>
                <w:rFonts w:cs="Arial"/>
                <w:b/>
                <w:bCs/>
                <w:position w:val="-20"/>
              </w:rPr>
              <w:t>O</w:t>
            </w:r>
            <w:r w:rsidRPr="002A5776">
              <w:rPr>
                <w:rFonts w:cs="Arial"/>
                <w:b/>
                <w:bCs/>
                <w:position w:val="-20"/>
              </w:rPr>
              <w:t>perador</w:t>
            </w:r>
            <w:r>
              <w:rPr>
                <w:rFonts w:cs="Arial"/>
                <w:b/>
                <w:bCs/>
                <w:position w:val="-20"/>
              </w:rPr>
              <w:t xml:space="preserve"> de Transporte</w:t>
            </w:r>
            <w:r w:rsidRPr="002A5776">
              <w:rPr>
                <w:rFonts w:cs="Arial"/>
                <w:b/>
                <w:bCs/>
                <w:position w:val="-20"/>
              </w:rPr>
              <w:t xml:space="preserve"> – </w:t>
            </w:r>
            <w:r>
              <w:rPr>
                <w:rFonts w:cs="Arial"/>
                <w:b/>
                <w:bCs/>
                <w:position w:val="-20"/>
              </w:rPr>
              <w:t>M</w:t>
            </w:r>
            <w:r w:rsidRPr="002A5776">
              <w:rPr>
                <w:rFonts w:cs="Arial"/>
                <w:b/>
                <w:bCs/>
                <w:position w:val="-20"/>
              </w:rPr>
              <w:t xml:space="preserve">odalidad </w:t>
            </w:r>
            <w:r>
              <w:rPr>
                <w:rFonts w:cs="Arial"/>
                <w:b/>
                <w:bCs/>
                <w:position w:val="-20"/>
              </w:rPr>
              <w:t>A</w:t>
            </w:r>
            <w:r w:rsidRPr="002A5776">
              <w:rPr>
                <w:rFonts w:cs="Arial"/>
                <w:b/>
                <w:bCs/>
                <w:position w:val="-20"/>
              </w:rPr>
              <w:t>utobús</w:t>
            </w:r>
          </w:p>
        </w:tc>
        <w:tc>
          <w:tcPr>
            <w:tcW w:w="4539" w:type="dxa"/>
            <w:tcBorders>
              <w:top w:val="single" w:sz="4" w:space="0" w:color="auto"/>
              <w:left w:val="single" w:sz="4" w:space="0" w:color="auto"/>
              <w:bottom w:val="single" w:sz="4" w:space="0" w:color="auto"/>
              <w:right w:val="single" w:sz="4" w:space="0" w:color="auto"/>
            </w:tcBorders>
            <w:shd w:val="clear" w:color="auto" w:fill="ACB9CA"/>
          </w:tcPr>
          <w:p w14:paraId="607317EC" w14:textId="77777777" w:rsidR="007A7839" w:rsidRPr="00005101" w:rsidRDefault="007A7839" w:rsidP="005243DB">
            <w:pPr>
              <w:spacing w:before="60" w:after="60" w:line="264" w:lineRule="auto"/>
              <w:jc w:val="center"/>
              <w:rPr>
                <w:rFonts w:cs="Arial"/>
                <w:b/>
                <w:bCs/>
                <w:position w:val="-20"/>
              </w:rPr>
            </w:pPr>
            <w:r w:rsidRPr="00E9666B">
              <w:rPr>
                <w:rFonts w:cs="Arial"/>
                <w:b/>
                <w:bCs/>
                <w:position w:val="-20"/>
              </w:rPr>
              <w:t>ANEXO 0</w:t>
            </w:r>
            <w:r>
              <w:rPr>
                <w:rFonts w:cs="Arial"/>
                <w:b/>
                <w:bCs/>
                <w:position w:val="-20"/>
              </w:rPr>
              <w:t>6</w:t>
            </w:r>
          </w:p>
          <w:p w14:paraId="3A69AC0D" w14:textId="77777777" w:rsidR="007A7839" w:rsidRPr="00005101" w:rsidRDefault="007A7839" w:rsidP="005243DB">
            <w:pPr>
              <w:spacing w:before="60" w:after="0" w:line="264" w:lineRule="auto"/>
              <w:jc w:val="center"/>
              <w:rPr>
                <w:rFonts w:cs="Arial"/>
                <w:b/>
                <w:bCs/>
                <w:position w:val="-20"/>
              </w:rPr>
            </w:pPr>
            <w:r>
              <w:rPr>
                <w:rFonts w:cs="Arial"/>
                <w:b/>
                <w:bCs/>
                <w:position w:val="-20"/>
              </w:rPr>
              <w:t>Hoja de Liquidación de Ingresos Tarifarios (Autobús de Ruta Regular)</w:t>
            </w:r>
          </w:p>
        </w:tc>
      </w:tr>
      <w:bookmarkStart w:id="268" w:name="_MON_1825477750"/>
      <w:bookmarkEnd w:id="268"/>
      <w:tr w:rsidR="007A7839" w:rsidRPr="00005101" w14:paraId="7BFC3E2B" w14:textId="77777777" w:rsidTr="005243DB">
        <w:trPr>
          <w:cantSplit/>
        </w:trPr>
        <w:tc>
          <w:tcPr>
            <w:tcW w:w="4542" w:type="dxa"/>
            <w:tcBorders>
              <w:top w:val="single" w:sz="4" w:space="0" w:color="auto"/>
              <w:left w:val="single" w:sz="4" w:space="0" w:color="auto"/>
              <w:bottom w:val="single" w:sz="4" w:space="0" w:color="auto"/>
              <w:right w:val="single" w:sz="4" w:space="0" w:color="auto"/>
            </w:tcBorders>
            <w:shd w:val="clear" w:color="auto" w:fill="D5DCE4"/>
          </w:tcPr>
          <w:p w14:paraId="5420CC1E" w14:textId="77777777" w:rsidR="007A7839" w:rsidRPr="00005101" w:rsidRDefault="007A7839" w:rsidP="005243DB">
            <w:pPr>
              <w:spacing w:before="120" w:line="264" w:lineRule="auto"/>
              <w:jc w:val="center"/>
              <w:rPr>
                <w:rFonts w:cs="Arial"/>
                <w:b/>
                <w:bCs/>
                <w:position w:val="-20"/>
              </w:rPr>
            </w:pPr>
            <w:r>
              <w:rPr>
                <w:rFonts w:cs="Arial"/>
                <w:b/>
                <w:bCs/>
              </w:rPr>
              <w:object w:dxaOrig="1508" w:dyaOrig="983" w14:anchorId="589068E0">
                <v:shape id="_x0000_i1029" type="#_x0000_t75" style="width:76.3pt;height:49.85pt" o:ole="">
                  <v:imagedata r:id="rId30" o:title=""/>
                </v:shape>
                <o:OLEObject Type="Embed" ProgID="Word.Document.12" ShapeID="_x0000_i1029" DrawAspect="Icon" ObjectID="_1827406177" r:id="rId31">
                  <o:FieldCodes>\s</o:FieldCodes>
                </o:OLEObject>
              </w:object>
            </w:r>
          </w:p>
        </w:tc>
        <w:tc>
          <w:tcPr>
            <w:tcW w:w="4539" w:type="dxa"/>
            <w:tcBorders>
              <w:top w:val="single" w:sz="4" w:space="0" w:color="auto"/>
              <w:left w:val="single" w:sz="4" w:space="0" w:color="auto"/>
              <w:bottom w:val="single" w:sz="4" w:space="0" w:color="auto"/>
              <w:right w:val="single" w:sz="4" w:space="0" w:color="auto"/>
            </w:tcBorders>
            <w:shd w:val="clear" w:color="auto" w:fill="D5DCE4"/>
          </w:tcPr>
          <w:p w14:paraId="0943756B" w14:textId="77777777" w:rsidR="007A7839" w:rsidRPr="00005101" w:rsidRDefault="007A7839" w:rsidP="005243DB">
            <w:pPr>
              <w:spacing w:before="120" w:line="264" w:lineRule="auto"/>
              <w:jc w:val="center"/>
              <w:rPr>
                <w:rFonts w:cs="Arial"/>
                <w:b/>
                <w:bCs/>
                <w:position w:val="-20"/>
              </w:rPr>
            </w:pPr>
            <w:r>
              <w:rPr>
                <w:rFonts w:cs="Arial"/>
                <w:b/>
                <w:bCs/>
              </w:rPr>
              <w:object w:dxaOrig="1508" w:dyaOrig="983" w14:anchorId="37143E4E">
                <v:shape id="_x0000_i1030" type="#_x0000_t75" style="width:76.3pt;height:49.85pt" o:ole="">
                  <v:imagedata r:id="rId32" o:title=""/>
                </v:shape>
                <o:OLEObject Type="Embed" ProgID="Excel.Sheet.12" ShapeID="_x0000_i1030" DrawAspect="Icon" ObjectID="_1827406178" r:id="rId33"/>
              </w:object>
            </w:r>
          </w:p>
        </w:tc>
      </w:tr>
      <w:tr w:rsidR="007A7839" w:rsidRPr="00005101" w14:paraId="550F6F01" w14:textId="77777777" w:rsidTr="005243DB">
        <w:trPr>
          <w:cantSplit/>
        </w:trPr>
        <w:tc>
          <w:tcPr>
            <w:tcW w:w="4542" w:type="dxa"/>
            <w:tcBorders>
              <w:top w:val="single" w:sz="4" w:space="0" w:color="auto"/>
              <w:left w:val="single" w:sz="4" w:space="0" w:color="auto"/>
              <w:bottom w:val="single" w:sz="4" w:space="0" w:color="auto"/>
              <w:right w:val="single" w:sz="4" w:space="0" w:color="auto"/>
            </w:tcBorders>
            <w:shd w:val="clear" w:color="auto" w:fill="ACB9CA"/>
          </w:tcPr>
          <w:p w14:paraId="16E9EF96" w14:textId="77777777" w:rsidR="007A7839" w:rsidRDefault="007A7839" w:rsidP="005243DB">
            <w:pPr>
              <w:spacing w:before="60" w:after="60" w:line="264" w:lineRule="auto"/>
              <w:jc w:val="center"/>
              <w:rPr>
                <w:rFonts w:cs="Arial"/>
                <w:b/>
                <w:bCs/>
                <w:position w:val="-20"/>
              </w:rPr>
            </w:pPr>
            <w:r w:rsidRPr="00E9666B">
              <w:rPr>
                <w:rFonts w:cs="Arial"/>
                <w:b/>
                <w:bCs/>
                <w:position w:val="-20"/>
              </w:rPr>
              <w:t>ANEXO 0</w:t>
            </w:r>
            <w:r>
              <w:rPr>
                <w:rFonts w:cs="Arial"/>
                <w:b/>
                <w:bCs/>
                <w:position w:val="-20"/>
              </w:rPr>
              <w:t>7</w:t>
            </w:r>
          </w:p>
          <w:p w14:paraId="2798F9A0" w14:textId="77777777" w:rsidR="007A7839" w:rsidRDefault="007A7839" w:rsidP="005243DB">
            <w:pPr>
              <w:spacing w:before="60" w:after="0" w:line="264" w:lineRule="auto"/>
              <w:jc w:val="center"/>
              <w:rPr>
                <w:rFonts w:cs="Arial"/>
                <w:b/>
                <w:bCs/>
                <w:position w:val="-20"/>
              </w:rPr>
            </w:pPr>
            <w:r w:rsidRPr="003039A8">
              <w:rPr>
                <w:rFonts w:cs="Arial"/>
                <w:b/>
                <w:bCs/>
                <w:position w:val="-20"/>
              </w:rPr>
              <w:t xml:space="preserve">Solicitud de </w:t>
            </w:r>
            <w:r>
              <w:rPr>
                <w:rFonts w:cs="Arial"/>
                <w:b/>
                <w:bCs/>
                <w:position w:val="-20"/>
              </w:rPr>
              <w:t>P</w:t>
            </w:r>
            <w:r w:rsidRPr="003039A8">
              <w:rPr>
                <w:rFonts w:cs="Arial"/>
                <w:b/>
                <w:bCs/>
                <w:position w:val="-20"/>
              </w:rPr>
              <w:t xml:space="preserve">articipación </w:t>
            </w:r>
            <w:r>
              <w:rPr>
                <w:rFonts w:cs="Arial"/>
                <w:b/>
                <w:bCs/>
                <w:position w:val="-20"/>
              </w:rPr>
              <w:t>como</w:t>
            </w:r>
            <w:r w:rsidRPr="003039A8">
              <w:rPr>
                <w:rFonts w:cs="Arial"/>
                <w:b/>
                <w:bCs/>
                <w:position w:val="-20"/>
              </w:rPr>
              <w:t xml:space="preserve"> </w:t>
            </w:r>
            <w:r>
              <w:rPr>
                <w:rFonts w:cs="Arial"/>
                <w:b/>
                <w:bCs/>
                <w:position w:val="-20"/>
              </w:rPr>
              <w:t>A</w:t>
            </w:r>
            <w:r w:rsidRPr="003039A8">
              <w:rPr>
                <w:rFonts w:cs="Arial"/>
                <w:b/>
                <w:bCs/>
                <w:position w:val="-20"/>
              </w:rPr>
              <w:t xml:space="preserve">dquirente </w:t>
            </w:r>
          </w:p>
          <w:p w14:paraId="32AD4871" w14:textId="77777777" w:rsidR="007A7839" w:rsidRPr="00005101" w:rsidRDefault="007A7839" w:rsidP="005243DB">
            <w:pPr>
              <w:spacing w:before="0" w:after="60" w:line="264" w:lineRule="auto"/>
              <w:jc w:val="center"/>
              <w:rPr>
                <w:rFonts w:cs="Arial"/>
                <w:b/>
                <w:bCs/>
                <w:position w:val="-20"/>
              </w:rPr>
            </w:pPr>
            <w:r w:rsidRPr="003039A8">
              <w:rPr>
                <w:rFonts w:cs="Arial"/>
                <w:b/>
                <w:bCs/>
                <w:position w:val="-20"/>
              </w:rPr>
              <w:t>de SINPE-TP</w:t>
            </w:r>
          </w:p>
        </w:tc>
        <w:tc>
          <w:tcPr>
            <w:tcW w:w="4539" w:type="dxa"/>
            <w:tcBorders>
              <w:top w:val="single" w:sz="4" w:space="0" w:color="auto"/>
              <w:left w:val="single" w:sz="4" w:space="0" w:color="auto"/>
              <w:bottom w:val="single" w:sz="4" w:space="0" w:color="auto"/>
              <w:right w:val="single" w:sz="4" w:space="0" w:color="auto"/>
            </w:tcBorders>
            <w:shd w:val="clear" w:color="auto" w:fill="ACB9CA"/>
          </w:tcPr>
          <w:p w14:paraId="3CC0DE4F" w14:textId="77777777" w:rsidR="007A7839" w:rsidRDefault="007A7839" w:rsidP="005243DB">
            <w:pPr>
              <w:spacing w:before="60" w:after="60" w:line="264" w:lineRule="auto"/>
              <w:jc w:val="center"/>
              <w:rPr>
                <w:rFonts w:cs="Arial"/>
                <w:b/>
                <w:bCs/>
                <w:position w:val="-20"/>
              </w:rPr>
            </w:pPr>
            <w:r w:rsidRPr="00E9666B">
              <w:rPr>
                <w:rFonts w:cs="Arial"/>
                <w:b/>
                <w:bCs/>
                <w:position w:val="-20"/>
              </w:rPr>
              <w:t>ANEXO 0</w:t>
            </w:r>
            <w:r>
              <w:rPr>
                <w:rFonts w:cs="Arial"/>
                <w:b/>
                <w:bCs/>
                <w:position w:val="-20"/>
              </w:rPr>
              <w:t>8</w:t>
            </w:r>
          </w:p>
          <w:p w14:paraId="4E1D4C92" w14:textId="77777777" w:rsidR="007A7839" w:rsidRDefault="007A7839" w:rsidP="005243DB">
            <w:pPr>
              <w:spacing w:before="60" w:after="60" w:line="264" w:lineRule="auto"/>
              <w:jc w:val="center"/>
              <w:rPr>
                <w:rFonts w:cs="Arial"/>
              </w:rPr>
            </w:pPr>
            <w:r w:rsidRPr="00005101">
              <w:rPr>
                <w:rFonts w:cs="Arial"/>
                <w:b/>
                <w:bCs/>
                <w:position w:val="-20"/>
              </w:rPr>
              <w:t xml:space="preserve">Política de </w:t>
            </w:r>
            <w:r>
              <w:rPr>
                <w:rFonts w:cs="Arial"/>
                <w:b/>
                <w:bCs/>
                <w:position w:val="-20"/>
              </w:rPr>
              <w:t>P</w:t>
            </w:r>
            <w:r w:rsidRPr="00005101">
              <w:rPr>
                <w:rFonts w:cs="Arial"/>
                <w:b/>
                <w:bCs/>
                <w:position w:val="-20"/>
              </w:rPr>
              <w:t>rivacidad</w:t>
            </w:r>
            <w:r>
              <w:rPr>
                <w:rFonts w:cs="Arial"/>
                <w:b/>
                <w:bCs/>
                <w:position w:val="-20"/>
              </w:rPr>
              <w:t xml:space="preserve"> y Procedimiento de Suscripción de SINPE-TP Pasajero</w:t>
            </w:r>
            <w:r w:rsidRPr="00E9666B" w:rsidDel="00C70FA8">
              <w:rPr>
                <w:rFonts w:cs="Arial"/>
                <w:b/>
                <w:bCs/>
                <w:position w:val="-20"/>
              </w:rPr>
              <w:t xml:space="preserve"> </w:t>
            </w:r>
          </w:p>
        </w:tc>
      </w:tr>
      <w:bookmarkStart w:id="269" w:name="_MON_1823860974"/>
      <w:bookmarkEnd w:id="269"/>
      <w:tr w:rsidR="007A7839" w:rsidRPr="00005101" w14:paraId="48C99749" w14:textId="77777777" w:rsidTr="005243DB">
        <w:trPr>
          <w:cantSplit/>
        </w:trPr>
        <w:tc>
          <w:tcPr>
            <w:tcW w:w="4540" w:type="dxa"/>
            <w:tcBorders>
              <w:top w:val="single" w:sz="4" w:space="0" w:color="auto"/>
              <w:left w:val="single" w:sz="4" w:space="0" w:color="auto"/>
              <w:bottom w:val="single" w:sz="4" w:space="0" w:color="auto"/>
              <w:right w:val="single" w:sz="4" w:space="0" w:color="auto"/>
            </w:tcBorders>
            <w:shd w:val="clear" w:color="auto" w:fill="D5DCE4"/>
          </w:tcPr>
          <w:p w14:paraId="4C225DC4" w14:textId="77777777" w:rsidR="007A7839" w:rsidRDefault="007A7839" w:rsidP="005243DB">
            <w:pPr>
              <w:spacing w:before="120" w:line="264" w:lineRule="auto"/>
              <w:jc w:val="center"/>
              <w:rPr>
                <w:rFonts w:cs="Arial"/>
              </w:rPr>
            </w:pPr>
            <w:r>
              <w:rPr>
                <w:rFonts w:cs="Arial"/>
              </w:rPr>
              <w:object w:dxaOrig="1508" w:dyaOrig="983" w14:anchorId="1EA70384">
                <v:shape id="_x0000_i1031" type="#_x0000_t75" style="width:76.3pt;height:49.25pt" o:ole="">
                  <v:imagedata r:id="rId34" o:title=""/>
                </v:shape>
                <o:OLEObject Type="Embed" ProgID="Word.Document.12" ShapeID="_x0000_i1031" DrawAspect="Icon" ObjectID="_1827406179" r:id="rId35">
                  <o:FieldCodes>\s</o:FieldCodes>
                </o:OLEObject>
              </w:object>
            </w:r>
          </w:p>
        </w:tc>
        <w:bookmarkStart w:id="270" w:name="_MON_1827309422"/>
        <w:bookmarkEnd w:id="270"/>
        <w:tc>
          <w:tcPr>
            <w:tcW w:w="4541" w:type="dxa"/>
            <w:tcBorders>
              <w:top w:val="single" w:sz="4" w:space="0" w:color="auto"/>
              <w:left w:val="single" w:sz="4" w:space="0" w:color="auto"/>
              <w:bottom w:val="single" w:sz="4" w:space="0" w:color="auto"/>
              <w:right w:val="single" w:sz="4" w:space="0" w:color="auto"/>
            </w:tcBorders>
            <w:shd w:val="clear" w:color="auto" w:fill="D5DCE4"/>
          </w:tcPr>
          <w:p w14:paraId="5D741153" w14:textId="77777777" w:rsidR="007A7839" w:rsidRDefault="007A7839" w:rsidP="005243DB">
            <w:pPr>
              <w:spacing w:before="120" w:line="264" w:lineRule="auto"/>
              <w:jc w:val="center"/>
              <w:rPr>
                <w:rFonts w:cs="Arial"/>
              </w:rPr>
            </w:pPr>
            <w:r>
              <w:rPr>
                <w:rFonts w:cs="Arial"/>
              </w:rPr>
              <w:object w:dxaOrig="1504" w:dyaOrig="982" w14:anchorId="083E95E1">
                <v:shape id="_x0000_i1032" type="#_x0000_t75" style="width:75.1pt;height:49.25pt" o:ole="">
                  <v:imagedata r:id="rId36" o:title=""/>
                </v:shape>
                <o:OLEObject Type="Embed" ProgID="Word.Document.12" ShapeID="_x0000_i1032" DrawAspect="Icon" ObjectID="_1827406180" r:id="rId37">
                  <o:FieldCodes>\s</o:FieldCodes>
                </o:OLEObject>
              </w:object>
            </w:r>
          </w:p>
        </w:tc>
      </w:tr>
    </w:tbl>
    <w:p w14:paraId="78BDA834" w14:textId="77777777" w:rsidR="007A7839" w:rsidRDefault="007A7839" w:rsidP="007A7839">
      <w:pPr>
        <w:spacing w:line="252" w:lineRule="auto"/>
        <w:rPr>
          <w:lang w:val="es-ES_tradnl" w:eastAsia="es-ES"/>
        </w:rPr>
      </w:pPr>
    </w:p>
    <w:sectPr w:rsidR="007A7839" w:rsidSect="00005E10">
      <w:headerReference w:type="even" r:id="rId38"/>
      <w:footerReference w:type="default" r:id="rId39"/>
      <w:footerReference w:type="first" r:id="rId40"/>
      <w:pgSz w:w="12240" w:h="15840"/>
      <w:pgMar w:top="1418" w:right="1467" w:bottom="709" w:left="1701" w:header="720" w:footer="42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80BB" w14:textId="77777777" w:rsidR="00EB0A0B" w:rsidRPr="00877B7D" w:rsidRDefault="00EB0A0B" w:rsidP="00877B7D">
      <w:r>
        <w:separator/>
      </w:r>
    </w:p>
  </w:endnote>
  <w:endnote w:type="continuationSeparator" w:id="0">
    <w:p w14:paraId="2E270D05" w14:textId="77777777" w:rsidR="00EB0A0B" w:rsidRPr="00877B7D" w:rsidRDefault="00EB0A0B" w:rsidP="0087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Títulos en alf">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B3C2" w14:textId="77777777" w:rsidR="007D2830" w:rsidRPr="009C59FE" w:rsidRDefault="007D2830" w:rsidP="00ED3BE1">
    <w:r w:rsidRPr="009C59FE">
      <w:fldChar w:fldCharType="begin"/>
    </w:r>
    <w:r w:rsidRPr="009C59FE">
      <w:instrText xml:space="preserve">PAGE  </w:instrText>
    </w:r>
    <w:r w:rsidRPr="009C59FE">
      <w:fldChar w:fldCharType="separate"/>
    </w:r>
    <w:r w:rsidRPr="009C59FE">
      <w:t>18</w:t>
    </w:r>
    <w:r w:rsidRPr="009C59FE">
      <w:fldChar w:fldCharType="end"/>
    </w:r>
  </w:p>
  <w:p w14:paraId="6DD1FABB" w14:textId="77777777" w:rsidR="007D2830" w:rsidRDefault="007D2830" w:rsidP="00ED3BE1"/>
  <w:p w14:paraId="2B8CCF4C" w14:textId="77777777" w:rsidR="007D2830" w:rsidRDefault="007D28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58B9" w14:textId="0E9C511D" w:rsidR="00A440A2" w:rsidRDefault="00277D70">
    <w:pPr>
      <w:pStyle w:val="Piedepgina"/>
    </w:pPr>
    <w:r>
      <w:rPr>
        <w:noProof/>
      </w:rPr>
      <mc:AlternateContent>
        <mc:Choice Requires="wps">
          <w:drawing>
            <wp:anchor distT="0" distB="0" distL="114300" distR="114300" simplePos="0" relativeHeight="251673088" behindDoc="0" locked="0" layoutInCell="0" allowOverlap="1" wp14:anchorId="129A2942" wp14:editId="2D0AB3B1">
              <wp:simplePos x="0" y="0"/>
              <wp:positionH relativeFrom="page">
                <wp:posOffset>0</wp:posOffset>
              </wp:positionH>
              <wp:positionV relativeFrom="page">
                <wp:posOffset>9594215</wp:posOffset>
              </wp:positionV>
              <wp:extent cx="7772400" cy="273685"/>
              <wp:effectExtent l="0" t="2540" r="0" b="0"/>
              <wp:wrapNone/>
              <wp:docPr id="9" name="MSIPCM5591484b899fc4a88ecca26d"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A2942" id="_x0000_t202" coordsize="21600,21600" o:spt="202" path="m,l,21600r21600,l21600,xe">
              <v:stroke joinstyle="miter"/>
              <v:path gradientshapeok="t" o:connecttype="rect"/>
            </v:shapetype>
            <v:shape id="MSIPCM5591484b899fc4a88ecca26d" o:spid="_x0000_s1040"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D8B1124" w14:textId="6B1D7A9A" w:rsidR="008B0227" w:rsidRPr="008B0227" w:rsidRDefault="008B0227" w:rsidP="008B0227">
                    <w:pPr>
                      <w:spacing w:before="0" w:after="0"/>
                      <w:jc w:val="center"/>
                      <w:rPr>
                        <w:rFonts w:ascii="Calibri" w:hAnsi="Calibri" w:cs="Calibri"/>
                        <w:color w:val="000000"/>
                      </w:rPr>
                    </w:pPr>
                    <w:r w:rsidRPr="008B0227">
                      <w:rPr>
                        <w:rFonts w:ascii="Calibri" w:hAnsi="Calibri" w:cs="Calibri"/>
                        <w:color w:val="00000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AAC2" w14:textId="21FBE52C" w:rsidR="007D2830" w:rsidRPr="00DA175B" w:rsidRDefault="00277D70" w:rsidP="00ED3BE1">
    <w:r>
      <w:rPr>
        <w:noProof/>
      </w:rPr>
      <mc:AlternateContent>
        <mc:Choice Requires="wps">
          <w:drawing>
            <wp:anchor distT="0" distB="0" distL="114300" distR="114300" simplePos="0" relativeHeight="251659776" behindDoc="0" locked="0" layoutInCell="0" allowOverlap="1" wp14:anchorId="31D8DA1B" wp14:editId="09DDEDE3">
              <wp:simplePos x="0" y="0"/>
              <wp:positionH relativeFrom="page">
                <wp:posOffset>0</wp:posOffset>
              </wp:positionH>
              <wp:positionV relativeFrom="page">
                <wp:posOffset>9594215</wp:posOffset>
              </wp:positionV>
              <wp:extent cx="7772400" cy="273685"/>
              <wp:effectExtent l="0" t="2540" r="0" b="0"/>
              <wp:wrapNone/>
              <wp:docPr id="2" name="MSIPCM13204d62bc9132475cea4457" descr="{&quot;HashCode&quot;:1186230005,&quot;Height&quot;:792.0,&quot;Width&quot;:612.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6AEA8" w14:textId="1C774BA2" w:rsidR="008B0227" w:rsidRPr="00361345" w:rsidRDefault="008B0227" w:rsidP="008B0227">
                          <w:pPr>
                            <w:spacing w:before="0" w:after="0"/>
                            <w:jc w:val="center"/>
                            <w:rPr>
                              <w:rFonts w:ascii="Calibri" w:hAnsi="Calibri" w:cs="Calibri"/>
                              <w:color w:val="FFFFFF" w:themeColor="background1"/>
                            </w:rPr>
                          </w:pPr>
                          <w:r w:rsidRPr="00361345">
                            <w:rPr>
                              <w:rFonts w:ascii="Calibri" w:hAnsi="Calibri" w:cs="Calibri"/>
                              <w:color w:val="FFFFFF" w:themeColor="background1"/>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8DA1B" id="_x0000_t202" coordsize="21600,21600" o:spt="202" path="m,l,21600r21600,l21600,xe">
              <v:stroke joinstyle="miter"/>
              <v:path gradientshapeok="t" o:connecttype="rect"/>
            </v:shapetype>
            <v:shape id="MSIPCM13204d62bc9132475cea4457" o:spid="_x0000_s1043" type="#_x0000_t202" alt="{&quot;HashCode&quot;:1186230005,&quot;Height&quot;:792.0,&quot;Width&quot;:612.0,&quot;Placement&quot;:&quot;Footer&quot;,&quot;Index&quot;:&quot;Primary&quot;,&quot;Section&quot;:2,&quot;Top&quot;:0.0,&quot;Left&quot;:0.0}" style="position:absolute;left:0;text-align:left;margin-left:0;margin-top:755.45pt;width:612pt;height:21.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" o:allowincell="f" filled="f" stroked="f">
              <v:textbox inset=",0,,0">
                <w:txbxContent>
                  <w:p w14:paraId="5456AEA8" w14:textId="1C774BA2" w:rsidR="008B0227" w:rsidRPr="00361345" w:rsidRDefault="008B0227" w:rsidP="008B0227">
                    <w:pPr>
                      <w:spacing w:before="0" w:after="0"/>
                      <w:jc w:val="center"/>
                      <w:rPr>
                        <w:rFonts w:ascii="Calibri" w:hAnsi="Calibri" w:cs="Calibri"/>
                        <w:color w:val="FFFFFF" w:themeColor="background1"/>
                      </w:rPr>
                    </w:pPr>
                    <w:r w:rsidRPr="00361345">
                      <w:rPr>
                        <w:rFonts w:ascii="Calibri" w:hAnsi="Calibri" w:cs="Calibri"/>
                        <w:color w:val="FFFFFF" w:themeColor="background1"/>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9CA4" w14:textId="436DB2A1" w:rsidR="007D2830" w:rsidRDefault="005F680F">
    <w:r>
      <w:rPr>
        <w:noProof/>
      </w:rPr>
      <mc:AlternateContent>
        <mc:Choice Requires="wps">
          <w:drawing>
            <wp:anchor distT="0" distB="0" distL="114300" distR="114300" simplePos="0" relativeHeight="251660800" behindDoc="0" locked="0" layoutInCell="0" allowOverlap="1" wp14:anchorId="626A987D" wp14:editId="4A9BE998">
              <wp:simplePos x="0" y="0"/>
              <wp:positionH relativeFrom="page">
                <wp:posOffset>0</wp:posOffset>
              </wp:positionH>
              <wp:positionV relativeFrom="page">
                <wp:posOffset>9594215</wp:posOffset>
              </wp:positionV>
              <wp:extent cx="7772400" cy="273050"/>
              <wp:effectExtent l="0" t="0" r="0" b="12700"/>
              <wp:wrapNone/>
              <wp:docPr id="1" name="MSIPCMfa2d48348dcb145be17d7868" descr="{&quot;HashCode&quot;:1186230005,&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6A987D" id="_x0000_t202" coordsize="21600,21600" o:spt="202" path="m,l,21600r21600,l21600,xe">
              <v:stroke joinstyle="miter"/>
              <v:path gradientshapeok="t" o:connecttype="rect"/>
            </v:shapetype>
            <v:shape id="MSIPCMfa2d48348dcb145be17d7868" o:spid="_x0000_s1044" type="#_x0000_t202" alt="{&quot;HashCode&quot;:1186230005,&quot;Height&quot;:792.0,&quot;Width&quot;:612.0,&quot;Placement&quot;:&quot;Footer&quot;,&quot;Index&quot;:&quot;Primary&quot;,&quot;Section&quot;:3,&quot;Top&quot;:0.0,&quot;Left&quot;:0.0}" style="position:absolute;left:0;text-align:left;margin-left:0;margin-top:755.45pt;width:612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4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lnQ57bKE64noOeua95asGZ1gz&#10;Hx6ZQ6pxbJRveMBDKsBecLIoqcH9fs8f85EBjFLSonRK6n/tmROUqB8Gufk6nk6j1tIPGu6ldzt4&#10;zV7fAqpyjA/E8mTG3KAGUzrQz6juZeyGIWY49izpdjBvQy9kfB1cLJcpCVVlWVibjeWxdMQsIvvU&#10;PTNnT/AHJO4eBnGx4hULfW6P9nIfQDaJoohvj+YJdlRkYu70eqLkX/6nrMsbX/wB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D5lFeBcCAAArBAAADgAAAAAAAAAAAAAAAAAuAgAAZHJzL2Uyb0RvYy54bWxQSwECLQAUAAYA&#10;CAAAACEA+6YJ0d4AAAALAQAADwAAAAAAAAAAAAAAAABxBAAAZHJzL2Rvd25yZXYueG1sUEsFBgAA&#10;AAAEAAQA8wAAAHwFAAAAAA==&#10;" o:allowincell="f" filled="f" stroked="f" strokeweight=".5pt">
              <v:textbox inset=",0,,0">
                <w:txbxContent>
                  <w:p w14:paraId="6AC69134" w14:textId="28F1C13A" w:rsidR="005F680F" w:rsidRPr="008248E0" w:rsidRDefault="005F680F" w:rsidP="005F680F">
                    <w:pPr>
                      <w:spacing w:before="0" w:after="0"/>
                      <w:jc w:val="center"/>
                      <w:rPr>
                        <w:rFonts w:ascii="Calibri" w:hAnsi="Calibri" w:cs="Calibri"/>
                        <w:color w:val="FFFFFF" w:themeColor="background1"/>
                      </w:rPr>
                    </w:pPr>
                    <w:r w:rsidRPr="008248E0">
                      <w:rPr>
                        <w:rFonts w:ascii="Calibri" w:hAnsi="Calibri" w:cs="Calibri"/>
                        <w:color w:val="FFFFFF" w:themeColor="background1"/>
                      </w:rPr>
                      <w:t>Uso Interno</w:t>
                    </w:r>
                  </w:p>
                </w:txbxContent>
              </v:textbox>
              <w10:wrap anchorx="page" anchory="page"/>
            </v:shape>
          </w:pict>
        </mc:Fallback>
      </mc:AlternateContent>
    </w:r>
  </w:p>
  <w:tbl>
    <w:tblPr>
      <w:tblW w:w="9072" w:type="dxa"/>
      <w:tblCellMar>
        <w:left w:w="0" w:type="dxa"/>
        <w:right w:w="0" w:type="dxa"/>
      </w:tblCellMar>
      <w:tblLook w:val="04A0" w:firstRow="1" w:lastRow="0" w:firstColumn="1" w:lastColumn="0" w:noHBand="0" w:noVBand="1"/>
    </w:tblPr>
    <w:tblGrid>
      <w:gridCol w:w="2728"/>
      <w:gridCol w:w="3793"/>
      <w:gridCol w:w="2551"/>
    </w:tblGrid>
    <w:tr w:rsidR="007D2830" w:rsidRPr="00084F8F" w14:paraId="71423DA3" w14:textId="77777777" w:rsidTr="00574439">
      <w:tc>
        <w:tcPr>
          <w:tcW w:w="2728" w:type="dxa"/>
          <w:tcBorders>
            <w:top w:val="single" w:sz="4" w:space="0" w:color="auto"/>
          </w:tcBorders>
          <w:vAlign w:val="center"/>
        </w:tcPr>
        <w:p w14:paraId="533A05C9" w14:textId="7E241CA7" w:rsidR="007D2830" w:rsidRPr="00084F8F" w:rsidRDefault="007D2830" w:rsidP="006B1048">
          <w:pPr>
            <w:pStyle w:val="Piedepgina"/>
            <w:spacing w:before="60"/>
            <w:jc w:val="left"/>
            <w:rPr>
              <w:rFonts w:ascii="Arial Narrow" w:hAnsi="Arial Narrow"/>
              <w:sz w:val="19"/>
              <w:szCs w:val="19"/>
            </w:rPr>
          </w:pPr>
          <w:r w:rsidRPr="00084F8F">
            <w:rPr>
              <w:rFonts w:ascii="Arial Narrow" w:hAnsi="Arial Narrow"/>
              <w:sz w:val="19"/>
              <w:szCs w:val="19"/>
            </w:rPr>
            <w:t xml:space="preserve">Edición No. </w:t>
          </w:r>
          <w:r w:rsidR="0091559D">
            <w:rPr>
              <w:rFonts w:ascii="Arial Narrow" w:hAnsi="Arial Narrow"/>
              <w:sz w:val="19"/>
              <w:szCs w:val="19"/>
            </w:rPr>
            <w:t>1</w:t>
          </w:r>
        </w:p>
      </w:tc>
      <w:tc>
        <w:tcPr>
          <w:tcW w:w="3793" w:type="dxa"/>
          <w:tcBorders>
            <w:top w:val="single" w:sz="4" w:space="0" w:color="auto"/>
          </w:tcBorders>
          <w:vAlign w:val="center"/>
        </w:tcPr>
        <w:p w14:paraId="73FCD16C" w14:textId="6EF2F92E" w:rsidR="007D2830" w:rsidRPr="00084F8F" w:rsidRDefault="007D2830" w:rsidP="00E543E9">
          <w:pPr>
            <w:pStyle w:val="Piedepgina"/>
            <w:rPr>
              <w:rFonts w:ascii="Arial Narrow" w:hAnsi="Arial Narrow"/>
              <w:sz w:val="19"/>
              <w:szCs w:val="19"/>
            </w:rPr>
          </w:pPr>
          <w:r w:rsidRPr="00084F8F">
            <w:rPr>
              <w:rFonts w:ascii="Arial Narrow" w:hAnsi="Arial Narrow"/>
              <w:sz w:val="19"/>
              <w:szCs w:val="19"/>
            </w:rPr>
            <w:fldChar w:fldCharType="begin"/>
          </w:r>
          <w:r w:rsidRPr="00084F8F">
            <w:rPr>
              <w:rFonts w:ascii="Arial Narrow" w:hAnsi="Arial Narrow"/>
              <w:sz w:val="19"/>
              <w:szCs w:val="19"/>
            </w:rPr>
            <w:instrText xml:space="preserve"> DOCPROPERTY  Confidencialidad  \* MERGEFORMAT </w:instrText>
          </w:r>
          <w:r w:rsidRPr="00084F8F">
            <w:rPr>
              <w:rFonts w:ascii="Arial Narrow" w:hAnsi="Arial Narrow"/>
              <w:sz w:val="19"/>
              <w:szCs w:val="19"/>
            </w:rPr>
            <w:fldChar w:fldCharType="separate"/>
          </w:r>
          <w:r w:rsidR="00FA10A3">
            <w:rPr>
              <w:rFonts w:ascii="Arial Narrow" w:hAnsi="Arial Narrow"/>
              <w:sz w:val="19"/>
              <w:szCs w:val="19"/>
            </w:rPr>
            <w:t>Público</w:t>
          </w:r>
          <w:r w:rsidRPr="00084F8F">
            <w:rPr>
              <w:rFonts w:ascii="Arial Narrow" w:hAnsi="Arial Narrow"/>
              <w:sz w:val="19"/>
              <w:szCs w:val="19"/>
            </w:rPr>
            <w:fldChar w:fldCharType="end"/>
          </w:r>
          <w:r w:rsidRPr="00084F8F">
            <w:rPr>
              <w:rFonts w:ascii="Arial Narrow" w:hAnsi="Arial Narrow"/>
              <w:sz w:val="19"/>
              <w:szCs w:val="19"/>
            </w:rPr>
            <w:t xml:space="preserve"> </w:t>
          </w:r>
          <w:r>
            <w:rPr>
              <w:rFonts w:ascii="Arial Narrow" w:hAnsi="Arial Narrow"/>
              <w:sz w:val="19"/>
              <w:szCs w:val="19"/>
            </w:rPr>
            <w:t xml:space="preserve">- </w:t>
          </w:r>
          <w:r w:rsidRPr="00084F8F">
            <w:rPr>
              <w:rFonts w:ascii="Arial Narrow" w:hAnsi="Arial Narrow"/>
              <w:sz w:val="19"/>
              <w:szCs w:val="19"/>
            </w:rPr>
            <w:t xml:space="preserve">Página No. </w:t>
          </w:r>
          <w:r w:rsidRPr="00084F8F">
            <w:rPr>
              <w:rFonts w:ascii="Arial Narrow" w:hAnsi="Arial Narrow"/>
              <w:sz w:val="19"/>
              <w:szCs w:val="19"/>
            </w:rPr>
            <w:fldChar w:fldCharType="begin"/>
          </w:r>
          <w:r w:rsidRPr="00084F8F">
            <w:rPr>
              <w:rFonts w:ascii="Arial Narrow" w:hAnsi="Arial Narrow"/>
              <w:sz w:val="19"/>
              <w:szCs w:val="19"/>
            </w:rPr>
            <w:instrText xml:space="preserve"> PAGE </w:instrText>
          </w:r>
          <w:r w:rsidRPr="00084F8F">
            <w:rPr>
              <w:rFonts w:ascii="Arial Narrow" w:hAnsi="Arial Narrow"/>
              <w:sz w:val="19"/>
              <w:szCs w:val="19"/>
            </w:rPr>
            <w:fldChar w:fldCharType="separate"/>
          </w:r>
          <w:r>
            <w:rPr>
              <w:rFonts w:ascii="Arial Narrow" w:hAnsi="Arial Narrow"/>
              <w:sz w:val="19"/>
              <w:szCs w:val="19"/>
            </w:rPr>
            <w:t>13</w:t>
          </w:r>
          <w:r w:rsidRPr="00084F8F">
            <w:rPr>
              <w:rFonts w:ascii="Arial Narrow" w:hAnsi="Arial Narrow"/>
              <w:sz w:val="19"/>
              <w:szCs w:val="19"/>
            </w:rPr>
            <w:fldChar w:fldCharType="end"/>
          </w:r>
        </w:p>
      </w:tc>
      <w:tc>
        <w:tcPr>
          <w:tcW w:w="2551" w:type="dxa"/>
          <w:tcBorders>
            <w:top w:val="single" w:sz="4" w:space="0" w:color="auto"/>
          </w:tcBorders>
          <w:vAlign w:val="center"/>
        </w:tcPr>
        <w:p w14:paraId="44FB2188" w14:textId="14B27364" w:rsidR="007D2830" w:rsidRPr="00084F8F" w:rsidRDefault="007D2830" w:rsidP="006D0BB5">
          <w:pPr>
            <w:pStyle w:val="Piedepgina"/>
            <w:ind w:left="8"/>
            <w:jc w:val="right"/>
            <w:rPr>
              <w:rFonts w:ascii="Arial Narrow" w:hAnsi="Arial Narrow"/>
              <w:sz w:val="19"/>
              <w:szCs w:val="19"/>
            </w:rPr>
          </w:pPr>
          <w:r>
            <w:rPr>
              <w:rFonts w:ascii="Arial Narrow" w:hAnsi="Arial Narrow"/>
              <w:sz w:val="19"/>
              <w:szCs w:val="19"/>
            </w:rPr>
            <w:t>Vi</w:t>
          </w:r>
          <w:r w:rsidRPr="00084F8F">
            <w:rPr>
              <w:rFonts w:ascii="Arial Narrow" w:hAnsi="Arial Narrow"/>
              <w:sz w:val="19"/>
              <w:szCs w:val="19"/>
            </w:rPr>
            <w:t>gencia</w:t>
          </w:r>
          <w:r>
            <w:rPr>
              <w:rFonts w:ascii="Arial Narrow" w:hAnsi="Arial Narrow"/>
              <w:sz w:val="19"/>
              <w:szCs w:val="19"/>
            </w:rPr>
            <w:t xml:space="preserve">: </w:t>
          </w:r>
          <w:r w:rsidR="0091559D">
            <w:rPr>
              <w:rFonts w:ascii="Arial Narrow" w:hAnsi="Arial Narrow"/>
              <w:sz w:val="19"/>
              <w:szCs w:val="19"/>
            </w:rPr>
            <w:t>12</w:t>
          </w:r>
          <w:r w:rsidR="00286898">
            <w:rPr>
              <w:rFonts w:ascii="Arial Narrow" w:hAnsi="Arial Narrow"/>
              <w:sz w:val="19"/>
              <w:szCs w:val="19"/>
            </w:rPr>
            <w:t xml:space="preserve"> de </w:t>
          </w:r>
          <w:r w:rsidR="0091559D">
            <w:rPr>
              <w:rFonts w:ascii="Arial Narrow" w:hAnsi="Arial Narrow"/>
              <w:sz w:val="19"/>
              <w:szCs w:val="19"/>
            </w:rPr>
            <w:t xml:space="preserve">diciembre </w:t>
          </w:r>
          <w:r w:rsidR="00286898">
            <w:rPr>
              <w:rFonts w:ascii="Arial Narrow" w:hAnsi="Arial Narrow"/>
              <w:sz w:val="19"/>
              <w:szCs w:val="19"/>
            </w:rPr>
            <w:t xml:space="preserve">del </w:t>
          </w:r>
          <w:r>
            <w:rPr>
              <w:rFonts w:ascii="Arial Narrow" w:hAnsi="Arial Narrow"/>
              <w:sz w:val="19"/>
              <w:szCs w:val="19"/>
            </w:rPr>
            <w:t>202</w:t>
          </w:r>
          <w:r w:rsidR="0091559D">
            <w:rPr>
              <w:rFonts w:ascii="Arial Narrow" w:hAnsi="Arial Narrow"/>
              <w:sz w:val="19"/>
              <w:szCs w:val="19"/>
            </w:rPr>
            <w:t>5</w:t>
          </w:r>
        </w:p>
      </w:tc>
    </w:tr>
    <w:tr w:rsidR="007D2830" w:rsidRPr="00084F8F" w14:paraId="052EF97C" w14:textId="77777777" w:rsidTr="00574439">
      <w:tc>
        <w:tcPr>
          <w:tcW w:w="2728" w:type="dxa"/>
          <w:vAlign w:val="center"/>
        </w:tcPr>
        <w:p w14:paraId="15439140" w14:textId="77777777" w:rsidR="007D2830" w:rsidRPr="00084F8F" w:rsidRDefault="007D2830" w:rsidP="002A278F">
          <w:pPr>
            <w:pStyle w:val="Piedepgina"/>
            <w:tabs>
              <w:tab w:val="clear" w:pos="8838"/>
            </w:tabs>
            <w:rPr>
              <w:rFonts w:ascii="Arial Narrow" w:hAnsi="Arial Narrow"/>
              <w:sz w:val="19"/>
              <w:szCs w:val="19"/>
            </w:rPr>
          </w:pPr>
        </w:p>
      </w:tc>
      <w:tc>
        <w:tcPr>
          <w:tcW w:w="3793" w:type="dxa"/>
          <w:vAlign w:val="center"/>
        </w:tcPr>
        <w:p w14:paraId="5C28019D" w14:textId="01E7272E" w:rsidR="007D2830" w:rsidRPr="00084F8F" w:rsidRDefault="007D2830" w:rsidP="00ED3BE1">
          <w:pPr>
            <w:pStyle w:val="Piedepgina"/>
            <w:rPr>
              <w:rFonts w:ascii="Arial Narrow" w:hAnsi="Arial Narrow"/>
              <w:sz w:val="19"/>
              <w:szCs w:val="19"/>
            </w:rPr>
          </w:pPr>
        </w:p>
      </w:tc>
      <w:tc>
        <w:tcPr>
          <w:tcW w:w="2551" w:type="dxa"/>
          <w:vAlign w:val="center"/>
        </w:tcPr>
        <w:p w14:paraId="05D2DB2D" w14:textId="77777777" w:rsidR="007D2830" w:rsidRPr="00084F8F" w:rsidRDefault="007D2830" w:rsidP="00ED3BE1">
          <w:pPr>
            <w:pStyle w:val="Piedepgina"/>
            <w:rPr>
              <w:rFonts w:ascii="Arial Narrow" w:hAnsi="Arial Narrow"/>
              <w:sz w:val="19"/>
              <w:szCs w:val="19"/>
            </w:rPr>
          </w:pPr>
        </w:p>
      </w:tc>
    </w:tr>
  </w:tbl>
  <w:p w14:paraId="7625BCFF" w14:textId="77777777" w:rsidR="007D2830" w:rsidRPr="00512B3F" w:rsidRDefault="007D2830" w:rsidP="00ED3BE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3EC" w14:textId="77777777" w:rsidR="007D2830" w:rsidRDefault="007D2830">
    <w:r>
      <w:t>Edición No. 1</w:t>
    </w:r>
  </w:p>
  <w:p w14:paraId="07594DAC" w14:textId="596BA72A" w:rsidR="007D2830" w:rsidRDefault="007D2830">
    <w:r>
      <w:t xml:space="preserve">Fecha de impresión </w:t>
    </w:r>
    <w:r>
      <w:fldChar w:fldCharType="begin"/>
    </w:r>
    <w:r>
      <w:instrText xml:space="preserve"> PRINTDATE \@ "dd/MM/yyyy h:mm am/pm" </w:instrText>
    </w:r>
    <w:r>
      <w:fldChar w:fldCharType="separate"/>
    </w:r>
    <w:r w:rsidR="00FA10A3">
      <w:rPr>
        <w:noProof/>
      </w:rPr>
      <w:t>21/07/2015 10:09 a. m.</w:t>
    </w:r>
    <w:r>
      <w:fldChar w:fldCharType="end"/>
    </w:r>
  </w:p>
  <w:p w14:paraId="0805798F" w14:textId="77777777" w:rsidR="007D2830" w:rsidRDefault="007D2830">
    <w:r>
      <w:t xml:space="preserve">Página </w:t>
    </w:r>
    <w:r>
      <w:fldChar w:fldCharType="begin"/>
    </w:r>
    <w:r>
      <w:instrText xml:space="preserve"> PAGE </w:instrText>
    </w:r>
    <w:r>
      <w:fldChar w:fldCharType="separate"/>
    </w:r>
    <w:r w:rsidRPr="009C59FE">
      <w:t>5</w:t>
    </w:r>
    <w:r>
      <w:fldChar w:fldCharType="end"/>
    </w:r>
    <w:r>
      <w:t xml:space="preserve"> de </w:t>
    </w:r>
    <w:r>
      <w:fldChar w:fldCharType="begin"/>
    </w:r>
    <w:r>
      <w:instrText xml:space="preserve"> NUMPAGES </w:instrText>
    </w:r>
    <w:r>
      <w:fldChar w:fldCharType="separate"/>
    </w:r>
    <w:r>
      <w:rPr>
        <w:noProof/>
      </w:rPr>
      <w:t>1</w:t>
    </w:r>
    <w:r>
      <w:rPr>
        <w:noProof/>
      </w:rPr>
      <w:fldChar w:fldCharType="end"/>
    </w:r>
  </w:p>
  <w:p w14:paraId="55150DA8" w14:textId="77777777" w:rsidR="007D2830" w:rsidRDefault="007D2830"/>
  <w:p w14:paraId="23B9D467" w14:textId="77777777" w:rsidR="007D2830" w:rsidRDefault="007D28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810E8" w14:textId="77777777" w:rsidR="00EB0A0B" w:rsidRPr="00877B7D" w:rsidRDefault="00EB0A0B" w:rsidP="00877B7D">
      <w:r>
        <w:separator/>
      </w:r>
    </w:p>
  </w:footnote>
  <w:footnote w:type="continuationSeparator" w:id="0">
    <w:p w14:paraId="5CE5A5D6" w14:textId="77777777" w:rsidR="00EB0A0B" w:rsidRPr="00877B7D" w:rsidRDefault="00EB0A0B" w:rsidP="00877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1422" w14:textId="58ED0AD7" w:rsidR="007D2830" w:rsidRDefault="00277D70" w:rsidP="00ED3BE1">
    <w:r>
      <w:rPr>
        <w:noProof/>
      </w:rPr>
      <mc:AlternateContent>
        <mc:Choice Requires="wps">
          <w:drawing>
            <wp:anchor distT="0" distB="0" distL="114300" distR="114300" simplePos="0" relativeHeight="251654656" behindDoc="0" locked="0" layoutInCell="1" allowOverlap="1" wp14:anchorId="472F0A83" wp14:editId="354CA89B">
              <wp:simplePos x="0" y="0"/>
              <wp:positionH relativeFrom="column">
                <wp:posOffset>960120</wp:posOffset>
              </wp:positionH>
              <wp:positionV relativeFrom="paragraph">
                <wp:posOffset>-407035</wp:posOffset>
              </wp:positionV>
              <wp:extent cx="119380" cy="4572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5560F" id="Rectangle 1" o:spid="_x0000_s1026" style="position:absolute;margin-left:75.6pt;margin-top:-32.05pt;width:9.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FB38" w14:textId="028C7EB4" w:rsidR="007D2830" w:rsidRPr="00D03B7F" w:rsidRDefault="00AF14DA" w:rsidP="00080C02">
    <w:r w:rsidRPr="00AF14DA">
      <w:rPr>
        <w:noProof/>
      </w:rPr>
      <w:drawing>
        <wp:anchor distT="0" distB="0" distL="114300" distR="114300" simplePos="0" relativeHeight="251670016" behindDoc="1" locked="0" layoutInCell="1" allowOverlap="1" wp14:anchorId="62E583A6" wp14:editId="57627DDA">
          <wp:simplePos x="0" y="0"/>
          <wp:positionH relativeFrom="leftMargin">
            <wp:posOffset>429853</wp:posOffset>
          </wp:positionH>
          <wp:positionV relativeFrom="paragraph">
            <wp:posOffset>-418465</wp:posOffset>
          </wp:positionV>
          <wp:extent cx="882650" cy="455930"/>
          <wp:effectExtent l="38100" t="38100" r="31750" b="96520"/>
          <wp:wrapTight wrapText="bothSides">
            <wp:wrapPolygon edited="0">
              <wp:start x="-932" y="-1805"/>
              <wp:lineTo x="2331" y="14440"/>
              <wp:lineTo x="3729" y="25270"/>
              <wp:lineTo x="8391" y="25270"/>
              <wp:lineTo x="8858" y="23465"/>
              <wp:lineTo x="18181" y="14440"/>
              <wp:lineTo x="21911" y="-1805"/>
              <wp:lineTo x="-932" y="-1805"/>
            </wp:wrapPolygon>
          </wp:wrapTight>
          <wp:docPr id="1511089743" name="Imagen 7" descr="Logotipo, nombre de la empresa&#10;&#10;El contenido generado por IA puede ser incorrecto.">
            <a:extLst xmlns:a="http://schemas.openxmlformats.org/drawingml/2006/main">
              <a:ext uri="{FF2B5EF4-FFF2-40B4-BE49-F238E27FC236}">
                <a16:creationId xmlns:a16="http://schemas.microsoft.com/office/drawing/2014/main" id="{D2FFAE06-6F58-475C-825C-A6F3C45FC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9743" name="Imagen 7" descr="Logotipo, nombre de la empresa&#10;&#10;El contenido generado por IA puede ser incorrecto.">
                    <a:extLst>
                      <a:ext uri="{FF2B5EF4-FFF2-40B4-BE49-F238E27FC236}">
                        <a16:creationId xmlns:a16="http://schemas.microsoft.com/office/drawing/2014/main" id="{D2FFAE06-6F58-475C-825C-A6F3C45FCECC}"/>
                      </a:ext>
                    </a:extLst>
                  </pic:cNvPr>
                  <pic:cNvPicPr>
                    <a:picLocks noChangeAspect="1"/>
                  </pic:cNvPicPr>
                </pic:nvPicPr>
                <pic:blipFill rotWithShape="1">
                  <a:blip r:embed="rId1">
                    <a:clrChange>
                      <a:clrFrom>
                        <a:srgbClr val="000000"/>
                      </a:clrFrom>
                      <a:clrTo>
                        <a:srgbClr val="000000">
                          <a:alpha val="0"/>
                        </a:srgbClr>
                      </a:clrTo>
                    </a:clrChange>
                    <a:lum bright="70000" contrast="-70000"/>
                    <a:extLst>
                      <a:ext uri="{28A0092B-C50C-407E-A947-70E740481C1C}">
                        <a14:useLocalDpi xmlns:a14="http://schemas.microsoft.com/office/drawing/2010/main" val="0"/>
                      </a:ext>
                    </a:extLst>
                  </a:blip>
                  <a:srcRect t="11033" b="15517"/>
                  <a:stretch/>
                </pic:blipFill>
                <pic:spPr>
                  <a:xfrm>
                    <a:off x="0" y="0"/>
                    <a:ext cx="882650" cy="4559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77D70">
      <w:rPr>
        <w:noProof/>
      </w:rPr>
      <mc:AlternateContent>
        <mc:Choice Requires="wps">
          <w:drawing>
            <wp:anchor distT="0" distB="0" distL="114300" distR="114300" simplePos="0" relativeHeight="251650560" behindDoc="0" locked="1" layoutInCell="1" allowOverlap="1" wp14:anchorId="72B32FDC" wp14:editId="265828C3">
              <wp:simplePos x="0" y="0"/>
              <wp:positionH relativeFrom="column">
                <wp:posOffset>565150</wp:posOffset>
              </wp:positionH>
              <wp:positionV relativeFrom="paragraph">
                <wp:posOffset>-237490</wp:posOffset>
              </wp:positionV>
              <wp:extent cx="5305425" cy="22860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C3CD2" w14:textId="7B3725CF" w:rsidR="007D2830" w:rsidRPr="00361345" w:rsidRDefault="007D2830" w:rsidP="002A278F">
                          <w:pPr>
                            <w:pStyle w:val="Encabezado"/>
                            <w:jc w:val="right"/>
                            <w:rPr>
                              <w:color w:val="D9E2F3" w:themeColor="accent1" w:themeTint="33"/>
                            </w:rPr>
                          </w:pPr>
                          <w:r w:rsidRPr="00361345">
                            <w:rPr>
                              <w:color w:val="D9E2F3" w:themeColor="accent1" w:themeTint="33"/>
                            </w:rPr>
                            <w:t xml:space="preserve">Norma </w:t>
                          </w:r>
                          <w:r w:rsidR="007C189E" w:rsidRPr="00361345">
                            <w:rPr>
                              <w:color w:val="D9E2F3" w:themeColor="accent1" w:themeTint="33"/>
                            </w:rPr>
                            <w:t xml:space="preserve">Complementaria </w:t>
                          </w:r>
                          <w:r w:rsidR="00AF467B" w:rsidRPr="00361345">
                            <w:rPr>
                              <w:color w:val="D9E2F3" w:themeColor="accent1" w:themeTint="33"/>
                            </w:rPr>
                            <w:t>SINPE-TP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32FDC" id="_x0000_t202" coordsize="21600,21600" o:spt="202" path="m,l,21600r21600,l21600,xe">
              <v:stroke joinstyle="miter"/>
              <v:path gradientshapeok="t" o:connecttype="rect"/>
            </v:shapetype>
            <v:shape id="Cuadro de texto 5" o:spid="_x0000_s1041" type="#_x0000_t202" style="position:absolute;left:0;text-align:left;margin-left:44.5pt;margin-top:-18.7pt;width:417.7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" filled="f" stroked="f">
              <v:textbox>
                <w:txbxContent>
                  <w:p w14:paraId="060C3CD2" w14:textId="7B3725CF" w:rsidR="007D2830" w:rsidRPr="00361345" w:rsidRDefault="007D2830" w:rsidP="002A278F">
                    <w:pPr>
                      <w:pStyle w:val="Encabezado"/>
                      <w:jc w:val="right"/>
                      <w:rPr>
                        <w:color w:val="D9E2F3" w:themeColor="accent1" w:themeTint="33"/>
                      </w:rPr>
                    </w:pPr>
                    <w:r w:rsidRPr="00361345">
                      <w:rPr>
                        <w:color w:val="D9E2F3" w:themeColor="accent1" w:themeTint="33"/>
                      </w:rPr>
                      <w:t xml:space="preserve">Norma </w:t>
                    </w:r>
                    <w:r w:rsidR="007C189E" w:rsidRPr="00361345">
                      <w:rPr>
                        <w:color w:val="D9E2F3" w:themeColor="accent1" w:themeTint="33"/>
                      </w:rPr>
                      <w:t xml:space="preserve">Complementaria </w:t>
                    </w:r>
                    <w:r w:rsidR="00AF467B" w:rsidRPr="00361345">
                      <w:rPr>
                        <w:color w:val="D9E2F3" w:themeColor="accent1" w:themeTint="33"/>
                      </w:rPr>
                      <w:t>SINPE-TP</w:t>
                    </w:r>
                  </w:p>
                </w:txbxContent>
              </v:textbox>
              <w10:anchorlock/>
            </v:shape>
          </w:pict>
        </mc:Fallback>
      </mc:AlternateContent>
    </w:r>
    <w:r w:rsidR="00277D70">
      <w:rPr>
        <w:noProof/>
      </w:rPr>
      <mc:AlternateContent>
        <mc:Choice Requires="wps">
          <w:drawing>
            <wp:anchor distT="0" distB="0" distL="114300" distR="114300" simplePos="0" relativeHeight="251647488" behindDoc="0" locked="1" layoutInCell="1" allowOverlap="1" wp14:anchorId="5F3FF6D1" wp14:editId="48CDCE2A">
              <wp:simplePos x="0" y="0"/>
              <wp:positionH relativeFrom="column">
                <wp:posOffset>438150</wp:posOffset>
              </wp:positionH>
              <wp:positionV relativeFrom="paragraph">
                <wp:posOffset>-374650</wp:posOffset>
              </wp:positionV>
              <wp:extent cx="119380" cy="457200"/>
              <wp:effectExtent l="0" t="0" r="0" b="0"/>
              <wp:wrapNone/>
              <wp:docPr id="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9882D" id="Rectángulo 4" o:spid="_x0000_s1026" style="position:absolute;margin-left:34.5pt;margin-top:-29.5pt;width:9.4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" stroked="f">
              <w10:anchorlock/>
            </v:rect>
          </w:pict>
        </mc:Fallback>
      </mc:AlternateContent>
    </w:r>
    <w:r w:rsidR="00277D70">
      <w:rPr>
        <w:noProof/>
      </w:rPr>
      <mc:AlternateContent>
        <mc:Choice Requires="wps">
          <w:drawing>
            <wp:anchor distT="0" distB="0" distL="114300" distR="114300" simplePos="0" relativeHeight="251653632" behindDoc="0" locked="1" layoutInCell="1" allowOverlap="1" wp14:anchorId="33EC9F58" wp14:editId="725C4AA1">
              <wp:simplePos x="0" y="0"/>
              <wp:positionH relativeFrom="column">
                <wp:posOffset>438150</wp:posOffset>
              </wp:positionH>
              <wp:positionV relativeFrom="paragraph">
                <wp:posOffset>-469900</wp:posOffset>
              </wp:positionV>
              <wp:extent cx="119380" cy="457200"/>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FD3E8" id="Rectángulo 4" o:spid="_x0000_s1026" style="position:absolute;margin-left:34.5pt;margin-top:-37pt;width:9.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" stroked="f">
              <w10:anchorlock/>
            </v:rect>
          </w:pict>
        </mc:Fallback>
      </mc:AlternateContent>
    </w:r>
    <w:r w:rsidR="00277D70">
      <w:rPr>
        <w:noProof/>
      </w:rPr>
      <mc:AlternateContent>
        <mc:Choice Requires="wps">
          <w:drawing>
            <wp:anchor distT="0" distB="0" distL="114300" distR="114300" simplePos="0" relativeHeight="251656704" behindDoc="0" locked="1" layoutInCell="1" allowOverlap="1" wp14:anchorId="17A9D0A2" wp14:editId="272A0D75">
              <wp:simplePos x="0" y="0"/>
              <wp:positionH relativeFrom="column">
                <wp:posOffset>-412750</wp:posOffset>
              </wp:positionH>
              <wp:positionV relativeFrom="paragraph">
                <wp:posOffset>-374650</wp:posOffset>
              </wp:positionV>
              <wp:extent cx="660400" cy="356235"/>
              <wp:effectExtent l="0" t="0" r="0" b="0"/>
              <wp:wrapNone/>
              <wp:docPr id="5"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C6D6E" w14:textId="6F113789" w:rsidR="007D2830" w:rsidRPr="00E2476F" w:rsidRDefault="007D2830" w:rsidP="00815781"/>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D0A2" id="Cuadro de texto 3" o:spid="_x0000_s1042" type="#_x0000_t202" style="position:absolute;left:0;text-align:left;margin-left:-32.5pt;margin-top:-29.5pt;width:52pt;height:28.0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" filled="f" stroked="f">
              <v:textbox>
                <w:txbxContent>
                  <w:p w14:paraId="145C6D6E" w14:textId="6F113789" w:rsidR="007D2830" w:rsidRPr="00E2476F" w:rsidRDefault="007D2830" w:rsidP="00815781"/>
                </w:txbxContent>
              </v:textbox>
              <w10:anchorlock/>
            </v:shape>
          </w:pict>
        </mc:Fallback>
      </mc:AlternateContent>
    </w:r>
    <w:r w:rsidR="00277D70">
      <w:rPr>
        <w:noProof/>
      </w:rPr>
      <mc:AlternateContent>
        <mc:Choice Requires="wps">
          <w:drawing>
            <wp:anchor distT="0" distB="0" distL="114300" distR="114300" simplePos="0" relativeHeight="251666944" behindDoc="1" locked="1" layoutInCell="1" allowOverlap="1" wp14:anchorId="68B58C46" wp14:editId="5C83A2D5">
              <wp:simplePos x="0" y="0"/>
              <wp:positionH relativeFrom="column">
                <wp:posOffset>-2682240</wp:posOffset>
              </wp:positionH>
              <wp:positionV relativeFrom="paragraph">
                <wp:posOffset>-521335</wp:posOffset>
              </wp:positionV>
              <wp:extent cx="10584180" cy="594360"/>
              <wp:effectExtent l="0" t="0" r="7620" b="0"/>
              <wp:wrapNone/>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chemeClr val="accent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4B32E" id="Rectángulo 1" o:spid="_x0000_s1026" style="position:absolute;margin-left:-211.2pt;margin-top:-41.05pt;width:833.4pt;height:46.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" fillcolor="#2f5496 [2404]" stroked="f">
              <w10:anchorlock/>
            </v:rect>
          </w:pict>
        </mc:Fallback>
      </mc:AlternateContent>
    </w:r>
    <w:r w:rsidR="00277D70">
      <w:rPr>
        <w:noProof/>
      </w:rPr>
      <mc:AlternateContent>
        <mc:Choice Requires="wps">
          <w:drawing>
            <wp:anchor distT="0" distB="0" distL="114300" distR="114300" simplePos="0" relativeHeight="251663872" behindDoc="1" locked="1" layoutInCell="1" allowOverlap="1" wp14:anchorId="17D346D4" wp14:editId="5C3E0014">
              <wp:simplePos x="0" y="0"/>
              <wp:positionH relativeFrom="column">
                <wp:posOffset>-2682240</wp:posOffset>
              </wp:positionH>
              <wp:positionV relativeFrom="paragraph">
                <wp:posOffset>-521335</wp:posOffset>
              </wp:positionV>
              <wp:extent cx="10584180" cy="594360"/>
              <wp:effectExtent l="0" t="0" r="0" b="0"/>
              <wp:wrapNone/>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4180" cy="594360"/>
                      </a:xfrm>
                      <a:prstGeom prst="rect">
                        <a:avLst/>
                      </a:prstGeom>
                      <a:solidFill>
                        <a:srgbClr val="1C4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5B7DF" id="Rectángulo 1" o:spid="_x0000_s1026" style="position:absolute;margin-left:-211.2pt;margin-top:-41.05pt;width:833.4pt;height:46.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" fillcolor="#1c4598" stroked="f">
              <w10:anchorlock/>
            </v:rect>
          </w:pict>
        </mc:Fallback>
      </mc:AlternateContent>
    </w:r>
  </w:p>
  <w:p w14:paraId="52064B9D" w14:textId="77777777" w:rsidR="007D2830" w:rsidRPr="007B33FF" w:rsidRDefault="007D2830" w:rsidP="00ED3B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75C2" w14:textId="77777777" w:rsidR="007D2830" w:rsidRDefault="007D28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4E0EC4E"/>
    <w:lvl w:ilvl="0">
      <w:start w:val="1"/>
      <w:numFmt w:val="decimal"/>
      <w:pStyle w:val="Listaconnmeros2"/>
      <w:lvlText w:val="%1."/>
      <w:lvlJc w:val="left"/>
      <w:pPr>
        <w:tabs>
          <w:tab w:val="num" w:pos="643"/>
        </w:tabs>
        <w:ind w:left="643" w:hanging="360"/>
      </w:pPr>
    </w:lvl>
  </w:abstractNum>
  <w:abstractNum w:abstractNumId="1" w15:restartNumberingAfterBreak="0">
    <w:nsid w:val="086661C7"/>
    <w:multiLevelType w:val="hybridMultilevel"/>
    <w:tmpl w:val="A39C4708"/>
    <w:lvl w:ilvl="0" w:tplc="4DB690F0">
      <w:start w:val="1"/>
      <w:numFmt w:val="lowerLetter"/>
      <w:lvlText w:val="%1)"/>
      <w:lvlJc w:val="left"/>
      <w:pPr>
        <w:tabs>
          <w:tab w:val="num" w:pos="737"/>
        </w:tabs>
        <w:ind w:left="737" w:hanging="340"/>
      </w:pPr>
      <w:rPr>
        <w:rFonts w:ascii="Arial" w:hAnsi="Arial" w:hint="default"/>
        <w:b w:val="0"/>
        <w:i w:val="0"/>
        <w:caps w:val="0"/>
        <w:strike w:val="0"/>
        <w:dstrike w:val="0"/>
        <w:vanish w:val="0"/>
        <w:color w:val="auto"/>
        <w:sz w:val="20"/>
        <w:szCs w:val="20"/>
        <w:u w:val="none"/>
        <w:vertAlign w:val="baseline"/>
      </w:rPr>
    </w:lvl>
    <w:lvl w:ilvl="1" w:tplc="140A0019">
      <w:start w:val="1"/>
      <w:numFmt w:val="lowerLetter"/>
      <w:lvlText w:val="%2."/>
      <w:lvlJc w:val="left"/>
      <w:pPr>
        <w:ind w:left="2131" w:hanging="360"/>
      </w:pPr>
    </w:lvl>
    <w:lvl w:ilvl="2" w:tplc="140A001B" w:tentative="1">
      <w:start w:val="1"/>
      <w:numFmt w:val="lowerRoman"/>
      <w:lvlText w:val="%3."/>
      <w:lvlJc w:val="right"/>
      <w:pPr>
        <w:ind w:left="2851" w:hanging="180"/>
      </w:pPr>
    </w:lvl>
    <w:lvl w:ilvl="3" w:tplc="140A000F" w:tentative="1">
      <w:start w:val="1"/>
      <w:numFmt w:val="decimal"/>
      <w:lvlText w:val="%4."/>
      <w:lvlJc w:val="left"/>
      <w:pPr>
        <w:ind w:left="3571" w:hanging="360"/>
      </w:pPr>
    </w:lvl>
    <w:lvl w:ilvl="4" w:tplc="140A0019" w:tentative="1">
      <w:start w:val="1"/>
      <w:numFmt w:val="lowerLetter"/>
      <w:lvlText w:val="%5."/>
      <w:lvlJc w:val="left"/>
      <w:pPr>
        <w:ind w:left="4291" w:hanging="360"/>
      </w:pPr>
    </w:lvl>
    <w:lvl w:ilvl="5" w:tplc="140A001B" w:tentative="1">
      <w:start w:val="1"/>
      <w:numFmt w:val="lowerRoman"/>
      <w:lvlText w:val="%6."/>
      <w:lvlJc w:val="right"/>
      <w:pPr>
        <w:ind w:left="5011" w:hanging="180"/>
      </w:pPr>
    </w:lvl>
    <w:lvl w:ilvl="6" w:tplc="140A000F" w:tentative="1">
      <w:start w:val="1"/>
      <w:numFmt w:val="decimal"/>
      <w:lvlText w:val="%7."/>
      <w:lvlJc w:val="left"/>
      <w:pPr>
        <w:ind w:left="5731" w:hanging="360"/>
      </w:pPr>
    </w:lvl>
    <w:lvl w:ilvl="7" w:tplc="140A0019" w:tentative="1">
      <w:start w:val="1"/>
      <w:numFmt w:val="lowerLetter"/>
      <w:lvlText w:val="%8."/>
      <w:lvlJc w:val="left"/>
      <w:pPr>
        <w:ind w:left="6451" w:hanging="360"/>
      </w:pPr>
    </w:lvl>
    <w:lvl w:ilvl="8" w:tplc="140A001B" w:tentative="1">
      <w:start w:val="1"/>
      <w:numFmt w:val="lowerRoman"/>
      <w:lvlText w:val="%9."/>
      <w:lvlJc w:val="right"/>
      <w:pPr>
        <w:ind w:left="7171" w:hanging="180"/>
      </w:pPr>
    </w:lvl>
  </w:abstractNum>
  <w:abstractNum w:abstractNumId="2" w15:restartNumberingAfterBreak="0">
    <w:nsid w:val="11470544"/>
    <w:multiLevelType w:val="multilevel"/>
    <w:tmpl w:val="1B6A1EAA"/>
    <w:lvl w:ilvl="0">
      <w:start w:val="1"/>
      <w:numFmt w:val="decimal"/>
      <w:pStyle w:val="ListaNivel3"/>
      <w:lvlText w:val="%1."/>
      <w:lvlJc w:val="left"/>
      <w:pPr>
        <w:tabs>
          <w:tab w:val="num" w:pos="340"/>
        </w:tabs>
        <w:ind w:left="340" w:hanging="340"/>
      </w:pPr>
      <w:rPr>
        <w:rFonts w:ascii="Arial" w:hAnsi="Arial" w:cs="Times New Roman" w:hint="default"/>
        <w:b/>
        <w:bCs w:val="0"/>
        <w:i w:val="0"/>
        <w:iCs w:val="0"/>
        <w:caps w:val="0"/>
        <w:smallCaps w:val="0"/>
        <w:strike w:val="0"/>
        <w:dstrike w:val="0"/>
        <w:snapToGrid w:val="0"/>
        <w:vanish w:val="0"/>
        <w:color w:val="auto"/>
        <w:spacing w:val="0"/>
        <w:kern w:val="0"/>
        <w:position w:val="0"/>
        <w:sz w:val="24"/>
        <w:szCs w:val="24"/>
        <w:u w:val="none"/>
        <w:effect w:val="none"/>
        <w:vertAlign w:val="baseline"/>
        <w:em w:val="none"/>
        <w:lang w:val="es-CR"/>
      </w:rPr>
    </w:lvl>
    <w:lvl w:ilvl="1">
      <w:start w:val="1"/>
      <w:numFmt w:val="decimal"/>
      <w:lvlText w:val="%1.%2."/>
      <w:lvlJc w:val="left"/>
      <w:pPr>
        <w:tabs>
          <w:tab w:val="num" w:pos="510"/>
        </w:tabs>
        <w:ind w:left="510" w:hanging="510"/>
      </w:pPr>
      <w:rPr>
        <w:rFonts w:ascii="Arial" w:hAnsi="Arial" w:cs="Times New Roman" w:hint="default"/>
        <w:b/>
        <w:bCs w:val="0"/>
        <w:i w:val="0"/>
        <w:iCs w:val="0"/>
        <w:caps w:val="0"/>
        <w:strike w:val="0"/>
        <w:dstrike w:val="0"/>
        <w:snapToGrid w:val="0"/>
        <w:vanish w:val="0"/>
        <w:color w:val="auto"/>
        <w:spacing w:val="0"/>
        <w:kern w:val="0"/>
        <w:position w:val="0"/>
        <w:sz w:val="22"/>
        <w:szCs w:val="22"/>
        <w:u w:val="none"/>
        <w:vertAlign w:val="baseline"/>
        <w:em w:val="none"/>
      </w:rPr>
    </w:lvl>
    <w:lvl w:ilvl="2">
      <w:start w:val="1"/>
      <w:numFmt w:val="decimal"/>
      <w:lvlText w:val="%1.%2.%3."/>
      <w:lvlJc w:val="left"/>
      <w:pPr>
        <w:tabs>
          <w:tab w:val="num" w:pos="624"/>
        </w:tabs>
        <w:ind w:left="624" w:hanging="624"/>
      </w:pPr>
      <w:rPr>
        <w:rFonts w:ascii="Arial" w:hAnsi="Arial" w:cs="Times New Roman" w:hint="default"/>
        <w:b/>
        <w:bCs w:val="0"/>
        <w:i w:val="0"/>
        <w:iCs w:val="0"/>
        <w:caps w:val="0"/>
        <w:strike w:val="0"/>
        <w:dstrike w:val="0"/>
        <w:snapToGrid w:val="0"/>
        <w:vanish w:val="0"/>
        <w:color w:val="auto"/>
        <w:spacing w:val="0"/>
        <w:kern w:val="0"/>
        <w:position w:val="0"/>
        <w:sz w:val="20"/>
        <w:szCs w:val="20"/>
        <w:u w:val="none"/>
        <w:vertAlign w:val="baseline"/>
        <w:em w:val="none"/>
      </w:rPr>
    </w:lvl>
    <w:lvl w:ilvl="3">
      <w:start w:val="1"/>
      <w:numFmt w:val="decimal"/>
      <w:lvlText w:val="%1.%2.%3.%4."/>
      <w:lvlJc w:val="left"/>
      <w:pPr>
        <w:tabs>
          <w:tab w:val="num" w:pos="851"/>
        </w:tabs>
        <w:ind w:left="851" w:hanging="851"/>
      </w:pPr>
      <w:rPr>
        <w:rFonts w:ascii="Arial" w:hAnsi="Arial" w:hint="default"/>
        <w:b/>
        <w:i w:val="0"/>
        <w:caps w:val="0"/>
        <w:strike w:val="0"/>
        <w:dstrike w:val="0"/>
        <w:vanish w:val="0"/>
        <w:color w:val="auto"/>
        <w:sz w:val="20"/>
        <w:szCs w:val="20"/>
        <w:u w:val="none"/>
        <w:vertAlign w:val="baseline"/>
      </w:rPr>
    </w:lvl>
    <w:lvl w:ilvl="4">
      <w:start w:val="1"/>
      <w:numFmt w:val="decimal"/>
      <w:lvlText w:val="%1.%2.%3.%4.%5"/>
      <w:lvlJc w:val="left"/>
      <w:pPr>
        <w:tabs>
          <w:tab w:val="num" w:pos="4842"/>
        </w:tabs>
        <w:ind w:left="4410" w:hanging="1008"/>
      </w:pPr>
      <w:rPr>
        <w:rFonts w:ascii="Arial" w:hAnsi="Arial" w:hint="default"/>
        <w:b/>
        <w:i w:val="0"/>
        <w:sz w:val="18"/>
        <w:szCs w:val="18"/>
      </w:rPr>
    </w:lvl>
    <w:lvl w:ilvl="5">
      <w:start w:val="1"/>
      <w:numFmt w:val="decimal"/>
      <w:lvlText w:val="%1.%2.%3.%4.%5.%6."/>
      <w:lvlJc w:val="left"/>
      <w:pPr>
        <w:tabs>
          <w:tab w:val="num" w:pos="4554"/>
        </w:tabs>
        <w:ind w:left="4554" w:hanging="1152"/>
      </w:pPr>
      <w:rPr>
        <w:rFonts w:ascii="Arial" w:hAnsi="Arial" w:hint="default"/>
        <w:b/>
        <w:i w:val="0"/>
        <w:sz w:val="18"/>
        <w:szCs w:val="18"/>
      </w:rPr>
    </w:lvl>
    <w:lvl w:ilvl="6">
      <w:start w:val="1"/>
      <w:numFmt w:val="decimal"/>
      <w:lvlText w:val="%1.%2.%3.%4.%5.%6.%7"/>
      <w:lvlJc w:val="left"/>
      <w:pPr>
        <w:tabs>
          <w:tab w:val="num" w:pos="4698"/>
        </w:tabs>
        <w:ind w:left="4698" w:hanging="1296"/>
      </w:pPr>
      <w:rPr>
        <w:rFonts w:hint="default"/>
      </w:rPr>
    </w:lvl>
    <w:lvl w:ilvl="7">
      <w:start w:val="1"/>
      <w:numFmt w:val="decimal"/>
      <w:lvlText w:val="%1.%2.%3.%4.%5.%6.%7.%8"/>
      <w:lvlJc w:val="left"/>
      <w:pPr>
        <w:tabs>
          <w:tab w:val="num" w:pos="4842"/>
        </w:tabs>
        <w:ind w:left="4842" w:hanging="1440"/>
      </w:pPr>
      <w:rPr>
        <w:rFonts w:hint="default"/>
      </w:rPr>
    </w:lvl>
    <w:lvl w:ilvl="8">
      <w:start w:val="1"/>
      <w:numFmt w:val="decimal"/>
      <w:lvlText w:val="%1.%2.%3.%4.%5.%6.%7.%8.%9"/>
      <w:lvlJc w:val="left"/>
      <w:pPr>
        <w:tabs>
          <w:tab w:val="num" w:pos="4986"/>
        </w:tabs>
        <w:ind w:left="4986" w:hanging="1584"/>
      </w:pPr>
      <w:rPr>
        <w:rFonts w:hint="default"/>
      </w:rPr>
    </w:lvl>
  </w:abstractNum>
  <w:abstractNum w:abstractNumId="3" w15:restartNumberingAfterBreak="0">
    <w:nsid w:val="310C6196"/>
    <w:multiLevelType w:val="multilevel"/>
    <w:tmpl w:val="956E4030"/>
    <w:lvl w:ilvl="0">
      <w:start w:val="1"/>
      <w:numFmt w:val="lowerLetter"/>
      <w:pStyle w:val="Ttulo1"/>
      <w:suff w:val="space"/>
      <w:lvlText w:val="%1."/>
      <w:lvlJc w:val="left"/>
      <w:rPr>
        <w:rFonts w:ascii="Arial" w:hAnsi="Arial" w:hint="default"/>
        <w:b/>
        <w:i w:val="0"/>
        <w:caps w:val="0"/>
        <w:strike w:val="0"/>
        <w:dstrike w:val="0"/>
        <w:vanish w:val="0"/>
        <w:color w:val="auto"/>
        <w:sz w:val="20"/>
        <w:szCs w:val="20"/>
        <w:u w:val="none"/>
        <w:vertAlign w:val="baseline"/>
        <w:lang w:val="es-ES_tradnl"/>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Ttulo2"/>
      <w:suff w:val="space"/>
      <w:lvlText w:val="%2"/>
      <w:lvlJc w:val="left"/>
      <w:pPr>
        <w:ind w:left="229" w:firstLine="0"/>
      </w:pPr>
      <w:rPr>
        <w:rFonts w:ascii="Arial" w:hAnsi="Arial" w:hint="default"/>
        <w:b w:val="0"/>
        <w:i w:val="0"/>
        <w:color w:val="auto"/>
        <w:sz w:val="20"/>
        <w:szCs w:val="20"/>
        <w:u w:val="none"/>
      </w:rPr>
    </w:lvl>
    <w:lvl w:ilvl="2">
      <w:start w:val="1"/>
      <w:numFmt w:val="none"/>
      <w:pStyle w:val="Ttulo3"/>
      <w:lvlText w:val="%3"/>
      <w:lvlJc w:val="left"/>
      <w:pPr>
        <w:tabs>
          <w:tab w:val="num" w:pos="1626"/>
        </w:tabs>
        <w:ind w:left="1626" w:hanging="360"/>
      </w:pPr>
      <w:rPr>
        <w:rFonts w:hint="default"/>
      </w:rPr>
    </w:lvl>
    <w:lvl w:ilvl="3">
      <w:start w:val="1"/>
      <w:numFmt w:val="none"/>
      <w:pStyle w:val="Ttulo4"/>
      <w:lvlText w:val=""/>
      <w:lvlJc w:val="left"/>
      <w:pPr>
        <w:tabs>
          <w:tab w:val="num" w:pos="31680"/>
        </w:tabs>
        <w:ind w:left="1986" w:hanging="360"/>
      </w:pPr>
      <w:rPr>
        <w:rFonts w:hint="default"/>
      </w:rPr>
    </w:lvl>
    <w:lvl w:ilvl="4">
      <w:start w:val="1"/>
      <w:numFmt w:val="none"/>
      <w:pStyle w:val="Ttulo5"/>
      <w:lvlText w:val=""/>
      <w:lvlJc w:val="left"/>
      <w:pPr>
        <w:tabs>
          <w:tab w:val="num" w:pos="2346"/>
        </w:tabs>
        <w:ind w:left="2346" w:hanging="360"/>
      </w:pPr>
      <w:rPr>
        <w:rFonts w:hint="default"/>
      </w:rPr>
    </w:lvl>
    <w:lvl w:ilvl="5">
      <w:start w:val="1"/>
      <w:numFmt w:val="none"/>
      <w:pStyle w:val="Ttulo6"/>
      <w:lvlText w:val=""/>
      <w:lvlJc w:val="left"/>
      <w:pPr>
        <w:tabs>
          <w:tab w:val="num" w:pos="2706"/>
        </w:tabs>
        <w:ind w:left="2706" w:hanging="360"/>
      </w:pPr>
      <w:rPr>
        <w:rFonts w:hint="default"/>
      </w:rPr>
    </w:lvl>
    <w:lvl w:ilvl="6">
      <w:start w:val="1"/>
      <w:numFmt w:val="none"/>
      <w:pStyle w:val="Ttulo7"/>
      <w:lvlText w:val=""/>
      <w:lvlJc w:val="left"/>
      <w:pPr>
        <w:tabs>
          <w:tab w:val="num" w:pos="3066"/>
        </w:tabs>
        <w:ind w:left="3066" w:hanging="360"/>
      </w:pPr>
      <w:rPr>
        <w:rFonts w:hint="default"/>
      </w:rPr>
    </w:lvl>
    <w:lvl w:ilvl="7">
      <w:start w:val="1"/>
      <w:numFmt w:val="none"/>
      <w:pStyle w:val="Ttulo8"/>
      <w:lvlText w:val=""/>
      <w:lvlJc w:val="left"/>
      <w:pPr>
        <w:tabs>
          <w:tab w:val="num" w:pos="3426"/>
        </w:tabs>
        <w:ind w:left="3426" w:hanging="360"/>
      </w:pPr>
      <w:rPr>
        <w:rFonts w:hint="default"/>
      </w:rPr>
    </w:lvl>
    <w:lvl w:ilvl="8">
      <w:start w:val="1"/>
      <w:numFmt w:val="none"/>
      <w:lvlText w:val=""/>
      <w:lvlJc w:val="left"/>
      <w:pPr>
        <w:tabs>
          <w:tab w:val="num" w:pos="3786"/>
        </w:tabs>
        <w:ind w:left="3786" w:hanging="360"/>
      </w:pPr>
      <w:rPr>
        <w:rFonts w:hint="default"/>
      </w:rPr>
    </w:lvl>
  </w:abstractNum>
  <w:abstractNum w:abstractNumId="4" w15:restartNumberingAfterBreak="0">
    <w:nsid w:val="39633D9A"/>
    <w:multiLevelType w:val="hybridMultilevel"/>
    <w:tmpl w:val="32FE8294"/>
    <w:lvl w:ilvl="0" w:tplc="140A0017">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5227C4"/>
    <w:multiLevelType w:val="hybridMultilevel"/>
    <w:tmpl w:val="2438F7BE"/>
    <w:lvl w:ilvl="0" w:tplc="B9EE8AE6">
      <w:start w:val="1"/>
      <w:numFmt w:val="lowerRoman"/>
      <w:lvlText w:val="%1)"/>
      <w:lvlJc w:val="left"/>
      <w:rPr>
        <w:rFonts w:ascii="Arial" w:hAnsi="Arial" w:cs="Times New Roman" w:hint="default"/>
        <w:b/>
        <w:bCs w:val="0"/>
        <w:i w:val="0"/>
        <w:iCs w:val="0"/>
        <w:caps w:val="0"/>
        <w:smallCaps w:val="0"/>
        <w:strike w:val="0"/>
        <w:dstrike w:val="0"/>
        <w:noProof w:val="0"/>
        <w:snapToGrid w:val="0"/>
        <w:vanish w:val="0"/>
        <w:color w:val="auto"/>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C24E93"/>
    <w:multiLevelType w:val="hybridMultilevel"/>
    <w:tmpl w:val="637052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E692BF1"/>
    <w:multiLevelType w:val="hybridMultilevel"/>
    <w:tmpl w:val="32FE8294"/>
    <w:lvl w:ilvl="0" w:tplc="FFFFFFFF">
      <w:start w:val="1"/>
      <w:numFmt w:val="lowerLetter"/>
      <w:lvlText w:val="%1)"/>
      <w:lvlJc w:val="left"/>
      <w:pPr>
        <w:tabs>
          <w:tab w:val="num" w:pos="425"/>
        </w:tabs>
        <w:ind w:left="369" w:hanging="312"/>
      </w:pPr>
      <w:rPr>
        <w:rFonts w:hint="default"/>
        <w:b w:val="0"/>
        <w:i w:val="0"/>
        <w:caps w:val="0"/>
        <w:strike w:val="0"/>
        <w:dstrike w:val="0"/>
        <w:vanish w:val="0"/>
        <w:color w:val="auto"/>
        <w:sz w:val="18"/>
        <w:szCs w:val="18"/>
        <w:u w:val="none"/>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D647E1"/>
    <w:multiLevelType w:val="hybridMultilevel"/>
    <w:tmpl w:val="7B6EB2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6076598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119637">
    <w:abstractNumId w:val="8"/>
  </w:num>
  <w:num w:numId="3" w16cid:durableId="172575578">
    <w:abstractNumId w:val="2"/>
  </w:num>
  <w:num w:numId="4" w16cid:durableId="246884248">
    <w:abstractNumId w:val="0"/>
  </w:num>
  <w:num w:numId="5" w16cid:durableId="1737781910">
    <w:abstractNumId w:val="1"/>
    <w:lvlOverride w:ilvl="0">
      <w:startOverride w:val="1"/>
    </w:lvlOverride>
  </w:num>
  <w:num w:numId="6" w16cid:durableId="411195460">
    <w:abstractNumId w:val="1"/>
  </w:num>
  <w:num w:numId="7" w16cid:durableId="125123217">
    <w:abstractNumId w:val="6"/>
  </w:num>
  <w:num w:numId="8" w16cid:durableId="151987792">
    <w:abstractNumId w:val="5"/>
    <w:lvlOverride w:ilvl="0">
      <w:startOverride w:val="1"/>
    </w:lvlOverride>
  </w:num>
  <w:num w:numId="9" w16cid:durableId="1334604884">
    <w:abstractNumId w:val="1"/>
    <w:lvlOverride w:ilvl="0">
      <w:startOverride w:val="1"/>
    </w:lvlOverride>
  </w:num>
  <w:num w:numId="10" w16cid:durableId="426073155">
    <w:abstractNumId w:val="1"/>
    <w:lvlOverride w:ilvl="0">
      <w:startOverride w:val="1"/>
    </w:lvlOverride>
  </w:num>
  <w:num w:numId="11" w16cid:durableId="1097557354">
    <w:abstractNumId w:val="1"/>
    <w:lvlOverride w:ilvl="0">
      <w:startOverride w:val="1"/>
    </w:lvlOverride>
  </w:num>
  <w:num w:numId="12" w16cid:durableId="1574965670">
    <w:abstractNumId w:val="1"/>
    <w:lvlOverride w:ilvl="0">
      <w:startOverride w:val="1"/>
    </w:lvlOverride>
  </w:num>
  <w:num w:numId="13" w16cid:durableId="197668178">
    <w:abstractNumId w:val="9"/>
  </w:num>
  <w:num w:numId="14" w16cid:durableId="195192045">
    <w:abstractNumId w:val="4"/>
  </w:num>
  <w:num w:numId="15" w16cid:durableId="132873518">
    <w:abstractNumId w:val="7"/>
  </w:num>
  <w:num w:numId="16" w16cid:durableId="801995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0"/>
  <w:styleLockTheme/>
  <w:styleLockQFSet/>
  <w:defaultTabStop w:val="708"/>
  <w:hyphenationZone w:val="425"/>
  <w:characterSpacingControl w:val="doNotCompress"/>
  <w:hdrShapeDefaults>
    <o:shapedefaults v:ext="edit" spidmax="2058">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31"/>
    <w:rsid w:val="000003DB"/>
    <w:rsid w:val="00000B3B"/>
    <w:rsid w:val="00000C46"/>
    <w:rsid w:val="00000C56"/>
    <w:rsid w:val="000010DD"/>
    <w:rsid w:val="000016DA"/>
    <w:rsid w:val="0000189A"/>
    <w:rsid w:val="00001BB4"/>
    <w:rsid w:val="00001CB1"/>
    <w:rsid w:val="0000297F"/>
    <w:rsid w:val="00002EE8"/>
    <w:rsid w:val="000033A9"/>
    <w:rsid w:val="000039CF"/>
    <w:rsid w:val="00003C2B"/>
    <w:rsid w:val="00004036"/>
    <w:rsid w:val="0000406E"/>
    <w:rsid w:val="000044E2"/>
    <w:rsid w:val="00004640"/>
    <w:rsid w:val="000047FC"/>
    <w:rsid w:val="00004877"/>
    <w:rsid w:val="00004FCE"/>
    <w:rsid w:val="00005101"/>
    <w:rsid w:val="000054D2"/>
    <w:rsid w:val="00005A21"/>
    <w:rsid w:val="00005E10"/>
    <w:rsid w:val="00005FEC"/>
    <w:rsid w:val="00006002"/>
    <w:rsid w:val="00006FCD"/>
    <w:rsid w:val="00007519"/>
    <w:rsid w:val="000078A5"/>
    <w:rsid w:val="00007F57"/>
    <w:rsid w:val="000109F0"/>
    <w:rsid w:val="00011D36"/>
    <w:rsid w:val="00011EFB"/>
    <w:rsid w:val="00011F3B"/>
    <w:rsid w:val="00012173"/>
    <w:rsid w:val="00012A01"/>
    <w:rsid w:val="00012A46"/>
    <w:rsid w:val="00012ED9"/>
    <w:rsid w:val="000135DD"/>
    <w:rsid w:val="00014046"/>
    <w:rsid w:val="000146A0"/>
    <w:rsid w:val="00014A1D"/>
    <w:rsid w:val="00015560"/>
    <w:rsid w:val="00015A88"/>
    <w:rsid w:val="000161A5"/>
    <w:rsid w:val="00016291"/>
    <w:rsid w:val="0001732E"/>
    <w:rsid w:val="00017579"/>
    <w:rsid w:val="00017722"/>
    <w:rsid w:val="000179CA"/>
    <w:rsid w:val="00017DA0"/>
    <w:rsid w:val="000210A3"/>
    <w:rsid w:val="0002199B"/>
    <w:rsid w:val="00022EF3"/>
    <w:rsid w:val="00023DFC"/>
    <w:rsid w:val="00023EC9"/>
    <w:rsid w:val="00024547"/>
    <w:rsid w:val="000249FD"/>
    <w:rsid w:val="00024D13"/>
    <w:rsid w:val="0002513A"/>
    <w:rsid w:val="0002526D"/>
    <w:rsid w:val="00025393"/>
    <w:rsid w:val="00025BA4"/>
    <w:rsid w:val="00026499"/>
    <w:rsid w:val="000266C5"/>
    <w:rsid w:val="000267ED"/>
    <w:rsid w:val="00030834"/>
    <w:rsid w:val="00031C66"/>
    <w:rsid w:val="0003288E"/>
    <w:rsid w:val="00033417"/>
    <w:rsid w:val="00033594"/>
    <w:rsid w:val="000335D7"/>
    <w:rsid w:val="0003460B"/>
    <w:rsid w:val="00034A8B"/>
    <w:rsid w:val="00035382"/>
    <w:rsid w:val="00035530"/>
    <w:rsid w:val="0003574D"/>
    <w:rsid w:val="00035D55"/>
    <w:rsid w:val="000363D8"/>
    <w:rsid w:val="00036569"/>
    <w:rsid w:val="00036949"/>
    <w:rsid w:val="00036DF0"/>
    <w:rsid w:val="00036EE7"/>
    <w:rsid w:val="00037326"/>
    <w:rsid w:val="00037D41"/>
    <w:rsid w:val="000402BF"/>
    <w:rsid w:val="000403E2"/>
    <w:rsid w:val="00040EBB"/>
    <w:rsid w:val="0004163A"/>
    <w:rsid w:val="00041AA5"/>
    <w:rsid w:val="000429C0"/>
    <w:rsid w:val="00042B9C"/>
    <w:rsid w:val="000430FF"/>
    <w:rsid w:val="00043B29"/>
    <w:rsid w:val="00043EB8"/>
    <w:rsid w:val="00044912"/>
    <w:rsid w:val="000453EE"/>
    <w:rsid w:val="000454A4"/>
    <w:rsid w:val="00045526"/>
    <w:rsid w:val="00046191"/>
    <w:rsid w:val="000461FB"/>
    <w:rsid w:val="000462AC"/>
    <w:rsid w:val="000468F5"/>
    <w:rsid w:val="00046C10"/>
    <w:rsid w:val="00047014"/>
    <w:rsid w:val="000472A3"/>
    <w:rsid w:val="00047ACA"/>
    <w:rsid w:val="00050656"/>
    <w:rsid w:val="000509FC"/>
    <w:rsid w:val="00051919"/>
    <w:rsid w:val="000522D3"/>
    <w:rsid w:val="0005414B"/>
    <w:rsid w:val="0005454D"/>
    <w:rsid w:val="000545D7"/>
    <w:rsid w:val="00054FA9"/>
    <w:rsid w:val="0005517F"/>
    <w:rsid w:val="00055B4C"/>
    <w:rsid w:val="00056529"/>
    <w:rsid w:val="00056887"/>
    <w:rsid w:val="000569AA"/>
    <w:rsid w:val="00057243"/>
    <w:rsid w:val="00057F9F"/>
    <w:rsid w:val="00060829"/>
    <w:rsid w:val="00061038"/>
    <w:rsid w:val="000616F7"/>
    <w:rsid w:val="00061A5C"/>
    <w:rsid w:val="00061CCF"/>
    <w:rsid w:val="00061E26"/>
    <w:rsid w:val="00062332"/>
    <w:rsid w:val="00062F49"/>
    <w:rsid w:val="00063370"/>
    <w:rsid w:val="000648C0"/>
    <w:rsid w:val="00064DA3"/>
    <w:rsid w:val="0006533C"/>
    <w:rsid w:val="000653C6"/>
    <w:rsid w:val="0006576A"/>
    <w:rsid w:val="00065CB6"/>
    <w:rsid w:val="00066DD9"/>
    <w:rsid w:val="00067365"/>
    <w:rsid w:val="00067409"/>
    <w:rsid w:val="00067DE1"/>
    <w:rsid w:val="00070008"/>
    <w:rsid w:val="00070270"/>
    <w:rsid w:val="0007067B"/>
    <w:rsid w:val="00071080"/>
    <w:rsid w:val="0007226B"/>
    <w:rsid w:val="000726D9"/>
    <w:rsid w:val="00072CDF"/>
    <w:rsid w:val="000737DF"/>
    <w:rsid w:val="000738E9"/>
    <w:rsid w:val="00073A9F"/>
    <w:rsid w:val="00073AE0"/>
    <w:rsid w:val="000745B2"/>
    <w:rsid w:val="000746C9"/>
    <w:rsid w:val="000749B3"/>
    <w:rsid w:val="00074C89"/>
    <w:rsid w:val="0007504E"/>
    <w:rsid w:val="0007554A"/>
    <w:rsid w:val="00075CD8"/>
    <w:rsid w:val="00075FB9"/>
    <w:rsid w:val="00076449"/>
    <w:rsid w:val="000766EF"/>
    <w:rsid w:val="0007695F"/>
    <w:rsid w:val="00077138"/>
    <w:rsid w:val="00077AAB"/>
    <w:rsid w:val="00077DC8"/>
    <w:rsid w:val="0008056D"/>
    <w:rsid w:val="00080839"/>
    <w:rsid w:val="00080870"/>
    <w:rsid w:val="00080C02"/>
    <w:rsid w:val="000815B6"/>
    <w:rsid w:val="000815EC"/>
    <w:rsid w:val="000819E0"/>
    <w:rsid w:val="00081C82"/>
    <w:rsid w:val="0008202A"/>
    <w:rsid w:val="00082CE3"/>
    <w:rsid w:val="00082E73"/>
    <w:rsid w:val="00083956"/>
    <w:rsid w:val="0008399D"/>
    <w:rsid w:val="00083AFE"/>
    <w:rsid w:val="00083D2A"/>
    <w:rsid w:val="00083F7B"/>
    <w:rsid w:val="00084613"/>
    <w:rsid w:val="00084F8F"/>
    <w:rsid w:val="00085078"/>
    <w:rsid w:val="000853C6"/>
    <w:rsid w:val="00085B8C"/>
    <w:rsid w:val="00085C7F"/>
    <w:rsid w:val="000860C1"/>
    <w:rsid w:val="00086AC6"/>
    <w:rsid w:val="00086B8F"/>
    <w:rsid w:val="00086FA3"/>
    <w:rsid w:val="0008735D"/>
    <w:rsid w:val="0008779E"/>
    <w:rsid w:val="00087BA3"/>
    <w:rsid w:val="00087F06"/>
    <w:rsid w:val="00087F61"/>
    <w:rsid w:val="0009032E"/>
    <w:rsid w:val="00091340"/>
    <w:rsid w:val="0009179F"/>
    <w:rsid w:val="000919E1"/>
    <w:rsid w:val="00091C53"/>
    <w:rsid w:val="000921B8"/>
    <w:rsid w:val="000923D1"/>
    <w:rsid w:val="00092693"/>
    <w:rsid w:val="000926B1"/>
    <w:rsid w:val="00092862"/>
    <w:rsid w:val="00092B92"/>
    <w:rsid w:val="00093291"/>
    <w:rsid w:val="00093A0C"/>
    <w:rsid w:val="00093E32"/>
    <w:rsid w:val="00093EE8"/>
    <w:rsid w:val="000940C8"/>
    <w:rsid w:val="000943DB"/>
    <w:rsid w:val="000950EF"/>
    <w:rsid w:val="00095148"/>
    <w:rsid w:val="0009519A"/>
    <w:rsid w:val="00096070"/>
    <w:rsid w:val="00096E82"/>
    <w:rsid w:val="00096F2C"/>
    <w:rsid w:val="00097550"/>
    <w:rsid w:val="00097D28"/>
    <w:rsid w:val="000A022F"/>
    <w:rsid w:val="000A090F"/>
    <w:rsid w:val="000A0F77"/>
    <w:rsid w:val="000A12B9"/>
    <w:rsid w:val="000A13DE"/>
    <w:rsid w:val="000A196A"/>
    <w:rsid w:val="000A1AD0"/>
    <w:rsid w:val="000A206B"/>
    <w:rsid w:val="000A24C2"/>
    <w:rsid w:val="000A3424"/>
    <w:rsid w:val="000A5DC8"/>
    <w:rsid w:val="000A6B7F"/>
    <w:rsid w:val="000A6FB6"/>
    <w:rsid w:val="000A74D8"/>
    <w:rsid w:val="000B082E"/>
    <w:rsid w:val="000B0855"/>
    <w:rsid w:val="000B1A08"/>
    <w:rsid w:val="000B2508"/>
    <w:rsid w:val="000B2AB1"/>
    <w:rsid w:val="000B2ECD"/>
    <w:rsid w:val="000B34B6"/>
    <w:rsid w:val="000B38F7"/>
    <w:rsid w:val="000B3AD7"/>
    <w:rsid w:val="000B3BF5"/>
    <w:rsid w:val="000B487A"/>
    <w:rsid w:val="000B4ABB"/>
    <w:rsid w:val="000B4B7A"/>
    <w:rsid w:val="000B719B"/>
    <w:rsid w:val="000B7CCA"/>
    <w:rsid w:val="000B7D1C"/>
    <w:rsid w:val="000C018B"/>
    <w:rsid w:val="000C035C"/>
    <w:rsid w:val="000C0520"/>
    <w:rsid w:val="000C06B0"/>
    <w:rsid w:val="000C188E"/>
    <w:rsid w:val="000C1989"/>
    <w:rsid w:val="000C2030"/>
    <w:rsid w:val="000C2D1E"/>
    <w:rsid w:val="000C3C0F"/>
    <w:rsid w:val="000C44B7"/>
    <w:rsid w:val="000C45EA"/>
    <w:rsid w:val="000C4775"/>
    <w:rsid w:val="000C4DFA"/>
    <w:rsid w:val="000C4FDF"/>
    <w:rsid w:val="000C57E5"/>
    <w:rsid w:val="000C5FC9"/>
    <w:rsid w:val="000C6388"/>
    <w:rsid w:val="000C6C3C"/>
    <w:rsid w:val="000C6EC0"/>
    <w:rsid w:val="000C71A5"/>
    <w:rsid w:val="000C7512"/>
    <w:rsid w:val="000C7CD8"/>
    <w:rsid w:val="000D00C9"/>
    <w:rsid w:val="000D054F"/>
    <w:rsid w:val="000D0C4E"/>
    <w:rsid w:val="000D0C75"/>
    <w:rsid w:val="000D0DB9"/>
    <w:rsid w:val="000D0F3D"/>
    <w:rsid w:val="000D1FC8"/>
    <w:rsid w:val="000D2836"/>
    <w:rsid w:val="000D2AC5"/>
    <w:rsid w:val="000D2CF0"/>
    <w:rsid w:val="000D3F28"/>
    <w:rsid w:val="000D42CF"/>
    <w:rsid w:val="000D4379"/>
    <w:rsid w:val="000D4C0F"/>
    <w:rsid w:val="000D593D"/>
    <w:rsid w:val="000D6D78"/>
    <w:rsid w:val="000D6DAF"/>
    <w:rsid w:val="000D6E59"/>
    <w:rsid w:val="000D7BBF"/>
    <w:rsid w:val="000D7C1A"/>
    <w:rsid w:val="000D7F97"/>
    <w:rsid w:val="000E15E1"/>
    <w:rsid w:val="000E1C86"/>
    <w:rsid w:val="000E2465"/>
    <w:rsid w:val="000E2F50"/>
    <w:rsid w:val="000E31AD"/>
    <w:rsid w:val="000E3986"/>
    <w:rsid w:val="000E3DE6"/>
    <w:rsid w:val="000E406E"/>
    <w:rsid w:val="000E40A5"/>
    <w:rsid w:val="000E41B2"/>
    <w:rsid w:val="000E4B01"/>
    <w:rsid w:val="000E502C"/>
    <w:rsid w:val="000E59B4"/>
    <w:rsid w:val="000E5F2C"/>
    <w:rsid w:val="000E6603"/>
    <w:rsid w:val="000F0066"/>
    <w:rsid w:val="000F0573"/>
    <w:rsid w:val="000F0A8C"/>
    <w:rsid w:val="000F10F4"/>
    <w:rsid w:val="000F1751"/>
    <w:rsid w:val="000F2225"/>
    <w:rsid w:val="000F36F6"/>
    <w:rsid w:val="000F3B44"/>
    <w:rsid w:val="000F3D94"/>
    <w:rsid w:val="000F4B6F"/>
    <w:rsid w:val="000F4E7A"/>
    <w:rsid w:val="000F55C9"/>
    <w:rsid w:val="000F567E"/>
    <w:rsid w:val="000F56D1"/>
    <w:rsid w:val="000F5920"/>
    <w:rsid w:val="000F5953"/>
    <w:rsid w:val="000F5B85"/>
    <w:rsid w:val="000F64BB"/>
    <w:rsid w:val="000F6CA8"/>
    <w:rsid w:val="000F787B"/>
    <w:rsid w:val="000F7979"/>
    <w:rsid w:val="00100267"/>
    <w:rsid w:val="001005E5"/>
    <w:rsid w:val="00100B40"/>
    <w:rsid w:val="00100DC9"/>
    <w:rsid w:val="0010127F"/>
    <w:rsid w:val="0010348E"/>
    <w:rsid w:val="00103B43"/>
    <w:rsid w:val="00104914"/>
    <w:rsid w:val="00104D9D"/>
    <w:rsid w:val="00105912"/>
    <w:rsid w:val="001059FE"/>
    <w:rsid w:val="00106032"/>
    <w:rsid w:val="0010640B"/>
    <w:rsid w:val="001064BA"/>
    <w:rsid w:val="00106E40"/>
    <w:rsid w:val="00106F57"/>
    <w:rsid w:val="00106F5C"/>
    <w:rsid w:val="0010786C"/>
    <w:rsid w:val="00107BBD"/>
    <w:rsid w:val="00110A33"/>
    <w:rsid w:val="00110C6E"/>
    <w:rsid w:val="00111C7D"/>
    <w:rsid w:val="00112E72"/>
    <w:rsid w:val="001138AC"/>
    <w:rsid w:val="001143D1"/>
    <w:rsid w:val="00114CE5"/>
    <w:rsid w:val="00114DF2"/>
    <w:rsid w:val="00115111"/>
    <w:rsid w:val="0011547D"/>
    <w:rsid w:val="00115504"/>
    <w:rsid w:val="00115AD1"/>
    <w:rsid w:val="00115BE3"/>
    <w:rsid w:val="00115D96"/>
    <w:rsid w:val="001161F1"/>
    <w:rsid w:val="001165A5"/>
    <w:rsid w:val="001166B5"/>
    <w:rsid w:val="0011673A"/>
    <w:rsid w:val="00116B03"/>
    <w:rsid w:val="00117159"/>
    <w:rsid w:val="00117707"/>
    <w:rsid w:val="0011772F"/>
    <w:rsid w:val="00117869"/>
    <w:rsid w:val="0011799E"/>
    <w:rsid w:val="00117C81"/>
    <w:rsid w:val="001204ED"/>
    <w:rsid w:val="001216B3"/>
    <w:rsid w:val="00121926"/>
    <w:rsid w:val="00121A2D"/>
    <w:rsid w:val="00121AE9"/>
    <w:rsid w:val="00122452"/>
    <w:rsid w:val="00122455"/>
    <w:rsid w:val="00122523"/>
    <w:rsid w:val="00122547"/>
    <w:rsid w:val="001225A4"/>
    <w:rsid w:val="0012326D"/>
    <w:rsid w:val="0012383E"/>
    <w:rsid w:val="00124F96"/>
    <w:rsid w:val="00125ACC"/>
    <w:rsid w:val="00126C51"/>
    <w:rsid w:val="00126CF4"/>
    <w:rsid w:val="00127EB7"/>
    <w:rsid w:val="001306B3"/>
    <w:rsid w:val="00130869"/>
    <w:rsid w:val="00131756"/>
    <w:rsid w:val="00131B5F"/>
    <w:rsid w:val="00131E8E"/>
    <w:rsid w:val="00132178"/>
    <w:rsid w:val="0013264A"/>
    <w:rsid w:val="001326EE"/>
    <w:rsid w:val="00132DDC"/>
    <w:rsid w:val="00133917"/>
    <w:rsid w:val="00133A98"/>
    <w:rsid w:val="001341F5"/>
    <w:rsid w:val="00134524"/>
    <w:rsid w:val="0013494B"/>
    <w:rsid w:val="001350B9"/>
    <w:rsid w:val="0013514B"/>
    <w:rsid w:val="00135FDB"/>
    <w:rsid w:val="00136781"/>
    <w:rsid w:val="00136975"/>
    <w:rsid w:val="00136BEF"/>
    <w:rsid w:val="00136F90"/>
    <w:rsid w:val="001371BE"/>
    <w:rsid w:val="001376EC"/>
    <w:rsid w:val="00137A39"/>
    <w:rsid w:val="00137A93"/>
    <w:rsid w:val="00137B42"/>
    <w:rsid w:val="00140F34"/>
    <w:rsid w:val="001419DF"/>
    <w:rsid w:val="00142223"/>
    <w:rsid w:val="00142A1C"/>
    <w:rsid w:val="001432A0"/>
    <w:rsid w:val="001437B7"/>
    <w:rsid w:val="001438B3"/>
    <w:rsid w:val="00143AE6"/>
    <w:rsid w:val="00143D9C"/>
    <w:rsid w:val="0014525E"/>
    <w:rsid w:val="00145C20"/>
    <w:rsid w:val="00146719"/>
    <w:rsid w:val="00146C1C"/>
    <w:rsid w:val="00146D41"/>
    <w:rsid w:val="0014749F"/>
    <w:rsid w:val="001474B1"/>
    <w:rsid w:val="001478A9"/>
    <w:rsid w:val="001478F4"/>
    <w:rsid w:val="00147E22"/>
    <w:rsid w:val="00147FDC"/>
    <w:rsid w:val="00150020"/>
    <w:rsid w:val="001502AD"/>
    <w:rsid w:val="00151124"/>
    <w:rsid w:val="00151A14"/>
    <w:rsid w:val="00151CFD"/>
    <w:rsid w:val="001522B4"/>
    <w:rsid w:val="001523C0"/>
    <w:rsid w:val="001525E4"/>
    <w:rsid w:val="00152E04"/>
    <w:rsid w:val="001539AB"/>
    <w:rsid w:val="0015419E"/>
    <w:rsid w:val="001543DB"/>
    <w:rsid w:val="00154426"/>
    <w:rsid w:val="001547D7"/>
    <w:rsid w:val="00154B1F"/>
    <w:rsid w:val="00154E51"/>
    <w:rsid w:val="00155161"/>
    <w:rsid w:val="001562E0"/>
    <w:rsid w:val="001563BD"/>
    <w:rsid w:val="0015702B"/>
    <w:rsid w:val="001571C1"/>
    <w:rsid w:val="001576C3"/>
    <w:rsid w:val="00157D61"/>
    <w:rsid w:val="001604B0"/>
    <w:rsid w:val="00160CE6"/>
    <w:rsid w:val="00160F8B"/>
    <w:rsid w:val="00161691"/>
    <w:rsid w:val="0016181B"/>
    <w:rsid w:val="00161860"/>
    <w:rsid w:val="00161A1C"/>
    <w:rsid w:val="00161AFF"/>
    <w:rsid w:val="00161C76"/>
    <w:rsid w:val="00162547"/>
    <w:rsid w:val="00162C2B"/>
    <w:rsid w:val="001630DB"/>
    <w:rsid w:val="00163B48"/>
    <w:rsid w:val="00164271"/>
    <w:rsid w:val="001644D7"/>
    <w:rsid w:val="00164D48"/>
    <w:rsid w:val="00165070"/>
    <w:rsid w:val="00165323"/>
    <w:rsid w:val="00165A53"/>
    <w:rsid w:val="0016613C"/>
    <w:rsid w:val="00166543"/>
    <w:rsid w:val="00170512"/>
    <w:rsid w:val="00170AC5"/>
    <w:rsid w:val="00170B40"/>
    <w:rsid w:val="00170CA2"/>
    <w:rsid w:val="00170EA0"/>
    <w:rsid w:val="00171D43"/>
    <w:rsid w:val="00172049"/>
    <w:rsid w:val="001722A1"/>
    <w:rsid w:val="001724A7"/>
    <w:rsid w:val="00172BC9"/>
    <w:rsid w:val="0017515B"/>
    <w:rsid w:val="001753DA"/>
    <w:rsid w:val="00176604"/>
    <w:rsid w:val="00176AC6"/>
    <w:rsid w:val="00176CFF"/>
    <w:rsid w:val="00176F9E"/>
    <w:rsid w:val="0017710D"/>
    <w:rsid w:val="001773FC"/>
    <w:rsid w:val="00177A37"/>
    <w:rsid w:val="00177E0E"/>
    <w:rsid w:val="00180463"/>
    <w:rsid w:val="00182469"/>
    <w:rsid w:val="001825E2"/>
    <w:rsid w:val="00183E8A"/>
    <w:rsid w:val="00184A61"/>
    <w:rsid w:val="00185A2F"/>
    <w:rsid w:val="0018641F"/>
    <w:rsid w:val="00187597"/>
    <w:rsid w:val="0018785A"/>
    <w:rsid w:val="001878B4"/>
    <w:rsid w:val="00187B56"/>
    <w:rsid w:val="0019007E"/>
    <w:rsid w:val="001901A1"/>
    <w:rsid w:val="001901B4"/>
    <w:rsid w:val="001902CA"/>
    <w:rsid w:val="00190AF3"/>
    <w:rsid w:val="00190DC2"/>
    <w:rsid w:val="00191459"/>
    <w:rsid w:val="001915DF"/>
    <w:rsid w:val="001923D4"/>
    <w:rsid w:val="00193053"/>
    <w:rsid w:val="001936E1"/>
    <w:rsid w:val="00193893"/>
    <w:rsid w:val="00193B48"/>
    <w:rsid w:val="0019429D"/>
    <w:rsid w:val="00195CF9"/>
    <w:rsid w:val="00195E11"/>
    <w:rsid w:val="00196CEA"/>
    <w:rsid w:val="00197AB2"/>
    <w:rsid w:val="001A01BC"/>
    <w:rsid w:val="001A04F0"/>
    <w:rsid w:val="001A0674"/>
    <w:rsid w:val="001A10D3"/>
    <w:rsid w:val="001A1214"/>
    <w:rsid w:val="001A141C"/>
    <w:rsid w:val="001A18AA"/>
    <w:rsid w:val="001A1AEC"/>
    <w:rsid w:val="001A1E3B"/>
    <w:rsid w:val="001A2614"/>
    <w:rsid w:val="001A2B6C"/>
    <w:rsid w:val="001A366C"/>
    <w:rsid w:val="001A3B5A"/>
    <w:rsid w:val="001A3D44"/>
    <w:rsid w:val="001A44D9"/>
    <w:rsid w:val="001A490F"/>
    <w:rsid w:val="001A4DBE"/>
    <w:rsid w:val="001A4EFA"/>
    <w:rsid w:val="001A53F4"/>
    <w:rsid w:val="001A555A"/>
    <w:rsid w:val="001A580C"/>
    <w:rsid w:val="001A5A7C"/>
    <w:rsid w:val="001A5F5E"/>
    <w:rsid w:val="001A5F83"/>
    <w:rsid w:val="001A6792"/>
    <w:rsid w:val="001A686E"/>
    <w:rsid w:val="001A69FE"/>
    <w:rsid w:val="001A7282"/>
    <w:rsid w:val="001A72EA"/>
    <w:rsid w:val="001A78D4"/>
    <w:rsid w:val="001A7F00"/>
    <w:rsid w:val="001B083D"/>
    <w:rsid w:val="001B091C"/>
    <w:rsid w:val="001B0AAB"/>
    <w:rsid w:val="001B1885"/>
    <w:rsid w:val="001B1BA2"/>
    <w:rsid w:val="001B2B09"/>
    <w:rsid w:val="001B2EA8"/>
    <w:rsid w:val="001B2EC9"/>
    <w:rsid w:val="001B34BA"/>
    <w:rsid w:val="001B38B9"/>
    <w:rsid w:val="001B3E3A"/>
    <w:rsid w:val="001B4DE6"/>
    <w:rsid w:val="001B522E"/>
    <w:rsid w:val="001B54C7"/>
    <w:rsid w:val="001B553E"/>
    <w:rsid w:val="001B5FF3"/>
    <w:rsid w:val="001B6DE6"/>
    <w:rsid w:val="001B71F1"/>
    <w:rsid w:val="001C03F6"/>
    <w:rsid w:val="001C0A13"/>
    <w:rsid w:val="001C1053"/>
    <w:rsid w:val="001C2562"/>
    <w:rsid w:val="001C2A6D"/>
    <w:rsid w:val="001C40F3"/>
    <w:rsid w:val="001C42BA"/>
    <w:rsid w:val="001C4E83"/>
    <w:rsid w:val="001C4FC4"/>
    <w:rsid w:val="001C52E8"/>
    <w:rsid w:val="001C54BF"/>
    <w:rsid w:val="001C5E57"/>
    <w:rsid w:val="001C601E"/>
    <w:rsid w:val="001C6359"/>
    <w:rsid w:val="001C64A9"/>
    <w:rsid w:val="001C66D9"/>
    <w:rsid w:val="001C69EF"/>
    <w:rsid w:val="001D061A"/>
    <w:rsid w:val="001D07A9"/>
    <w:rsid w:val="001D08AC"/>
    <w:rsid w:val="001D1C76"/>
    <w:rsid w:val="001D20F3"/>
    <w:rsid w:val="001D2E01"/>
    <w:rsid w:val="001D3033"/>
    <w:rsid w:val="001D3C43"/>
    <w:rsid w:val="001D3DB4"/>
    <w:rsid w:val="001D449D"/>
    <w:rsid w:val="001D559A"/>
    <w:rsid w:val="001D64B5"/>
    <w:rsid w:val="001D7660"/>
    <w:rsid w:val="001E062F"/>
    <w:rsid w:val="001E11B8"/>
    <w:rsid w:val="001E17FE"/>
    <w:rsid w:val="001E18D2"/>
    <w:rsid w:val="001E1E78"/>
    <w:rsid w:val="001E2723"/>
    <w:rsid w:val="001E278F"/>
    <w:rsid w:val="001E2961"/>
    <w:rsid w:val="001E2A02"/>
    <w:rsid w:val="001E2FF6"/>
    <w:rsid w:val="001E31CC"/>
    <w:rsid w:val="001E3673"/>
    <w:rsid w:val="001E46B7"/>
    <w:rsid w:val="001E4922"/>
    <w:rsid w:val="001E53C1"/>
    <w:rsid w:val="001E545C"/>
    <w:rsid w:val="001E55A1"/>
    <w:rsid w:val="001E5C2E"/>
    <w:rsid w:val="001E5F00"/>
    <w:rsid w:val="001E6554"/>
    <w:rsid w:val="001E6563"/>
    <w:rsid w:val="001E66A7"/>
    <w:rsid w:val="001E7474"/>
    <w:rsid w:val="001E76E6"/>
    <w:rsid w:val="001E7872"/>
    <w:rsid w:val="001E7CB5"/>
    <w:rsid w:val="001F11EC"/>
    <w:rsid w:val="001F1512"/>
    <w:rsid w:val="001F1B70"/>
    <w:rsid w:val="001F1C13"/>
    <w:rsid w:val="001F1C75"/>
    <w:rsid w:val="001F221F"/>
    <w:rsid w:val="001F263B"/>
    <w:rsid w:val="001F2834"/>
    <w:rsid w:val="001F31C8"/>
    <w:rsid w:val="001F4C10"/>
    <w:rsid w:val="001F4EB2"/>
    <w:rsid w:val="001F5013"/>
    <w:rsid w:val="001F5B02"/>
    <w:rsid w:val="001F5D82"/>
    <w:rsid w:val="001F5F9F"/>
    <w:rsid w:val="001F64D5"/>
    <w:rsid w:val="001F65EF"/>
    <w:rsid w:val="001F66F4"/>
    <w:rsid w:val="001F675A"/>
    <w:rsid w:val="001F6D77"/>
    <w:rsid w:val="001F75D6"/>
    <w:rsid w:val="001F7639"/>
    <w:rsid w:val="001F7834"/>
    <w:rsid w:val="00200876"/>
    <w:rsid w:val="00200AE2"/>
    <w:rsid w:val="002023AB"/>
    <w:rsid w:val="00202AD5"/>
    <w:rsid w:val="002032DF"/>
    <w:rsid w:val="002036A1"/>
    <w:rsid w:val="00203EA8"/>
    <w:rsid w:val="002040C9"/>
    <w:rsid w:val="002048D2"/>
    <w:rsid w:val="00204FEA"/>
    <w:rsid w:val="00205855"/>
    <w:rsid w:val="00205963"/>
    <w:rsid w:val="00205BDB"/>
    <w:rsid w:val="00205E20"/>
    <w:rsid w:val="00206846"/>
    <w:rsid w:val="00207299"/>
    <w:rsid w:val="0020737B"/>
    <w:rsid w:val="002079A4"/>
    <w:rsid w:val="00207D6F"/>
    <w:rsid w:val="00207F11"/>
    <w:rsid w:val="0021070D"/>
    <w:rsid w:val="00210CF5"/>
    <w:rsid w:val="00211EA3"/>
    <w:rsid w:val="00212280"/>
    <w:rsid w:val="00212F99"/>
    <w:rsid w:val="002130A6"/>
    <w:rsid w:val="00213B55"/>
    <w:rsid w:val="00213DA1"/>
    <w:rsid w:val="00214396"/>
    <w:rsid w:val="00214645"/>
    <w:rsid w:val="00214D85"/>
    <w:rsid w:val="00215159"/>
    <w:rsid w:val="00215A52"/>
    <w:rsid w:val="00216827"/>
    <w:rsid w:val="00216C53"/>
    <w:rsid w:val="002172EC"/>
    <w:rsid w:val="002202B3"/>
    <w:rsid w:val="002204FE"/>
    <w:rsid w:val="002205B3"/>
    <w:rsid w:val="002208B4"/>
    <w:rsid w:val="002217FE"/>
    <w:rsid w:val="00221986"/>
    <w:rsid w:val="00221E7B"/>
    <w:rsid w:val="002222C9"/>
    <w:rsid w:val="00222598"/>
    <w:rsid w:val="00222921"/>
    <w:rsid w:val="002229A0"/>
    <w:rsid w:val="00222C8B"/>
    <w:rsid w:val="00223153"/>
    <w:rsid w:val="0022362B"/>
    <w:rsid w:val="0022488C"/>
    <w:rsid w:val="00224C4A"/>
    <w:rsid w:val="00224C51"/>
    <w:rsid w:val="002252CF"/>
    <w:rsid w:val="002257CA"/>
    <w:rsid w:val="002258A8"/>
    <w:rsid w:val="00225ACF"/>
    <w:rsid w:val="0022661D"/>
    <w:rsid w:val="0022668A"/>
    <w:rsid w:val="00226E17"/>
    <w:rsid w:val="00226E54"/>
    <w:rsid w:val="00230090"/>
    <w:rsid w:val="0023072A"/>
    <w:rsid w:val="0023083E"/>
    <w:rsid w:val="002309EA"/>
    <w:rsid w:val="00230A28"/>
    <w:rsid w:val="00230BAC"/>
    <w:rsid w:val="00231273"/>
    <w:rsid w:val="002312F4"/>
    <w:rsid w:val="00232312"/>
    <w:rsid w:val="0023263E"/>
    <w:rsid w:val="002328C4"/>
    <w:rsid w:val="002328D7"/>
    <w:rsid w:val="002336FF"/>
    <w:rsid w:val="0023378F"/>
    <w:rsid w:val="00233CFF"/>
    <w:rsid w:val="00233E67"/>
    <w:rsid w:val="00233EF8"/>
    <w:rsid w:val="0023437A"/>
    <w:rsid w:val="002349E5"/>
    <w:rsid w:val="00234FAC"/>
    <w:rsid w:val="00235127"/>
    <w:rsid w:val="0023561E"/>
    <w:rsid w:val="00236010"/>
    <w:rsid w:val="002360FE"/>
    <w:rsid w:val="00236277"/>
    <w:rsid w:val="002365AA"/>
    <w:rsid w:val="0023721A"/>
    <w:rsid w:val="0023765E"/>
    <w:rsid w:val="0023767D"/>
    <w:rsid w:val="00237844"/>
    <w:rsid w:val="00240303"/>
    <w:rsid w:val="00240C98"/>
    <w:rsid w:val="002416F7"/>
    <w:rsid w:val="00242184"/>
    <w:rsid w:val="00242355"/>
    <w:rsid w:val="00242394"/>
    <w:rsid w:val="00242642"/>
    <w:rsid w:val="002426D3"/>
    <w:rsid w:val="00242D64"/>
    <w:rsid w:val="002439B2"/>
    <w:rsid w:val="00243EB0"/>
    <w:rsid w:val="00243F9E"/>
    <w:rsid w:val="002441E7"/>
    <w:rsid w:val="00244B29"/>
    <w:rsid w:val="00244CA6"/>
    <w:rsid w:val="0024561F"/>
    <w:rsid w:val="0024585F"/>
    <w:rsid w:val="00246437"/>
    <w:rsid w:val="002468AE"/>
    <w:rsid w:val="002468CC"/>
    <w:rsid w:val="00246DA9"/>
    <w:rsid w:val="00246EDB"/>
    <w:rsid w:val="00247450"/>
    <w:rsid w:val="00247685"/>
    <w:rsid w:val="00247B39"/>
    <w:rsid w:val="002504A4"/>
    <w:rsid w:val="002506EB"/>
    <w:rsid w:val="00250B68"/>
    <w:rsid w:val="00251464"/>
    <w:rsid w:val="00252319"/>
    <w:rsid w:val="00252373"/>
    <w:rsid w:val="00252649"/>
    <w:rsid w:val="00252782"/>
    <w:rsid w:val="0025291B"/>
    <w:rsid w:val="00252E11"/>
    <w:rsid w:val="00252E14"/>
    <w:rsid w:val="00253D83"/>
    <w:rsid w:val="0025444B"/>
    <w:rsid w:val="002547F5"/>
    <w:rsid w:val="00254A92"/>
    <w:rsid w:val="00254BCF"/>
    <w:rsid w:val="00254D00"/>
    <w:rsid w:val="002554F9"/>
    <w:rsid w:val="00255751"/>
    <w:rsid w:val="00255762"/>
    <w:rsid w:val="00255E4A"/>
    <w:rsid w:val="00256C90"/>
    <w:rsid w:val="00256DA8"/>
    <w:rsid w:val="00257030"/>
    <w:rsid w:val="002578F1"/>
    <w:rsid w:val="00257A13"/>
    <w:rsid w:val="00257FAB"/>
    <w:rsid w:val="002606E8"/>
    <w:rsid w:val="00261984"/>
    <w:rsid w:val="00262B5A"/>
    <w:rsid w:val="00262F6E"/>
    <w:rsid w:val="002634E4"/>
    <w:rsid w:val="00263659"/>
    <w:rsid w:val="002636BD"/>
    <w:rsid w:val="002637EC"/>
    <w:rsid w:val="00263820"/>
    <w:rsid w:val="00263F52"/>
    <w:rsid w:val="00264504"/>
    <w:rsid w:val="00264D70"/>
    <w:rsid w:val="00264F15"/>
    <w:rsid w:val="00265321"/>
    <w:rsid w:val="00265E4E"/>
    <w:rsid w:val="002665F0"/>
    <w:rsid w:val="00266E64"/>
    <w:rsid w:val="00267717"/>
    <w:rsid w:val="002677AC"/>
    <w:rsid w:val="00270409"/>
    <w:rsid w:val="002708DC"/>
    <w:rsid w:val="00271143"/>
    <w:rsid w:val="0027122D"/>
    <w:rsid w:val="002713B1"/>
    <w:rsid w:val="00271589"/>
    <w:rsid w:val="00271EE2"/>
    <w:rsid w:val="00271F2A"/>
    <w:rsid w:val="00271F3A"/>
    <w:rsid w:val="002731FF"/>
    <w:rsid w:val="00274476"/>
    <w:rsid w:val="00274882"/>
    <w:rsid w:val="002748A0"/>
    <w:rsid w:val="00274CAA"/>
    <w:rsid w:val="00274EAB"/>
    <w:rsid w:val="00275598"/>
    <w:rsid w:val="002759B9"/>
    <w:rsid w:val="00275E3B"/>
    <w:rsid w:val="00276090"/>
    <w:rsid w:val="00276A4D"/>
    <w:rsid w:val="00276BE5"/>
    <w:rsid w:val="00276FAF"/>
    <w:rsid w:val="002774E9"/>
    <w:rsid w:val="00277D70"/>
    <w:rsid w:val="00277F4D"/>
    <w:rsid w:val="002804F3"/>
    <w:rsid w:val="0028144C"/>
    <w:rsid w:val="0028170C"/>
    <w:rsid w:val="00281973"/>
    <w:rsid w:val="002829BA"/>
    <w:rsid w:val="002835F3"/>
    <w:rsid w:val="00283743"/>
    <w:rsid w:val="0028378F"/>
    <w:rsid w:val="0028380F"/>
    <w:rsid w:val="0028418E"/>
    <w:rsid w:val="0028464C"/>
    <w:rsid w:val="0028469A"/>
    <w:rsid w:val="00284C27"/>
    <w:rsid w:val="00284E9B"/>
    <w:rsid w:val="002855E1"/>
    <w:rsid w:val="0028573C"/>
    <w:rsid w:val="00285C0C"/>
    <w:rsid w:val="00285E73"/>
    <w:rsid w:val="00286363"/>
    <w:rsid w:val="00286620"/>
    <w:rsid w:val="00286898"/>
    <w:rsid w:val="00286CB3"/>
    <w:rsid w:val="00286F2C"/>
    <w:rsid w:val="0028784B"/>
    <w:rsid w:val="00290084"/>
    <w:rsid w:val="0029010E"/>
    <w:rsid w:val="002905E9"/>
    <w:rsid w:val="002913BD"/>
    <w:rsid w:val="00291719"/>
    <w:rsid w:val="00291EE4"/>
    <w:rsid w:val="00292570"/>
    <w:rsid w:val="00292580"/>
    <w:rsid w:val="002934AE"/>
    <w:rsid w:val="00293556"/>
    <w:rsid w:val="002938CC"/>
    <w:rsid w:val="00293E20"/>
    <w:rsid w:val="00293EA9"/>
    <w:rsid w:val="002944C0"/>
    <w:rsid w:val="00294732"/>
    <w:rsid w:val="00295601"/>
    <w:rsid w:val="00295DB9"/>
    <w:rsid w:val="00296479"/>
    <w:rsid w:val="00296691"/>
    <w:rsid w:val="00296863"/>
    <w:rsid w:val="002968CC"/>
    <w:rsid w:val="002968DA"/>
    <w:rsid w:val="00296B3D"/>
    <w:rsid w:val="00296E65"/>
    <w:rsid w:val="00297D2E"/>
    <w:rsid w:val="00297F8F"/>
    <w:rsid w:val="002A0A5E"/>
    <w:rsid w:val="002A0ED3"/>
    <w:rsid w:val="002A1650"/>
    <w:rsid w:val="002A1DEF"/>
    <w:rsid w:val="002A1ED7"/>
    <w:rsid w:val="002A224D"/>
    <w:rsid w:val="002A258D"/>
    <w:rsid w:val="002A278F"/>
    <w:rsid w:val="002A27EF"/>
    <w:rsid w:val="002A2C3A"/>
    <w:rsid w:val="002A2D26"/>
    <w:rsid w:val="002A2F45"/>
    <w:rsid w:val="002A4E86"/>
    <w:rsid w:val="002A52DF"/>
    <w:rsid w:val="002A54F7"/>
    <w:rsid w:val="002A5E63"/>
    <w:rsid w:val="002A6227"/>
    <w:rsid w:val="002A6413"/>
    <w:rsid w:val="002A6790"/>
    <w:rsid w:val="002A6A2E"/>
    <w:rsid w:val="002A6A3F"/>
    <w:rsid w:val="002A6AA4"/>
    <w:rsid w:val="002A744B"/>
    <w:rsid w:val="002A75CD"/>
    <w:rsid w:val="002A764F"/>
    <w:rsid w:val="002A76D8"/>
    <w:rsid w:val="002A795E"/>
    <w:rsid w:val="002B00F6"/>
    <w:rsid w:val="002B10AB"/>
    <w:rsid w:val="002B13F5"/>
    <w:rsid w:val="002B1722"/>
    <w:rsid w:val="002B1B7A"/>
    <w:rsid w:val="002B2EA9"/>
    <w:rsid w:val="002B3BD7"/>
    <w:rsid w:val="002B4A89"/>
    <w:rsid w:val="002B5764"/>
    <w:rsid w:val="002B5D4C"/>
    <w:rsid w:val="002B5EDA"/>
    <w:rsid w:val="002B5FF2"/>
    <w:rsid w:val="002B61CD"/>
    <w:rsid w:val="002B6AC2"/>
    <w:rsid w:val="002B7483"/>
    <w:rsid w:val="002B74B3"/>
    <w:rsid w:val="002B78E2"/>
    <w:rsid w:val="002B7A23"/>
    <w:rsid w:val="002C0063"/>
    <w:rsid w:val="002C038D"/>
    <w:rsid w:val="002C0628"/>
    <w:rsid w:val="002C06C6"/>
    <w:rsid w:val="002C086A"/>
    <w:rsid w:val="002C1131"/>
    <w:rsid w:val="002C143F"/>
    <w:rsid w:val="002C14A6"/>
    <w:rsid w:val="002C192C"/>
    <w:rsid w:val="002C1BF8"/>
    <w:rsid w:val="002C29F9"/>
    <w:rsid w:val="002C3268"/>
    <w:rsid w:val="002C379E"/>
    <w:rsid w:val="002C3A0E"/>
    <w:rsid w:val="002C447A"/>
    <w:rsid w:val="002C4C23"/>
    <w:rsid w:val="002C5574"/>
    <w:rsid w:val="002C5EFB"/>
    <w:rsid w:val="002C6252"/>
    <w:rsid w:val="002C66C8"/>
    <w:rsid w:val="002C6C4A"/>
    <w:rsid w:val="002C6ED1"/>
    <w:rsid w:val="002C73A3"/>
    <w:rsid w:val="002C756F"/>
    <w:rsid w:val="002C773B"/>
    <w:rsid w:val="002C78C8"/>
    <w:rsid w:val="002D073C"/>
    <w:rsid w:val="002D1481"/>
    <w:rsid w:val="002D249A"/>
    <w:rsid w:val="002D3002"/>
    <w:rsid w:val="002D311D"/>
    <w:rsid w:val="002D3128"/>
    <w:rsid w:val="002D31A6"/>
    <w:rsid w:val="002D37B5"/>
    <w:rsid w:val="002D394C"/>
    <w:rsid w:val="002D3BE5"/>
    <w:rsid w:val="002D4049"/>
    <w:rsid w:val="002D4641"/>
    <w:rsid w:val="002D5022"/>
    <w:rsid w:val="002D53A6"/>
    <w:rsid w:val="002D5586"/>
    <w:rsid w:val="002D59F8"/>
    <w:rsid w:val="002D60C6"/>
    <w:rsid w:val="002D67FC"/>
    <w:rsid w:val="002D7008"/>
    <w:rsid w:val="002D761A"/>
    <w:rsid w:val="002D7683"/>
    <w:rsid w:val="002D76A8"/>
    <w:rsid w:val="002D773A"/>
    <w:rsid w:val="002D7AAC"/>
    <w:rsid w:val="002D7D30"/>
    <w:rsid w:val="002D7F86"/>
    <w:rsid w:val="002E0758"/>
    <w:rsid w:val="002E0940"/>
    <w:rsid w:val="002E12C1"/>
    <w:rsid w:val="002E1520"/>
    <w:rsid w:val="002E1746"/>
    <w:rsid w:val="002E1827"/>
    <w:rsid w:val="002E1934"/>
    <w:rsid w:val="002E1AA6"/>
    <w:rsid w:val="002E20F3"/>
    <w:rsid w:val="002E2CAF"/>
    <w:rsid w:val="002E310F"/>
    <w:rsid w:val="002E4721"/>
    <w:rsid w:val="002E4A33"/>
    <w:rsid w:val="002E4E5C"/>
    <w:rsid w:val="002E561B"/>
    <w:rsid w:val="002E5BA5"/>
    <w:rsid w:val="002E5FF5"/>
    <w:rsid w:val="002E6184"/>
    <w:rsid w:val="002E6774"/>
    <w:rsid w:val="002E6A84"/>
    <w:rsid w:val="002E6E3A"/>
    <w:rsid w:val="002E70D8"/>
    <w:rsid w:val="002E7D7C"/>
    <w:rsid w:val="002E7FBE"/>
    <w:rsid w:val="002F0091"/>
    <w:rsid w:val="002F08CD"/>
    <w:rsid w:val="002F13E7"/>
    <w:rsid w:val="002F19C3"/>
    <w:rsid w:val="002F1BDB"/>
    <w:rsid w:val="002F1CCA"/>
    <w:rsid w:val="002F1F5B"/>
    <w:rsid w:val="002F1FAF"/>
    <w:rsid w:val="002F2715"/>
    <w:rsid w:val="002F3925"/>
    <w:rsid w:val="002F45B8"/>
    <w:rsid w:val="002F4B16"/>
    <w:rsid w:val="002F4E82"/>
    <w:rsid w:val="002F4FE9"/>
    <w:rsid w:val="002F50F5"/>
    <w:rsid w:val="002F5A5A"/>
    <w:rsid w:val="002F5EBD"/>
    <w:rsid w:val="002F6450"/>
    <w:rsid w:val="002F6A62"/>
    <w:rsid w:val="002F6A8E"/>
    <w:rsid w:val="003001A6"/>
    <w:rsid w:val="00300307"/>
    <w:rsid w:val="003004ED"/>
    <w:rsid w:val="00301379"/>
    <w:rsid w:val="003017E6"/>
    <w:rsid w:val="00301C72"/>
    <w:rsid w:val="00301D0C"/>
    <w:rsid w:val="00301FC5"/>
    <w:rsid w:val="00302447"/>
    <w:rsid w:val="00302F6F"/>
    <w:rsid w:val="00304087"/>
    <w:rsid w:val="00305764"/>
    <w:rsid w:val="00306050"/>
    <w:rsid w:val="00306E64"/>
    <w:rsid w:val="003070BF"/>
    <w:rsid w:val="0030728B"/>
    <w:rsid w:val="00307495"/>
    <w:rsid w:val="0030750E"/>
    <w:rsid w:val="003077D3"/>
    <w:rsid w:val="00307A01"/>
    <w:rsid w:val="00307AB2"/>
    <w:rsid w:val="00307B17"/>
    <w:rsid w:val="00307B53"/>
    <w:rsid w:val="00307DCF"/>
    <w:rsid w:val="00310583"/>
    <w:rsid w:val="003109D8"/>
    <w:rsid w:val="00310F27"/>
    <w:rsid w:val="00310F7D"/>
    <w:rsid w:val="003113C3"/>
    <w:rsid w:val="0031209B"/>
    <w:rsid w:val="00312240"/>
    <w:rsid w:val="0031292C"/>
    <w:rsid w:val="00312B93"/>
    <w:rsid w:val="00313458"/>
    <w:rsid w:val="003136CE"/>
    <w:rsid w:val="003141E7"/>
    <w:rsid w:val="00314EB9"/>
    <w:rsid w:val="00315285"/>
    <w:rsid w:val="0031580E"/>
    <w:rsid w:val="00315AE8"/>
    <w:rsid w:val="00316BC1"/>
    <w:rsid w:val="00316BC7"/>
    <w:rsid w:val="00316DCD"/>
    <w:rsid w:val="00316F32"/>
    <w:rsid w:val="003170AD"/>
    <w:rsid w:val="0031762E"/>
    <w:rsid w:val="003176B6"/>
    <w:rsid w:val="00317BA9"/>
    <w:rsid w:val="00317E21"/>
    <w:rsid w:val="00320009"/>
    <w:rsid w:val="00320273"/>
    <w:rsid w:val="00320403"/>
    <w:rsid w:val="003210D9"/>
    <w:rsid w:val="0032152E"/>
    <w:rsid w:val="0032191F"/>
    <w:rsid w:val="00321FD7"/>
    <w:rsid w:val="0032206D"/>
    <w:rsid w:val="00323945"/>
    <w:rsid w:val="00324006"/>
    <w:rsid w:val="00324298"/>
    <w:rsid w:val="0032441B"/>
    <w:rsid w:val="00324837"/>
    <w:rsid w:val="0032483E"/>
    <w:rsid w:val="00324EA5"/>
    <w:rsid w:val="00325C78"/>
    <w:rsid w:val="003264B4"/>
    <w:rsid w:val="003267A8"/>
    <w:rsid w:val="0032723B"/>
    <w:rsid w:val="00330052"/>
    <w:rsid w:val="00330401"/>
    <w:rsid w:val="0033068D"/>
    <w:rsid w:val="003306F6"/>
    <w:rsid w:val="00330A29"/>
    <w:rsid w:val="00330B05"/>
    <w:rsid w:val="00330DC5"/>
    <w:rsid w:val="00331C2B"/>
    <w:rsid w:val="003321B1"/>
    <w:rsid w:val="00332493"/>
    <w:rsid w:val="00332548"/>
    <w:rsid w:val="003326EC"/>
    <w:rsid w:val="00332718"/>
    <w:rsid w:val="00332742"/>
    <w:rsid w:val="00332C7B"/>
    <w:rsid w:val="00332F64"/>
    <w:rsid w:val="0033317E"/>
    <w:rsid w:val="00334B20"/>
    <w:rsid w:val="00334B46"/>
    <w:rsid w:val="00334EEB"/>
    <w:rsid w:val="003354FC"/>
    <w:rsid w:val="0033623F"/>
    <w:rsid w:val="00336B21"/>
    <w:rsid w:val="00337362"/>
    <w:rsid w:val="00337DA2"/>
    <w:rsid w:val="00340376"/>
    <w:rsid w:val="0034053D"/>
    <w:rsid w:val="00340ADB"/>
    <w:rsid w:val="00340CF3"/>
    <w:rsid w:val="00340FA6"/>
    <w:rsid w:val="00341403"/>
    <w:rsid w:val="00341509"/>
    <w:rsid w:val="0034150E"/>
    <w:rsid w:val="0034155C"/>
    <w:rsid w:val="003419E6"/>
    <w:rsid w:val="00341CC9"/>
    <w:rsid w:val="00341E8C"/>
    <w:rsid w:val="00342013"/>
    <w:rsid w:val="003424E4"/>
    <w:rsid w:val="003425E4"/>
    <w:rsid w:val="003427D2"/>
    <w:rsid w:val="00342B56"/>
    <w:rsid w:val="00343B68"/>
    <w:rsid w:val="003442B8"/>
    <w:rsid w:val="003443FD"/>
    <w:rsid w:val="00346012"/>
    <w:rsid w:val="00346082"/>
    <w:rsid w:val="00346193"/>
    <w:rsid w:val="003467E8"/>
    <w:rsid w:val="003469FD"/>
    <w:rsid w:val="00346F08"/>
    <w:rsid w:val="0034707D"/>
    <w:rsid w:val="0034770A"/>
    <w:rsid w:val="00347A63"/>
    <w:rsid w:val="00347D6D"/>
    <w:rsid w:val="00350289"/>
    <w:rsid w:val="00350657"/>
    <w:rsid w:val="00350A9F"/>
    <w:rsid w:val="00351DEC"/>
    <w:rsid w:val="003521F9"/>
    <w:rsid w:val="003522F1"/>
    <w:rsid w:val="00352A62"/>
    <w:rsid w:val="00352D4E"/>
    <w:rsid w:val="00352FC6"/>
    <w:rsid w:val="00353345"/>
    <w:rsid w:val="0035386D"/>
    <w:rsid w:val="00353994"/>
    <w:rsid w:val="0035399A"/>
    <w:rsid w:val="00353A66"/>
    <w:rsid w:val="00353D8F"/>
    <w:rsid w:val="00354474"/>
    <w:rsid w:val="00355F8D"/>
    <w:rsid w:val="00355F8E"/>
    <w:rsid w:val="003564BA"/>
    <w:rsid w:val="00356727"/>
    <w:rsid w:val="00356A21"/>
    <w:rsid w:val="00357A96"/>
    <w:rsid w:val="003608EB"/>
    <w:rsid w:val="0036093F"/>
    <w:rsid w:val="00361345"/>
    <w:rsid w:val="0036180D"/>
    <w:rsid w:val="00361AF3"/>
    <w:rsid w:val="0036284F"/>
    <w:rsid w:val="00362B14"/>
    <w:rsid w:val="00362C8E"/>
    <w:rsid w:val="003637B0"/>
    <w:rsid w:val="00364101"/>
    <w:rsid w:val="003648DF"/>
    <w:rsid w:val="0036498D"/>
    <w:rsid w:val="0036506D"/>
    <w:rsid w:val="003652A6"/>
    <w:rsid w:val="0036531A"/>
    <w:rsid w:val="00365EBF"/>
    <w:rsid w:val="00366156"/>
    <w:rsid w:val="003672F3"/>
    <w:rsid w:val="0036766B"/>
    <w:rsid w:val="003704D2"/>
    <w:rsid w:val="00370FF8"/>
    <w:rsid w:val="003714C7"/>
    <w:rsid w:val="00371919"/>
    <w:rsid w:val="00371FDE"/>
    <w:rsid w:val="0037221B"/>
    <w:rsid w:val="003723B1"/>
    <w:rsid w:val="00372572"/>
    <w:rsid w:val="00372C9A"/>
    <w:rsid w:val="003733C9"/>
    <w:rsid w:val="00373CC5"/>
    <w:rsid w:val="0037480C"/>
    <w:rsid w:val="00374856"/>
    <w:rsid w:val="00374C9F"/>
    <w:rsid w:val="0037527F"/>
    <w:rsid w:val="00375540"/>
    <w:rsid w:val="00375AAD"/>
    <w:rsid w:val="00375B0C"/>
    <w:rsid w:val="00375EFF"/>
    <w:rsid w:val="00375FCA"/>
    <w:rsid w:val="00376221"/>
    <w:rsid w:val="0037644D"/>
    <w:rsid w:val="0037662D"/>
    <w:rsid w:val="00376ECD"/>
    <w:rsid w:val="003808E2"/>
    <w:rsid w:val="0038154B"/>
    <w:rsid w:val="00381837"/>
    <w:rsid w:val="00382ECC"/>
    <w:rsid w:val="003832A3"/>
    <w:rsid w:val="003841D9"/>
    <w:rsid w:val="003847F4"/>
    <w:rsid w:val="00385292"/>
    <w:rsid w:val="00385AB4"/>
    <w:rsid w:val="00385FCC"/>
    <w:rsid w:val="003860B1"/>
    <w:rsid w:val="003861BB"/>
    <w:rsid w:val="00386546"/>
    <w:rsid w:val="003877F3"/>
    <w:rsid w:val="00387BA4"/>
    <w:rsid w:val="0039038D"/>
    <w:rsid w:val="00390C5A"/>
    <w:rsid w:val="00391255"/>
    <w:rsid w:val="00391260"/>
    <w:rsid w:val="0039129B"/>
    <w:rsid w:val="0039232E"/>
    <w:rsid w:val="003923E4"/>
    <w:rsid w:val="00392440"/>
    <w:rsid w:val="00392DE7"/>
    <w:rsid w:val="003933B9"/>
    <w:rsid w:val="00393567"/>
    <w:rsid w:val="00393D0F"/>
    <w:rsid w:val="003960AC"/>
    <w:rsid w:val="003967C6"/>
    <w:rsid w:val="00396F06"/>
    <w:rsid w:val="00397515"/>
    <w:rsid w:val="0039782D"/>
    <w:rsid w:val="00397BEF"/>
    <w:rsid w:val="00397E57"/>
    <w:rsid w:val="003A00CC"/>
    <w:rsid w:val="003A09D8"/>
    <w:rsid w:val="003A0AEA"/>
    <w:rsid w:val="003A0E84"/>
    <w:rsid w:val="003A1C9E"/>
    <w:rsid w:val="003A1FF8"/>
    <w:rsid w:val="003A25F0"/>
    <w:rsid w:val="003A2762"/>
    <w:rsid w:val="003A2B2D"/>
    <w:rsid w:val="003A34D0"/>
    <w:rsid w:val="003A3896"/>
    <w:rsid w:val="003A3918"/>
    <w:rsid w:val="003A461A"/>
    <w:rsid w:val="003A50CB"/>
    <w:rsid w:val="003A530B"/>
    <w:rsid w:val="003A6179"/>
    <w:rsid w:val="003A6262"/>
    <w:rsid w:val="003A650F"/>
    <w:rsid w:val="003A696D"/>
    <w:rsid w:val="003A6C30"/>
    <w:rsid w:val="003A7710"/>
    <w:rsid w:val="003A7B63"/>
    <w:rsid w:val="003A7F08"/>
    <w:rsid w:val="003B0057"/>
    <w:rsid w:val="003B00F7"/>
    <w:rsid w:val="003B11FB"/>
    <w:rsid w:val="003B1342"/>
    <w:rsid w:val="003B18EC"/>
    <w:rsid w:val="003B1918"/>
    <w:rsid w:val="003B1935"/>
    <w:rsid w:val="003B26D9"/>
    <w:rsid w:val="003B2917"/>
    <w:rsid w:val="003B2B0D"/>
    <w:rsid w:val="003B2DAE"/>
    <w:rsid w:val="003B2FE5"/>
    <w:rsid w:val="003B3330"/>
    <w:rsid w:val="003B37A0"/>
    <w:rsid w:val="003B3D2A"/>
    <w:rsid w:val="003B41B5"/>
    <w:rsid w:val="003B483B"/>
    <w:rsid w:val="003B525B"/>
    <w:rsid w:val="003B57CC"/>
    <w:rsid w:val="003B6608"/>
    <w:rsid w:val="003B66C6"/>
    <w:rsid w:val="003B699E"/>
    <w:rsid w:val="003B70C5"/>
    <w:rsid w:val="003B72A4"/>
    <w:rsid w:val="003B774D"/>
    <w:rsid w:val="003B7B3D"/>
    <w:rsid w:val="003B7E57"/>
    <w:rsid w:val="003C00DD"/>
    <w:rsid w:val="003C08B7"/>
    <w:rsid w:val="003C0DFB"/>
    <w:rsid w:val="003C1122"/>
    <w:rsid w:val="003C2199"/>
    <w:rsid w:val="003C267E"/>
    <w:rsid w:val="003C281E"/>
    <w:rsid w:val="003C2D03"/>
    <w:rsid w:val="003C335E"/>
    <w:rsid w:val="003C3E48"/>
    <w:rsid w:val="003C4522"/>
    <w:rsid w:val="003C459A"/>
    <w:rsid w:val="003C4E1F"/>
    <w:rsid w:val="003C50A0"/>
    <w:rsid w:val="003C549C"/>
    <w:rsid w:val="003C54E7"/>
    <w:rsid w:val="003C5553"/>
    <w:rsid w:val="003C5606"/>
    <w:rsid w:val="003C5A0E"/>
    <w:rsid w:val="003C5B24"/>
    <w:rsid w:val="003C5F8A"/>
    <w:rsid w:val="003C6BEE"/>
    <w:rsid w:val="003C75BC"/>
    <w:rsid w:val="003D07AB"/>
    <w:rsid w:val="003D10A7"/>
    <w:rsid w:val="003D1170"/>
    <w:rsid w:val="003D11DF"/>
    <w:rsid w:val="003D125E"/>
    <w:rsid w:val="003D138D"/>
    <w:rsid w:val="003D17FC"/>
    <w:rsid w:val="003D1D86"/>
    <w:rsid w:val="003D337F"/>
    <w:rsid w:val="003D4377"/>
    <w:rsid w:val="003D452F"/>
    <w:rsid w:val="003D4C99"/>
    <w:rsid w:val="003D4D22"/>
    <w:rsid w:val="003D5141"/>
    <w:rsid w:val="003D523A"/>
    <w:rsid w:val="003D5C63"/>
    <w:rsid w:val="003D5C83"/>
    <w:rsid w:val="003D601F"/>
    <w:rsid w:val="003D61F5"/>
    <w:rsid w:val="003D6451"/>
    <w:rsid w:val="003D6E2D"/>
    <w:rsid w:val="003D710C"/>
    <w:rsid w:val="003D76CD"/>
    <w:rsid w:val="003E06AF"/>
    <w:rsid w:val="003E0708"/>
    <w:rsid w:val="003E077C"/>
    <w:rsid w:val="003E08AC"/>
    <w:rsid w:val="003E0F11"/>
    <w:rsid w:val="003E11AC"/>
    <w:rsid w:val="003E1D7A"/>
    <w:rsid w:val="003E200B"/>
    <w:rsid w:val="003E2812"/>
    <w:rsid w:val="003E28E5"/>
    <w:rsid w:val="003E2A9B"/>
    <w:rsid w:val="003E2B78"/>
    <w:rsid w:val="003E2DAC"/>
    <w:rsid w:val="003E2E31"/>
    <w:rsid w:val="003E2FE4"/>
    <w:rsid w:val="003E37AB"/>
    <w:rsid w:val="003E37CE"/>
    <w:rsid w:val="003E3BBD"/>
    <w:rsid w:val="003E4263"/>
    <w:rsid w:val="003E45EA"/>
    <w:rsid w:val="003E4D0F"/>
    <w:rsid w:val="003E5233"/>
    <w:rsid w:val="003E5672"/>
    <w:rsid w:val="003E5FF2"/>
    <w:rsid w:val="003E6554"/>
    <w:rsid w:val="003E6E19"/>
    <w:rsid w:val="003E6E45"/>
    <w:rsid w:val="003E726C"/>
    <w:rsid w:val="003E7AD9"/>
    <w:rsid w:val="003F03FB"/>
    <w:rsid w:val="003F0503"/>
    <w:rsid w:val="003F0F4D"/>
    <w:rsid w:val="003F1559"/>
    <w:rsid w:val="003F197D"/>
    <w:rsid w:val="003F2451"/>
    <w:rsid w:val="003F3509"/>
    <w:rsid w:val="003F3538"/>
    <w:rsid w:val="003F48EE"/>
    <w:rsid w:val="003F5119"/>
    <w:rsid w:val="003F5358"/>
    <w:rsid w:val="003F53F9"/>
    <w:rsid w:val="003F63E8"/>
    <w:rsid w:val="003F6B29"/>
    <w:rsid w:val="003F6D88"/>
    <w:rsid w:val="003F73F5"/>
    <w:rsid w:val="00400488"/>
    <w:rsid w:val="004005C5"/>
    <w:rsid w:val="00400FB3"/>
    <w:rsid w:val="0040105F"/>
    <w:rsid w:val="004012EA"/>
    <w:rsid w:val="00401379"/>
    <w:rsid w:val="00401384"/>
    <w:rsid w:val="00401FA0"/>
    <w:rsid w:val="00402281"/>
    <w:rsid w:val="004023B8"/>
    <w:rsid w:val="00402502"/>
    <w:rsid w:val="0040250F"/>
    <w:rsid w:val="00402804"/>
    <w:rsid w:val="00403BB3"/>
    <w:rsid w:val="0040423D"/>
    <w:rsid w:val="004045B5"/>
    <w:rsid w:val="00404BA3"/>
    <w:rsid w:val="00404C21"/>
    <w:rsid w:val="00404FDF"/>
    <w:rsid w:val="00405105"/>
    <w:rsid w:val="00406177"/>
    <w:rsid w:val="00406764"/>
    <w:rsid w:val="00407A88"/>
    <w:rsid w:val="00407D96"/>
    <w:rsid w:val="00407DC6"/>
    <w:rsid w:val="00410059"/>
    <w:rsid w:val="00410A71"/>
    <w:rsid w:val="00411FCD"/>
    <w:rsid w:val="00412D99"/>
    <w:rsid w:val="004134AD"/>
    <w:rsid w:val="00413B97"/>
    <w:rsid w:val="00413C62"/>
    <w:rsid w:val="004141E1"/>
    <w:rsid w:val="0041434E"/>
    <w:rsid w:val="00414542"/>
    <w:rsid w:val="0041488C"/>
    <w:rsid w:val="0041615C"/>
    <w:rsid w:val="00416407"/>
    <w:rsid w:val="00417173"/>
    <w:rsid w:val="004174CC"/>
    <w:rsid w:val="00417AA7"/>
    <w:rsid w:val="00417C82"/>
    <w:rsid w:val="0042045B"/>
    <w:rsid w:val="00421160"/>
    <w:rsid w:val="0042247B"/>
    <w:rsid w:val="004227C1"/>
    <w:rsid w:val="00422EEB"/>
    <w:rsid w:val="00423244"/>
    <w:rsid w:val="00424834"/>
    <w:rsid w:val="00424E53"/>
    <w:rsid w:val="00425113"/>
    <w:rsid w:val="00425BC2"/>
    <w:rsid w:val="00426237"/>
    <w:rsid w:val="0042638B"/>
    <w:rsid w:val="00426661"/>
    <w:rsid w:val="00426EB0"/>
    <w:rsid w:val="0042702D"/>
    <w:rsid w:val="004301CA"/>
    <w:rsid w:val="00430B1F"/>
    <w:rsid w:val="00430E21"/>
    <w:rsid w:val="004310D3"/>
    <w:rsid w:val="0043118A"/>
    <w:rsid w:val="00431791"/>
    <w:rsid w:val="00431843"/>
    <w:rsid w:val="00431B71"/>
    <w:rsid w:val="00432504"/>
    <w:rsid w:val="00432541"/>
    <w:rsid w:val="00433011"/>
    <w:rsid w:val="00433358"/>
    <w:rsid w:val="00433734"/>
    <w:rsid w:val="004337D5"/>
    <w:rsid w:val="00433EB8"/>
    <w:rsid w:val="004348C4"/>
    <w:rsid w:val="00434B4A"/>
    <w:rsid w:val="00434C78"/>
    <w:rsid w:val="0043504F"/>
    <w:rsid w:val="00435C1E"/>
    <w:rsid w:val="00435DC1"/>
    <w:rsid w:val="0043632C"/>
    <w:rsid w:val="00437748"/>
    <w:rsid w:val="00437D30"/>
    <w:rsid w:val="00440284"/>
    <w:rsid w:val="00440843"/>
    <w:rsid w:val="004408D5"/>
    <w:rsid w:val="00440CB1"/>
    <w:rsid w:val="00440E73"/>
    <w:rsid w:val="00440EFE"/>
    <w:rsid w:val="004418E6"/>
    <w:rsid w:val="00441BEE"/>
    <w:rsid w:val="004423B9"/>
    <w:rsid w:val="00442669"/>
    <w:rsid w:val="004429E0"/>
    <w:rsid w:val="00442CEC"/>
    <w:rsid w:val="00442F84"/>
    <w:rsid w:val="00443092"/>
    <w:rsid w:val="00443BB6"/>
    <w:rsid w:val="00444440"/>
    <w:rsid w:val="0044448C"/>
    <w:rsid w:val="004450AA"/>
    <w:rsid w:val="00445A13"/>
    <w:rsid w:val="00446179"/>
    <w:rsid w:val="00447F34"/>
    <w:rsid w:val="00447F84"/>
    <w:rsid w:val="00450533"/>
    <w:rsid w:val="00450ACE"/>
    <w:rsid w:val="004512C8"/>
    <w:rsid w:val="00451C88"/>
    <w:rsid w:val="0045289E"/>
    <w:rsid w:val="00452BF6"/>
    <w:rsid w:val="00453F37"/>
    <w:rsid w:val="0045462C"/>
    <w:rsid w:val="004549D1"/>
    <w:rsid w:val="00454DE2"/>
    <w:rsid w:val="00454E81"/>
    <w:rsid w:val="004551D7"/>
    <w:rsid w:val="00455753"/>
    <w:rsid w:val="0045575E"/>
    <w:rsid w:val="00455CC7"/>
    <w:rsid w:val="004560E7"/>
    <w:rsid w:val="004566DF"/>
    <w:rsid w:val="004568FD"/>
    <w:rsid w:val="00461905"/>
    <w:rsid w:val="00461BCC"/>
    <w:rsid w:val="004627BD"/>
    <w:rsid w:val="00462812"/>
    <w:rsid w:val="00462B22"/>
    <w:rsid w:val="00462EFF"/>
    <w:rsid w:val="0046304E"/>
    <w:rsid w:val="00463F36"/>
    <w:rsid w:val="00464008"/>
    <w:rsid w:val="00465442"/>
    <w:rsid w:val="00465D51"/>
    <w:rsid w:val="004660A5"/>
    <w:rsid w:val="00466A4C"/>
    <w:rsid w:val="004675BB"/>
    <w:rsid w:val="004676E6"/>
    <w:rsid w:val="004702C8"/>
    <w:rsid w:val="0047188E"/>
    <w:rsid w:val="00471A6B"/>
    <w:rsid w:val="00472BAB"/>
    <w:rsid w:val="004739EF"/>
    <w:rsid w:val="00473A82"/>
    <w:rsid w:val="00473DCB"/>
    <w:rsid w:val="00475BD6"/>
    <w:rsid w:val="00475CE7"/>
    <w:rsid w:val="00476244"/>
    <w:rsid w:val="004772E7"/>
    <w:rsid w:val="00477455"/>
    <w:rsid w:val="00480122"/>
    <w:rsid w:val="00480DE4"/>
    <w:rsid w:val="00480F5B"/>
    <w:rsid w:val="00481646"/>
    <w:rsid w:val="0048199C"/>
    <w:rsid w:val="00481DA7"/>
    <w:rsid w:val="004821F1"/>
    <w:rsid w:val="004848D0"/>
    <w:rsid w:val="00484EB4"/>
    <w:rsid w:val="00484ECF"/>
    <w:rsid w:val="00485235"/>
    <w:rsid w:val="00485DB2"/>
    <w:rsid w:val="00485FD4"/>
    <w:rsid w:val="00486355"/>
    <w:rsid w:val="00486371"/>
    <w:rsid w:val="00486DD7"/>
    <w:rsid w:val="004878D4"/>
    <w:rsid w:val="00487C98"/>
    <w:rsid w:val="00487D49"/>
    <w:rsid w:val="00487F2F"/>
    <w:rsid w:val="004904AF"/>
    <w:rsid w:val="004907F7"/>
    <w:rsid w:val="00490B20"/>
    <w:rsid w:val="00490F78"/>
    <w:rsid w:val="00490FCA"/>
    <w:rsid w:val="004910DC"/>
    <w:rsid w:val="004911CD"/>
    <w:rsid w:val="00491BAE"/>
    <w:rsid w:val="004920E3"/>
    <w:rsid w:val="00492D4C"/>
    <w:rsid w:val="004935E7"/>
    <w:rsid w:val="00493A39"/>
    <w:rsid w:val="00494945"/>
    <w:rsid w:val="0049546F"/>
    <w:rsid w:val="0049555F"/>
    <w:rsid w:val="00495681"/>
    <w:rsid w:val="00495B96"/>
    <w:rsid w:val="00495BA1"/>
    <w:rsid w:val="0049657E"/>
    <w:rsid w:val="004969C8"/>
    <w:rsid w:val="00496C1F"/>
    <w:rsid w:val="00496C5E"/>
    <w:rsid w:val="00496E9F"/>
    <w:rsid w:val="004970D0"/>
    <w:rsid w:val="004972DE"/>
    <w:rsid w:val="00497BC6"/>
    <w:rsid w:val="004A00D4"/>
    <w:rsid w:val="004A090C"/>
    <w:rsid w:val="004A0963"/>
    <w:rsid w:val="004A0A45"/>
    <w:rsid w:val="004A0AFC"/>
    <w:rsid w:val="004A0F92"/>
    <w:rsid w:val="004A11BD"/>
    <w:rsid w:val="004A1815"/>
    <w:rsid w:val="004A1FE3"/>
    <w:rsid w:val="004A2318"/>
    <w:rsid w:val="004A24B1"/>
    <w:rsid w:val="004A298D"/>
    <w:rsid w:val="004A2D88"/>
    <w:rsid w:val="004A3045"/>
    <w:rsid w:val="004A3410"/>
    <w:rsid w:val="004A3E94"/>
    <w:rsid w:val="004A53AC"/>
    <w:rsid w:val="004A593B"/>
    <w:rsid w:val="004A5B1B"/>
    <w:rsid w:val="004A644D"/>
    <w:rsid w:val="004A6752"/>
    <w:rsid w:val="004A687F"/>
    <w:rsid w:val="004A6C5F"/>
    <w:rsid w:val="004A6D3C"/>
    <w:rsid w:val="004A7006"/>
    <w:rsid w:val="004A7E31"/>
    <w:rsid w:val="004A7EED"/>
    <w:rsid w:val="004A7F60"/>
    <w:rsid w:val="004B049E"/>
    <w:rsid w:val="004B04CE"/>
    <w:rsid w:val="004B0C94"/>
    <w:rsid w:val="004B0EC3"/>
    <w:rsid w:val="004B0ECD"/>
    <w:rsid w:val="004B1C0D"/>
    <w:rsid w:val="004B1DF3"/>
    <w:rsid w:val="004B1F6F"/>
    <w:rsid w:val="004B1FB1"/>
    <w:rsid w:val="004B2DB7"/>
    <w:rsid w:val="004B325C"/>
    <w:rsid w:val="004B3768"/>
    <w:rsid w:val="004B38B2"/>
    <w:rsid w:val="004B3F90"/>
    <w:rsid w:val="004B4098"/>
    <w:rsid w:val="004B412D"/>
    <w:rsid w:val="004B42BB"/>
    <w:rsid w:val="004B468B"/>
    <w:rsid w:val="004B47F1"/>
    <w:rsid w:val="004B5378"/>
    <w:rsid w:val="004B5C2B"/>
    <w:rsid w:val="004B6CBB"/>
    <w:rsid w:val="004B6F0D"/>
    <w:rsid w:val="004B6FE9"/>
    <w:rsid w:val="004B798F"/>
    <w:rsid w:val="004B7B5B"/>
    <w:rsid w:val="004B7DA3"/>
    <w:rsid w:val="004C022C"/>
    <w:rsid w:val="004C164E"/>
    <w:rsid w:val="004C249A"/>
    <w:rsid w:val="004C2BAD"/>
    <w:rsid w:val="004C352D"/>
    <w:rsid w:val="004C36A6"/>
    <w:rsid w:val="004C387A"/>
    <w:rsid w:val="004C38B6"/>
    <w:rsid w:val="004C3CB9"/>
    <w:rsid w:val="004C4CA8"/>
    <w:rsid w:val="004C4DC7"/>
    <w:rsid w:val="004C54BD"/>
    <w:rsid w:val="004C57DB"/>
    <w:rsid w:val="004C5A39"/>
    <w:rsid w:val="004C5A7E"/>
    <w:rsid w:val="004C6108"/>
    <w:rsid w:val="004C6FD1"/>
    <w:rsid w:val="004C72A1"/>
    <w:rsid w:val="004C7386"/>
    <w:rsid w:val="004C7E78"/>
    <w:rsid w:val="004D05AD"/>
    <w:rsid w:val="004D08BD"/>
    <w:rsid w:val="004D1880"/>
    <w:rsid w:val="004D1BE5"/>
    <w:rsid w:val="004D1E81"/>
    <w:rsid w:val="004D23E0"/>
    <w:rsid w:val="004D24FF"/>
    <w:rsid w:val="004D2539"/>
    <w:rsid w:val="004D2BDA"/>
    <w:rsid w:val="004D3428"/>
    <w:rsid w:val="004D3835"/>
    <w:rsid w:val="004D4340"/>
    <w:rsid w:val="004D4515"/>
    <w:rsid w:val="004D4893"/>
    <w:rsid w:val="004D528A"/>
    <w:rsid w:val="004D54FC"/>
    <w:rsid w:val="004D6038"/>
    <w:rsid w:val="004D60C4"/>
    <w:rsid w:val="004D6DDF"/>
    <w:rsid w:val="004D71AB"/>
    <w:rsid w:val="004D76F8"/>
    <w:rsid w:val="004D7D30"/>
    <w:rsid w:val="004E0724"/>
    <w:rsid w:val="004E075A"/>
    <w:rsid w:val="004E0B29"/>
    <w:rsid w:val="004E150E"/>
    <w:rsid w:val="004E1C30"/>
    <w:rsid w:val="004E1F21"/>
    <w:rsid w:val="004E1F61"/>
    <w:rsid w:val="004E2541"/>
    <w:rsid w:val="004E2DD1"/>
    <w:rsid w:val="004E303A"/>
    <w:rsid w:val="004E313C"/>
    <w:rsid w:val="004E3698"/>
    <w:rsid w:val="004E37BF"/>
    <w:rsid w:val="004E3C5A"/>
    <w:rsid w:val="004E4543"/>
    <w:rsid w:val="004E4863"/>
    <w:rsid w:val="004E5FB3"/>
    <w:rsid w:val="004E6060"/>
    <w:rsid w:val="004E6337"/>
    <w:rsid w:val="004E6973"/>
    <w:rsid w:val="004E6F9E"/>
    <w:rsid w:val="004E730C"/>
    <w:rsid w:val="004E7542"/>
    <w:rsid w:val="004E7582"/>
    <w:rsid w:val="004F06A3"/>
    <w:rsid w:val="004F1C5F"/>
    <w:rsid w:val="004F1EFB"/>
    <w:rsid w:val="004F279D"/>
    <w:rsid w:val="004F2952"/>
    <w:rsid w:val="004F29CF"/>
    <w:rsid w:val="004F29F5"/>
    <w:rsid w:val="004F488F"/>
    <w:rsid w:val="004F4DE0"/>
    <w:rsid w:val="004F527C"/>
    <w:rsid w:val="004F599E"/>
    <w:rsid w:val="004F6143"/>
    <w:rsid w:val="004F672F"/>
    <w:rsid w:val="004F673E"/>
    <w:rsid w:val="004F6EAC"/>
    <w:rsid w:val="004F6FA4"/>
    <w:rsid w:val="004F762A"/>
    <w:rsid w:val="00500E95"/>
    <w:rsid w:val="0050113F"/>
    <w:rsid w:val="005013E8"/>
    <w:rsid w:val="0050190F"/>
    <w:rsid w:val="005023FD"/>
    <w:rsid w:val="00502A2B"/>
    <w:rsid w:val="00503601"/>
    <w:rsid w:val="00503928"/>
    <w:rsid w:val="00503B78"/>
    <w:rsid w:val="00503CEE"/>
    <w:rsid w:val="00503E14"/>
    <w:rsid w:val="00504067"/>
    <w:rsid w:val="005041A0"/>
    <w:rsid w:val="00504CC1"/>
    <w:rsid w:val="005055D1"/>
    <w:rsid w:val="00505ADE"/>
    <w:rsid w:val="00505BFB"/>
    <w:rsid w:val="00505C30"/>
    <w:rsid w:val="0050610A"/>
    <w:rsid w:val="00506339"/>
    <w:rsid w:val="005065AE"/>
    <w:rsid w:val="005065ED"/>
    <w:rsid w:val="00506B30"/>
    <w:rsid w:val="00506BB8"/>
    <w:rsid w:val="00506C4E"/>
    <w:rsid w:val="00506FAC"/>
    <w:rsid w:val="0050767D"/>
    <w:rsid w:val="00507B57"/>
    <w:rsid w:val="00510E5A"/>
    <w:rsid w:val="005110E8"/>
    <w:rsid w:val="0051144D"/>
    <w:rsid w:val="00511CDF"/>
    <w:rsid w:val="00511F54"/>
    <w:rsid w:val="005131DC"/>
    <w:rsid w:val="005132E2"/>
    <w:rsid w:val="00513B6B"/>
    <w:rsid w:val="0051493B"/>
    <w:rsid w:val="00515108"/>
    <w:rsid w:val="00515436"/>
    <w:rsid w:val="00516CE0"/>
    <w:rsid w:val="005176B7"/>
    <w:rsid w:val="00517990"/>
    <w:rsid w:val="00517E46"/>
    <w:rsid w:val="005203F0"/>
    <w:rsid w:val="00520E00"/>
    <w:rsid w:val="00520E2C"/>
    <w:rsid w:val="00520F84"/>
    <w:rsid w:val="00521116"/>
    <w:rsid w:val="005213AE"/>
    <w:rsid w:val="0052220E"/>
    <w:rsid w:val="0052293A"/>
    <w:rsid w:val="00522B4B"/>
    <w:rsid w:val="005230D7"/>
    <w:rsid w:val="00523487"/>
    <w:rsid w:val="00523533"/>
    <w:rsid w:val="00523755"/>
    <w:rsid w:val="0052425B"/>
    <w:rsid w:val="00525A64"/>
    <w:rsid w:val="005262A6"/>
    <w:rsid w:val="00526F9F"/>
    <w:rsid w:val="00527250"/>
    <w:rsid w:val="0052733A"/>
    <w:rsid w:val="00527941"/>
    <w:rsid w:val="00527968"/>
    <w:rsid w:val="00527C3E"/>
    <w:rsid w:val="005302D5"/>
    <w:rsid w:val="005305E2"/>
    <w:rsid w:val="00530BFE"/>
    <w:rsid w:val="00530D11"/>
    <w:rsid w:val="0053197F"/>
    <w:rsid w:val="00531EBF"/>
    <w:rsid w:val="00532255"/>
    <w:rsid w:val="00532426"/>
    <w:rsid w:val="0053244E"/>
    <w:rsid w:val="005326AB"/>
    <w:rsid w:val="00532883"/>
    <w:rsid w:val="005338FB"/>
    <w:rsid w:val="00534873"/>
    <w:rsid w:val="00535284"/>
    <w:rsid w:val="0053575C"/>
    <w:rsid w:val="00535EE0"/>
    <w:rsid w:val="00536E40"/>
    <w:rsid w:val="005373F4"/>
    <w:rsid w:val="00537887"/>
    <w:rsid w:val="005378F4"/>
    <w:rsid w:val="00540939"/>
    <w:rsid w:val="005410E9"/>
    <w:rsid w:val="00541261"/>
    <w:rsid w:val="00541D80"/>
    <w:rsid w:val="005421A9"/>
    <w:rsid w:val="005426E5"/>
    <w:rsid w:val="005428F0"/>
    <w:rsid w:val="0054310C"/>
    <w:rsid w:val="005431EB"/>
    <w:rsid w:val="005433FA"/>
    <w:rsid w:val="005435DB"/>
    <w:rsid w:val="00543BAC"/>
    <w:rsid w:val="0054430B"/>
    <w:rsid w:val="0054487D"/>
    <w:rsid w:val="00544E8C"/>
    <w:rsid w:val="00545A26"/>
    <w:rsid w:val="00545CDE"/>
    <w:rsid w:val="005468F6"/>
    <w:rsid w:val="00547459"/>
    <w:rsid w:val="0054770A"/>
    <w:rsid w:val="00547C50"/>
    <w:rsid w:val="00550868"/>
    <w:rsid w:val="0055229A"/>
    <w:rsid w:val="005528DA"/>
    <w:rsid w:val="0055299C"/>
    <w:rsid w:val="00552AB3"/>
    <w:rsid w:val="00552F73"/>
    <w:rsid w:val="00554400"/>
    <w:rsid w:val="00554651"/>
    <w:rsid w:val="00554827"/>
    <w:rsid w:val="00554974"/>
    <w:rsid w:val="00554EBD"/>
    <w:rsid w:val="005551CF"/>
    <w:rsid w:val="005562E9"/>
    <w:rsid w:val="00556437"/>
    <w:rsid w:val="005566E7"/>
    <w:rsid w:val="00556714"/>
    <w:rsid w:val="00556888"/>
    <w:rsid w:val="005569B0"/>
    <w:rsid w:val="005569E2"/>
    <w:rsid w:val="00556EAE"/>
    <w:rsid w:val="005573D7"/>
    <w:rsid w:val="005609D3"/>
    <w:rsid w:val="00560A34"/>
    <w:rsid w:val="00560C44"/>
    <w:rsid w:val="00561CB8"/>
    <w:rsid w:val="00561ECA"/>
    <w:rsid w:val="00562603"/>
    <w:rsid w:val="00562DAE"/>
    <w:rsid w:val="00563E2C"/>
    <w:rsid w:val="0056492B"/>
    <w:rsid w:val="0056545F"/>
    <w:rsid w:val="005655BE"/>
    <w:rsid w:val="00565A0B"/>
    <w:rsid w:val="005662B2"/>
    <w:rsid w:val="00566A5B"/>
    <w:rsid w:val="00567222"/>
    <w:rsid w:val="0056748A"/>
    <w:rsid w:val="00567809"/>
    <w:rsid w:val="00567D8F"/>
    <w:rsid w:val="00567DA9"/>
    <w:rsid w:val="0057050A"/>
    <w:rsid w:val="005706AB"/>
    <w:rsid w:val="0057109F"/>
    <w:rsid w:val="0057145E"/>
    <w:rsid w:val="00571884"/>
    <w:rsid w:val="00571DF0"/>
    <w:rsid w:val="0057284D"/>
    <w:rsid w:val="00572986"/>
    <w:rsid w:val="00572A56"/>
    <w:rsid w:val="00572CE8"/>
    <w:rsid w:val="005739EE"/>
    <w:rsid w:val="00574439"/>
    <w:rsid w:val="005747A2"/>
    <w:rsid w:val="00574AF7"/>
    <w:rsid w:val="0057508B"/>
    <w:rsid w:val="00575E1F"/>
    <w:rsid w:val="0057609E"/>
    <w:rsid w:val="005764DC"/>
    <w:rsid w:val="005765F5"/>
    <w:rsid w:val="0057686E"/>
    <w:rsid w:val="00576D93"/>
    <w:rsid w:val="00577162"/>
    <w:rsid w:val="0057728B"/>
    <w:rsid w:val="00577AFA"/>
    <w:rsid w:val="00580392"/>
    <w:rsid w:val="00580A26"/>
    <w:rsid w:val="0058151B"/>
    <w:rsid w:val="00581E1F"/>
    <w:rsid w:val="00582254"/>
    <w:rsid w:val="0058282C"/>
    <w:rsid w:val="00582AA2"/>
    <w:rsid w:val="00582C51"/>
    <w:rsid w:val="00582CF7"/>
    <w:rsid w:val="0058334A"/>
    <w:rsid w:val="00583A8B"/>
    <w:rsid w:val="00583ED6"/>
    <w:rsid w:val="005840BF"/>
    <w:rsid w:val="005840C8"/>
    <w:rsid w:val="0058418E"/>
    <w:rsid w:val="005849D8"/>
    <w:rsid w:val="00586009"/>
    <w:rsid w:val="00586DE3"/>
    <w:rsid w:val="00586EC3"/>
    <w:rsid w:val="00587014"/>
    <w:rsid w:val="0058704E"/>
    <w:rsid w:val="0058723A"/>
    <w:rsid w:val="005875AA"/>
    <w:rsid w:val="00590442"/>
    <w:rsid w:val="00590A89"/>
    <w:rsid w:val="00590DB9"/>
    <w:rsid w:val="00590E72"/>
    <w:rsid w:val="00591CA9"/>
    <w:rsid w:val="00591F8E"/>
    <w:rsid w:val="005922D5"/>
    <w:rsid w:val="00592957"/>
    <w:rsid w:val="005932C5"/>
    <w:rsid w:val="005937BC"/>
    <w:rsid w:val="0059391E"/>
    <w:rsid w:val="00595038"/>
    <w:rsid w:val="00595CA6"/>
    <w:rsid w:val="0059679C"/>
    <w:rsid w:val="00596B61"/>
    <w:rsid w:val="005973B0"/>
    <w:rsid w:val="00597BCA"/>
    <w:rsid w:val="00597D8D"/>
    <w:rsid w:val="00597E35"/>
    <w:rsid w:val="005A0656"/>
    <w:rsid w:val="005A0802"/>
    <w:rsid w:val="005A1712"/>
    <w:rsid w:val="005A1DB2"/>
    <w:rsid w:val="005A243F"/>
    <w:rsid w:val="005A279A"/>
    <w:rsid w:val="005A33D5"/>
    <w:rsid w:val="005A3766"/>
    <w:rsid w:val="005A38AC"/>
    <w:rsid w:val="005A4061"/>
    <w:rsid w:val="005A4190"/>
    <w:rsid w:val="005A4C70"/>
    <w:rsid w:val="005A4FD0"/>
    <w:rsid w:val="005A5062"/>
    <w:rsid w:val="005A677B"/>
    <w:rsid w:val="005A7D0B"/>
    <w:rsid w:val="005A7EB5"/>
    <w:rsid w:val="005A7F4C"/>
    <w:rsid w:val="005B07C7"/>
    <w:rsid w:val="005B0E0D"/>
    <w:rsid w:val="005B1333"/>
    <w:rsid w:val="005B13C7"/>
    <w:rsid w:val="005B184C"/>
    <w:rsid w:val="005B23F5"/>
    <w:rsid w:val="005B2C13"/>
    <w:rsid w:val="005B2CDD"/>
    <w:rsid w:val="005B3330"/>
    <w:rsid w:val="005B36DB"/>
    <w:rsid w:val="005B3CC7"/>
    <w:rsid w:val="005B4943"/>
    <w:rsid w:val="005B4DF9"/>
    <w:rsid w:val="005B4F21"/>
    <w:rsid w:val="005B52BB"/>
    <w:rsid w:val="005B530B"/>
    <w:rsid w:val="005B65FD"/>
    <w:rsid w:val="005B69ED"/>
    <w:rsid w:val="005B730C"/>
    <w:rsid w:val="005B784F"/>
    <w:rsid w:val="005B7A64"/>
    <w:rsid w:val="005C0193"/>
    <w:rsid w:val="005C040C"/>
    <w:rsid w:val="005C0F54"/>
    <w:rsid w:val="005C1925"/>
    <w:rsid w:val="005C285E"/>
    <w:rsid w:val="005C3474"/>
    <w:rsid w:val="005C3AAC"/>
    <w:rsid w:val="005C435F"/>
    <w:rsid w:val="005C4C9A"/>
    <w:rsid w:val="005C5202"/>
    <w:rsid w:val="005C52B9"/>
    <w:rsid w:val="005C5A81"/>
    <w:rsid w:val="005C5D76"/>
    <w:rsid w:val="005C6131"/>
    <w:rsid w:val="005C681C"/>
    <w:rsid w:val="005C68BE"/>
    <w:rsid w:val="005C6CDE"/>
    <w:rsid w:val="005D03E8"/>
    <w:rsid w:val="005D066B"/>
    <w:rsid w:val="005D06C7"/>
    <w:rsid w:val="005D079C"/>
    <w:rsid w:val="005D08EA"/>
    <w:rsid w:val="005D0FB8"/>
    <w:rsid w:val="005D0FD5"/>
    <w:rsid w:val="005D1353"/>
    <w:rsid w:val="005D179B"/>
    <w:rsid w:val="005D1BF7"/>
    <w:rsid w:val="005D1C0F"/>
    <w:rsid w:val="005D2730"/>
    <w:rsid w:val="005D3514"/>
    <w:rsid w:val="005D353C"/>
    <w:rsid w:val="005D3735"/>
    <w:rsid w:val="005D497C"/>
    <w:rsid w:val="005D4CA2"/>
    <w:rsid w:val="005D517C"/>
    <w:rsid w:val="005D5795"/>
    <w:rsid w:val="005D5937"/>
    <w:rsid w:val="005D6434"/>
    <w:rsid w:val="005D685D"/>
    <w:rsid w:val="005D68C5"/>
    <w:rsid w:val="005D742D"/>
    <w:rsid w:val="005D768B"/>
    <w:rsid w:val="005D783A"/>
    <w:rsid w:val="005D797E"/>
    <w:rsid w:val="005D7D88"/>
    <w:rsid w:val="005D7F65"/>
    <w:rsid w:val="005D7F86"/>
    <w:rsid w:val="005E0154"/>
    <w:rsid w:val="005E018E"/>
    <w:rsid w:val="005E029B"/>
    <w:rsid w:val="005E0CCC"/>
    <w:rsid w:val="005E113F"/>
    <w:rsid w:val="005E125A"/>
    <w:rsid w:val="005E127B"/>
    <w:rsid w:val="005E17C2"/>
    <w:rsid w:val="005E19A5"/>
    <w:rsid w:val="005E1C96"/>
    <w:rsid w:val="005E1DBA"/>
    <w:rsid w:val="005E2172"/>
    <w:rsid w:val="005E2BE3"/>
    <w:rsid w:val="005E3A64"/>
    <w:rsid w:val="005E3CA6"/>
    <w:rsid w:val="005E42B2"/>
    <w:rsid w:val="005E432F"/>
    <w:rsid w:val="005E49BA"/>
    <w:rsid w:val="005E4B9D"/>
    <w:rsid w:val="005E4C0E"/>
    <w:rsid w:val="005E53D8"/>
    <w:rsid w:val="005E5917"/>
    <w:rsid w:val="005E5EF9"/>
    <w:rsid w:val="005E644D"/>
    <w:rsid w:val="005E6AFF"/>
    <w:rsid w:val="005E6BC8"/>
    <w:rsid w:val="005E6D81"/>
    <w:rsid w:val="005E6D9B"/>
    <w:rsid w:val="005E70BC"/>
    <w:rsid w:val="005E740D"/>
    <w:rsid w:val="005E74B7"/>
    <w:rsid w:val="005E79A9"/>
    <w:rsid w:val="005F0C6D"/>
    <w:rsid w:val="005F10B0"/>
    <w:rsid w:val="005F1F30"/>
    <w:rsid w:val="005F2E72"/>
    <w:rsid w:val="005F31C7"/>
    <w:rsid w:val="005F321E"/>
    <w:rsid w:val="005F3641"/>
    <w:rsid w:val="005F3744"/>
    <w:rsid w:val="005F416C"/>
    <w:rsid w:val="005F5592"/>
    <w:rsid w:val="005F5894"/>
    <w:rsid w:val="005F60F1"/>
    <w:rsid w:val="005F64DB"/>
    <w:rsid w:val="005F680F"/>
    <w:rsid w:val="005F736A"/>
    <w:rsid w:val="005F7776"/>
    <w:rsid w:val="005F7951"/>
    <w:rsid w:val="005F7A65"/>
    <w:rsid w:val="00600E6D"/>
    <w:rsid w:val="00600F54"/>
    <w:rsid w:val="00601561"/>
    <w:rsid w:val="00601BD3"/>
    <w:rsid w:val="0060248C"/>
    <w:rsid w:val="00602561"/>
    <w:rsid w:val="00602739"/>
    <w:rsid w:val="00602AA8"/>
    <w:rsid w:val="00602D57"/>
    <w:rsid w:val="006035E5"/>
    <w:rsid w:val="006057F8"/>
    <w:rsid w:val="00605BE1"/>
    <w:rsid w:val="0060609E"/>
    <w:rsid w:val="0060616C"/>
    <w:rsid w:val="0060630F"/>
    <w:rsid w:val="006065AF"/>
    <w:rsid w:val="00607A43"/>
    <w:rsid w:val="00610321"/>
    <w:rsid w:val="00610413"/>
    <w:rsid w:val="006104B5"/>
    <w:rsid w:val="006114B6"/>
    <w:rsid w:val="00611990"/>
    <w:rsid w:val="006133E0"/>
    <w:rsid w:val="00613729"/>
    <w:rsid w:val="006139B1"/>
    <w:rsid w:val="00613BA0"/>
    <w:rsid w:val="00613C6E"/>
    <w:rsid w:val="006140F2"/>
    <w:rsid w:val="006141F7"/>
    <w:rsid w:val="006152D4"/>
    <w:rsid w:val="00615F18"/>
    <w:rsid w:val="0061649B"/>
    <w:rsid w:val="006164B8"/>
    <w:rsid w:val="00616AB2"/>
    <w:rsid w:val="00617DC4"/>
    <w:rsid w:val="0062011C"/>
    <w:rsid w:val="00620D79"/>
    <w:rsid w:val="006210F7"/>
    <w:rsid w:val="00621190"/>
    <w:rsid w:val="00621BC7"/>
    <w:rsid w:val="00622672"/>
    <w:rsid w:val="00622FA9"/>
    <w:rsid w:val="00623477"/>
    <w:rsid w:val="0062349A"/>
    <w:rsid w:val="006234CD"/>
    <w:rsid w:val="006244D5"/>
    <w:rsid w:val="00624791"/>
    <w:rsid w:val="0062495E"/>
    <w:rsid w:val="006249F2"/>
    <w:rsid w:val="00624CE8"/>
    <w:rsid w:val="00625106"/>
    <w:rsid w:val="006255A3"/>
    <w:rsid w:val="0062574F"/>
    <w:rsid w:val="00626244"/>
    <w:rsid w:val="00626302"/>
    <w:rsid w:val="0062661A"/>
    <w:rsid w:val="00626D81"/>
    <w:rsid w:val="006270DD"/>
    <w:rsid w:val="00630B29"/>
    <w:rsid w:val="00631DBE"/>
    <w:rsid w:val="00631EA2"/>
    <w:rsid w:val="00631EE8"/>
    <w:rsid w:val="00631F27"/>
    <w:rsid w:val="00632559"/>
    <w:rsid w:val="00632670"/>
    <w:rsid w:val="00632E73"/>
    <w:rsid w:val="0063375E"/>
    <w:rsid w:val="00633C26"/>
    <w:rsid w:val="006340DA"/>
    <w:rsid w:val="006344FD"/>
    <w:rsid w:val="00634EE9"/>
    <w:rsid w:val="00637C18"/>
    <w:rsid w:val="00637D93"/>
    <w:rsid w:val="00640534"/>
    <w:rsid w:val="0064148A"/>
    <w:rsid w:val="00641835"/>
    <w:rsid w:val="00641CD1"/>
    <w:rsid w:val="00641F25"/>
    <w:rsid w:val="00642CFE"/>
    <w:rsid w:val="00643819"/>
    <w:rsid w:val="00644DB1"/>
    <w:rsid w:val="0064523C"/>
    <w:rsid w:val="006467BF"/>
    <w:rsid w:val="00647129"/>
    <w:rsid w:val="006475A1"/>
    <w:rsid w:val="0065068D"/>
    <w:rsid w:val="006506B9"/>
    <w:rsid w:val="00650C2B"/>
    <w:rsid w:val="00650CF8"/>
    <w:rsid w:val="00651056"/>
    <w:rsid w:val="006515E2"/>
    <w:rsid w:val="00651B21"/>
    <w:rsid w:val="0065242D"/>
    <w:rsid w:val="00652486"/>
    <w:rsid w:val="00653305"/>
    <w:rsid w:val="00653511"/>
    <w:rsid w:val="00654B13"/>
    <w:rsid w:val="006553CD"/>
    <w:rsid w:val="006556E4"/>
    <w:rsid w:val="00655724"/>
    <w:rsid w:val="006557EE"/>
    <w:rsid w:val="006558A3"/>
    <w:rsid w:val="00656371"/>
    <w:rsid w:val="00656544"/>
    <w:rsid w:val="00656788"/>
    <w:rsid w:val="00656953"/>
    <w:rsid w:val="0065715C"/>
    <w:rsid w:val="00657AF1"/>
    <w:rsid w:val="00657B1E"/>
    <w:rsid w:val="00657EE1"/>
    <w:rsid w:val="006604CC"/>
    <w:rsid w:val="00660B97"/>
    <w:rsid w:val="00660CBC"/>
    <w:rsid w:val="0066187E"/>
    <w:rsid w:val="00661ADE"/>
    <w:rsid w:val="006623F6"/>
    <w:rsid w:val="006627BE"/>
    <w:rsid w:val="00662AF3"/>
    <w:rsid w:val="00662D78"/>
    <w:rsid w:val="00662F0D"/>
    <w:rsid w:val="006637FD"/>
    <w:rsid w:val="006643F9"/>
    <w:rsid w:val="00664C1A"/>
    <w:rsid w:val="00664D17"/>
    <w:rsid w:val="00664D6C"/>
    <w:rsid w:val="00664F6C"/>
    <w:rsid w:val="006655F9"/>
    <w:rsid w:val="00666219"/>
    <w:rsid w:val="00666B1F"/>
    <w:rsid w:val="00667021"/>
    <w:rsid w:val="00667059"/>
    <w:rsid w:val="0066784D"/>
    <w:rsid w:val="00667B24"/>
    <w:rsid w:val="006702B1"/>
    <w:rsid w:val="00670C51"/>
    <w:rsid w:val="00671399"/>
    <w:rsid w:val="00671CB2"/>
    <w:rsid w:val="00672CE5"/>
    <w:rsid w:val="00674248"/>
    <w:rsid w:val="00674271"/>
    <w:rsid w:val="006743CC"/>
    <w:rsid w:val="00674440"/>
    <w:rsid w:val="006744BE"/>
    <w:rsid w:val="00674FE6"/>
    <w:rsid w:val="00675787"/>
    <w:rsid w:val="00675B5E"/>
    <w:rsid w:val="00675EBD"/>
    <w:rsid w:val="006760B6"/>
    <w:rsid w:val="00676172"/>
    <w:rsid w:val="006765EA"/>
    <w:rsid w:val="0067681A"/>
    <w:rsid w:val="00676F00"/>
    <w:rsid w:val="0067701D"/>
    <w:rsid w:val="006770C5"/>
    <w:rsid w:val="0067799E"/>
    <w:rsid w:val="00677DE3"/>
    <w:rsid w:val="0068006E"/>
    <w:rsid w:val="00680A8C"/>
    <w:rsid w:val="00680CD1"/>
    <w:rsid w:val="00680D3D"/>
    <w:rsid w:val="0068121B"/>
    <w:rsid w:val="00681644"/>
    <w:rsid w:val="006818D0"/>
    <w:rsid w:val="00682A66"/>
    <w:rsid w:val="00682BB4"/>
    <w:rsid w:val="006846D4"/>
    <w:rsid w:val="00684726"/>
    <w:rsid w:val="0068503F"/>
    <w:rsid w:val="00685B0B"/>
    <w:rsid w:val="006869E9"/>
    <w:rsid w:val="00686A21"/>
    <w:rsid w:val="00686E3A"/>
    <w:rsid w:val="0068751E"/>
    <w:rsid w:val="00687746"/>
    <w:rsid w:val="00687C94"/>
    <w:rsid w:val="00687D8E"/>
    <w:rsid w:val="00690054"/>
    <w:rsid w:val="00690FC6"/>
    <w:rsid w:val="00691EF0"/>
    <w:rsid w:val="00692650"/>
    <w:rsid w:val="006928FE"/>
    <w:rsid w:val="00692960"/>
    <w:rsid w:val="00692973"/>
    <w:rsid w:val="0069302B"/>
    <w:rsid w:val="00693DCA"/>
    <w:rsid w:val="00693EDB"/>
    <w:rsid w:val="00694287"/>
    <w:rsid w:val="006951C5"/>
    <w:rsid w:val="00695AEA"/>
    <w:rsid w:val="00695D2D"/>
    <w:rsid w:val="0069638B"/>
    <w:rsid w:val="00696EFE"/>
    <w:rsid w:val="0069708C"/>
    <w:rsid w:val="006973F5"/>
    <w:rsid w:val="00697D8F"/>
    <w:rsid w:val="006A00CA"/>
    <w:rsid w:val="006A0927"/>
    <w:rsid w:val="006A18E6"/>
    <w:rsid w:val="006A2D4E"/>
    <w:rsid w:val="006A341D"/>
    <w:rsid w:val="006A3A69"/>
    <w:rsid w:val="006A3BB1"/>
    <w:rsid w:val="006A4275"/>
    <w:rsid w:val="006A48D6"/>
    <w:rsid w:val="006A4B01"/>
    <w:rsid w:val="006A53FA"/>
    <w:rsid w:val="006A5451"/>
    <w:rsid w:val="006A628A"/>
    <w:rsid w:val="006A62B3"/>
    <w:rsid w:val="006A69A1"/>
    <w:rsid w:val="006A7436"/>
    <w:rsid w:val="006B0384"/>
    <w:rsid w:val="006B03E2"/>
    <w:rsid w:val="006B0859"/>
    <w:rsid w:val="006B095F"/>
    <w:rsid w:val="006B0B2F"/>
    <w:rsid w:val="006B0BAF"/>
    <w:rsid w:val="006B0BE5"/>
    <w:rsid w:val="006B1048"/>
    <w:rsid w:val="006B11EF"/>
    <w:rsid w:val="006B22BA"/>
    <w:rsid w:val="006B2D18"/>
    <w:rsid w:val="006B2EBA"/>
    <w:rsid w:val="006B363A"/>
    <w:rsid w:val="006B3797"/>
    <w:rsid w:val="006B38AD"/>
    <w:rsid w:val="006B3909"/>
    <w:rsid w:val="006B3BB6"/>
    <w:rsid w:val="006B3E47"/>
    <w:rsid w:val="006B435F"/>
    <w:rsid w:val="006B4885"/>
    <w:rsid w:val="006B48A1"/>
    <w:rsid w:val="006B4935"/>
    <w:rsid w:val="006B4975"/>
    <w:rsid w:val="006B582B"/>
    <w:rsid w:val="006B59C7"/>
    <w:rsid w:val="006B5F14"/>
    <w:rsid w:val="006B6AA5"/>
    <w:rsid w:val="006B7465"/>
    <w:rsid w:val="006B7904"/>
    <w:rsid w:val="006B7BDA"/>
    <w:rsid w:val="006B7DE8"/>
    <w:rsid w:val="006C2C85"/>
    <w:rsid w:val="006C2CA4"/>
    <w:rsid w:val="006C2F92"/>
    <w:rsid w:val="006C3A05"/>
    <w:rsid w:val="006C47AE"/>
    <w:rsid w:val="006C500B"/>
    <w:rsid w:val="006C54DB"/>
    <w:rsid w:val="006C5549"/>
    <w:rsid w:val="006C59C3"/>
    <w:rsid w:val="006C5BEC"/>
    <w:rsid w:val="006C5EB4"/>
    <w:rsid w:val="006C61FF"/>
    <w:rsid w:val="006C6DCE"/>
    <w:rsid w:val="006C7826"/>
    <w:rsid w:val="006C78DF"/>
    <w:rsid w:val="006D06EB"/>
    <w:rsid w:val="006D07BC"/>
    <w:rsid w:val="006D0BB5"/>
    <w:rsid w:val="006D1B05"/>
    <w:rsid w:val="006D2655"/>
    <w:rsid w:val="006D2D6F"/>
    <w:rsid w:val="006D2DD0"/>
    <w:rsid w:val="006D308C"/>
    <w:rsid w:val="006D3D13"/>
    <w:rsid w:val="006D44E3"/>
    <w:rsid w:val="006D45B9"/>
    <w:rsid w:val="006D4631"/>
    <w:rsid w:val="006D4732"/>
    <w:rsid w:val="006D47DE"/>
    <w:rsid w:val="006D4834"/>
    <w:rsid w:val="006D4AB9"/>
    <w:rsid w:val="006D4B7A"/>
    <w:rsid w:val="006D4F91"/>
    <w:rsid w:val="006D50E6"/>
    <w:rsid w:val="006D513E"/>
    <w:rsid w:val="006D53D8"/>
    <w:rsid w:val="006D56AC"/>
    <w:rsid w:val="006D5BDB"/>
    <w:rsid w:val="006D5D69"/>
    <w:rsid w:val="006D606B"/>
    <w:rsid w:val="006D6281"/>
    <w:rsid w:val="006D698F"/>
    <w:rsid w:val="006D7320"/>
    <w:rsid w:val="006D7920"/>
    <w:rsid w:val="006D79D4"/>
    <w:rsid w:val="006D7F35"/>
    <w:rsid w:val="006E04CB"/>
    <w:rsid w:val="006E0673"/>
    <w:rsid w:val="006E09AA"/>
    <w:rsid w:val="006E1935"/>
    <w:rsid w:val="006E289C"/>
    <w:rsid w:val="006E2A09"/>
    <w:rsid w:val="006E314A"/>
    <w:rsid w:val="006E3CB9"/>
    <w:rsid w:val="006E48A6"/>
    <w:rsid w:val="006E4D5D"/>
    <w:rsid w:val="006E561B"/>
    <w:rsid w:val="006E565E"/>
    <w:rsid w:val="006E607B"/>
    <w:rsid w:val="006E6B51"/>
    <w:rsid w:val="006E6E01"/>
    <w:rsid w:val="006E6EB4"/>
    <w:rsid w:val="006E732B"/>
    <w:rsid w:val="006F0B1B"/>
    <w:rsid w:val="006F1120"/>
    <w:rsid w:val="006F11C0"/>
    <w:rsid w:val="006F199F"/>
    <w:rsid w:val="006F1AE8"/>
    <w:rsid w:val="006F2150"/>
    <w:rsid w:val="006F2451"/>
    <w:rsid w:val="006F2A74"/>
    <w:rsid w:val="006F2E8C"/>
    <w:rsid w:val="006F3446"/>
    <w:rsid w:val="006F3AC5"/>
    <w:rsid w:val="006F3FDF"/>
    <w:rsid w:val="006F44E3"/>
    <w:rsid w:val="006F45E2"/>
    <w:rsid w:val="006F4803"/>
    <w:rsid w:val="006F4994"/>
    <w:rsid w:val="006F4AC8"/>
    <w:rsid w:val="006F5441"/>
    <w:rsid w:val="006F57D9"/>
    <w:rsid w:val="006F5FBF"/>
    <w:rsid w:val="006F6482"/>
    <w:rsid w:val="006F64B8"/>
    <w:rsid w:val="006F7223"/>
    <w:rsid w:val="006F7236"/>
    <w:rsid w:val="0070106F"/>
    <w:rsid w:val="00701088"/>
    <w:rsid w:val="007012AB"/>
    <w:rsid w:val="007015AD"/>
    <w:rsid w:val="007016B5"/>
    <w:rsid w:val="00701729"/>
    <w:rsid w:val="007017FA"/>
    <w:rsid w:val="007020A1"/>
    <w:rsid w:val="0070257E"/>
    <w:rsid w:val="00702A2B"/>
    <w:rsid w:val="00702A2D"/>
    <w:rsid w:val="00702A41"/>
    <w:rsid w:val="00702EAE"/>
    <w:rsid w:val="00703372"/>
    <w:rsid w:val="0070369B"/>
    <w:rsid w:val="00703A5C"/>
    <w:rsid w:val="00704BA3"/>
    <w:rsid w:val="00704C65"/>
    <w:rsid w:val="007052F4"/>
    <w:rsid w:val="0070584E"/>
    <w:rsid w:val="00705C7D"/>
    <w:rsid w:val="00706224"/>
    <w:rsid w:val="007065DE"/>
    <w:rsid w:val="007066AA"/>
    <w:rsid w:val="00706739"/>
    <w:rsid w:val="007068C6"/>
    <w:rsid w:val="00706EE2"/>
    <w:rsid w:val="00707498"/>
    <w:rsid w:val="00707833"/>
    <w:rsid w:val="00707BAF"/>
    <w:rsid w:val="00710940"/>
    <w:rsid w:val="00710EAD"/>
    <w:rsid w:val="00711927"/>
    <w:rsid w:val="00711EB2"/>
    <w:rsid w:val="00711EB4"/>
    <w:rsid w:val="00711FBC"/>
    <w:rsid w:val="00712382"/>
    <w:rsid w:val="0071262C"/>
    <w:rsid w:val="00712891"/>
    <w:rsid w:val="00713043"/>
    <w:rsid w:val="0071379F"/>
    <w:rsid w:val="00714623"/>
    <w:rsid w:val="007152F1"/>
    <w:rsid w:val="007152F6"/>
    <w:rsid w:val="007153AE"/>
    <w:rsid w:val="007154DF"/>
    <w:rsid w:val="0071570C"/>
    <w:rsid w:val="0071574F"/>
    <w:rsid w:val="00715AFB"/>
    <w:rsid w:val="00715F64"/>
    <w:rsid w:val="0071655F"/>
    <w:rsid w:val="0071686D"/>
    <w:rsid w:val="00716AEC"/>
    <w:rsid w:val="00716CE1"/>
    <w:rsid w:val="00717710"/>
    <w:rsid w:val="00717D2C"/>
    <w:rsid w:val="00717E57"/>
    <w:rsid w:val="00717ECF"/>
    <w:rsid w:val="0072007B"/>
    <w:rsid w:val="00720726"/>
    <w:rsid w:val="00720973"/>
    <w:rsid w:val="00720C7B"/>
    <w:rsid w:val="007213AF"/>
    <w:rsid w:val="007218B7"/>
    <w:rsid w:val="00721A15"/>
    <w:rsid w:val="007223F0"/>
    <w:rsid w:val="00723230"/>
    <w:rsid w:val="007232B8"/>
    <w:rsid w:val="0072346D"/>
    <w:rsid w:val="0072370B"/>
    <w:rsid w:val="00723FC9"/>
    <w:rsid w:val="00724671"/>
    <w:rsid w:val="007259C8"/>
    <w:rsid w:val="00725A41"/>
    <w:rsid w:val="00725BBD"/>
    <w:rsid w:val="00725C44"/>
    <w:rsid w:val="00726183"/>
    <w:rsid w:val="007263E6"/>
    <w:rsid w:val="00726586"/>
    <w:rsid w:val="00726923"/>
    <w:rsid w:val="0072692E"/>
    <w:rsid w:val="00726A70"/>
    <w:rsid w:val="007273AD"/>
    <w:rsid w:val="0073045E"/>
    <w:rsid w:val="007304DF"/>
    <w:rsid w:val="00730E2D"/>
    <w:rsid w:val="00731372"/>
    <w:rsid w:val="00731669"/>
    <w:rsid w:val="00731BCF"/>
    <w:rsid w:val="00732050"/>
    <w:rsid w:val="00732AC8"/>
    <w:rsid w:val="00733685"/>
    <w:rsid w:val="00733A08"/>
    <w:rsid w:val="00733A88"/>
    <w:rsid w:val="00733C97"/>
    <w:rsid w:val="00734CA4"/>
    <w:rsid w:val="00735A22"/>
    <w:rsid w:val="0073603D"/>
    <w:rsid w:val="00736189"/>
    <w:rsid w:val="007364D9"/>
    <w:rsid w:val="00736FD2"/>
    <w:rsid w:val="00740B08"/>
    <w:rsid w:val="00740CCD"/>
    <w:rsid w:val="00740D80"/>
    <w:rsid w:val="00741176"/>
    <w:rsid w:val="007416F4"/>
    <w:rsid w:val="00741820"/>
    <w:rsid w:val="00741B44"/>
    <w:rsid w:val="0074250B"/>
    <w:rsid w:val="00742EDA"/>
    <w:rsid w:val="00743000"/>
    <w:rsid w:val="00743A37"/>
    <w:rsid w:val="00744058"/>
    <w:rsid w:val="00744A22"/>
    <w:rsid w:val="00744BFA"/>
    <w:rsid w:val="00744F21"/>
    <w:rsid w:val="0074506A"/>
    <w:rsid w:val="007450A8"/>
    <w:rsid w:val="007450D5"/>
    <w:rsid w:val="007451F7"/>
    <w:rsid w:val="0074531D"/>
    <w:rsid w:val="0074579D"/>
    <w:rsid w:val="007457A6"/>
    <w:rsid w:val="00745977"/>
    <w:rsid w:val="00745B78"/>
    <w:rsid w:val="007466AA"/>
    <w:rsid w:val="007467A1"/>
    <w:rsid w:val="00746CEF"/>
    <w:rsid w:val="00746D34"/>
    <w:rsid w:val="00746E41"/>
    <w:rsid w:val="00746EBA"/>
    <w:rsid w:val="00746ECB"/>
    <w:rsid w:val="007471D0"/>
    <w:rsid w:val="007473E7"/>
    <w:rsid w:val="00750C7C"/>
    <w:rsid w:val="00750FF6"/>
    <w:rsid w:val="00751017"/>
    <w:rsid w:val="00751951"/>
    <w:rsid w:val="00752F33"/>
    <w:rsid w:val="00753111"/>
    <w:rsid w:val="0075324B"/>
    <w:rsid w:val="0075348B"/>
    <w:rsid w:val="00753790"/>
    <w:rsid w:val="0075463D"/>
    <w:rsid w:val="00754925"/>
    <w:rsid w:val="00754AAC"/>
    <w:rsid w:val="00754FED"/>
    <w:rsid w:val="00756221"/>
    <w:rsid w:val="00756658"/>
    <w:rsid w:val="00756C04"/>
    <w:rsid w:val="00756E28"/>
    <w:rsid w:val="00757110"/>
    <w:rsid w:val="0075737A"/>
    <w:rsid w:val="00757594"/>
    <w:rsid w:val="007576BF"/>
    <w:rsid w:val="0075776B"/>
    <w:rsid w:val="00757ADD"/>
    <w:rsid w:val="0076024D"/>
    <w:rsid w:val="00760878"/>
    <w:rsid w:val="0076098E"/>
    <w:rsid w:val="0076141F"/>
    <w:rsid w:val="00762910"/>
    <w:rsid w:val="00762A91"/>
    <w:rsid w:val="00762B89"/>
    <w:rsid w:val="00762C8B"/>
    <w:rsid w:val="0076348C"/>
    <w:rsid w:val="00763B54"/>
    <w:rsid w:val="00764160"/>
    <w:rsid w:val="0076461E"/>
    <w:rsid w:val="007647B6"/>
    <w:rsid w:val="007648B5"/>
    <w:rsid w:val="00764BFF"/>
    <w:rsid w:val="00764D60"/>
    <w:rsid w:val="00765738"/>
    <w:rsid w:val="00765A90"/>
    <w:rsid w:val="00765B79"/>
    <w:rsid w:val="00765B9D"/>
    <w:rsid w:val="00765C48"/>
    <w:rsid w:val="00766005"/>
    <w:rsid w:val="00767B19"/>
    <w:rsid w:val="00770155"/>
    <w:rsid w:val="007709C5"/>
    <w:rsid w:val="007709DF"/>
    <w:rsid w:val="00772620"/>
    <w:rsid w:val="00772ADE"/>
    <w:rsid w:val="00772B0A"/>
    <w:rsid w:val="007739B2"/>
    <w:rsid w:val="00773EB0"/>
    <w:rsid w:val="00774B03"/>
    <w:rsid w:val="00774D4D"/>
    <w:rsid w:val="00775026"/>
    <w:rsid w:val="00775090"/>
    <w:rsid w:val="0077599A"/>
    <w:rsid w:val="00775F58"/>
    <w:rsid w:val="00776647"/>
    <w:rsid w:val="00777108"/>
    <w:rsid w:val="00777314"/>
    <w:rsid w:val="007773C1"/>
    <w:rsid w:val="00780096"/>
    <w:rsid w:val="007802F1"/>
    <w:rsid w:val="0078072E"/>
    <w:rsid w:val="00780C32"/>
    <w:rsid w:val="00780E8F"/>
    <w:rsid w:val="0078102D"/>
    <w:rsid w:val="00781C32"/>
    <w:rsid w:val="00782614"/>
    <w:rsid w:val="00782652"/>
    <w:rsid w:val="0078266A"/>
    <w:rsid w:val="00782C0D"/>
    <w:rsid w:val="00782D76"/>
    <w:rsid w:val="00782E5C"/>
    <w:rsid w:val="00783538"/>
    <w:rsid w:val="00784AA1"/>
    <w:rsid w:val="0078536A"/>
    <w:rsid w:val="00785A6D"/>
    <w:rsid w:val="00786AA0"/>
    <w:rsid w:val="007904E0"/>
    <w:rsid w:val="00790CAC"/>
    <w:rsid w:val="00792292"/>
    <w:rsid w:val="00792367"/>
    <w:rsid w:val="00792842"/>
    <w:rsid w:val="00792E68"/>
    <w:rsid w:val="007937D3"/>
    <w:rsid w:val="00793B40"/>
    <w:rsid w:val="007940D8"/>
    <w:rsid w:val="0079475A"/>
    <w:rsid w:val="0079480B"/>
    <w:rsid w:val="00794DD3"/>
    <w:rsid w:val="0079553C"/>
    <w:rsid w:val="00795B76"/>
    <w:rsid w:val="007960FF"/>
    <w:rsid w:val="00796A48"/>
    <w:rsid w:val="00796EFC"/>
    <w:rsid w:val="00797812"/>
    <w:rsid w:val="007978D9"/>
    <w:rsid w:val="00797A95"/>
    <w:rsid w:val="00797AB7"/>
    <w:rsid w:val="007A064E"/>
    <w:rsid w:val="007A0857"/>
    <w:rsid w:val="007A0B43"/>
    <w:rsid w:val="007A0BF7"/>
    <w:rsid w:val="007A0D15"/>
    <w:rsid w:val="007A0D48"/>
    <w:rsid w:val="007A0E7F"/>
    <w:rsid w:val="007A10EE"/>
    <w:rsid w:val="007A111D"/>
    <w:rsid w:val="007A1D12"/>
    <w:rsid w:val="007A245B"/>
    <w:rsid w:val="007A2AFA"/>
    <w:rsid w:val="007A3283"/>
    <w:rsid w:val="007A34C3"/>
    <w:rsid w:val="007A3500"/>
    <w:rsid w:val="007A3544"/>
    <w:rsid w:val="007A3993"/>
    <w:rsid w:val="007A3C72"/>
    <w:rsid w:val="007A43B3"/>
    <w:rsid w:val="007A4853"/>
    <w:rsid w:val="007A4A57"/>
    <w:rsid w:val="007A4F84"/>
    <w:rsid w:val="007A5A89"/>
    <w:rsid w:val="007A5AB4"/>
    <w:rsid w:val="007A5C58"/>
    <w:rsid w:val="007A6AD3"/>
    <w:rsid w:val="007A712B"/>
    <w:rsid w:val="007A7839"/>
    <w:rsid w:val="007B0823"/>
    <w:rsid w:val="007B165C"/>
    <w:rsid w:val="007B1945"/>
    <w:rsid w:val="007B2B55"/>
    <w:rsid w:val="007B2F51"/>
    <w:rsid w:val="007B37A6"/>
    <w:rsid w:val="007B3B3C"/>
    <w:rsid w:val="007B3F6E"/>
    <w:rsid w:val="007B4120"/>
    <w:rsid w:val="007B4264"/>
    <w:rsid w:val="007B4AF6"/>
    <w:rsid w:val="007B5776"/>
    <w:rsid w:val="007B5815"/>
    <w:rsid w:val="007B5CFE"/>
    <w:rsid w:val="007B6A27"/>
    <w:rsid w:val="007B7482"/>
    <w:rsid w:val="007B7913"/>
    <w:rsid w:val="007B7C4C"/>
    <w:rsid w:val="007C01A8"/>
    <w:rsid w:val="007C037D"/>
    <w:rsid w:val="007C0AF5"/>
    <w:rsid w:val="007C0C71"/>
    <w:rsid w:val="007C13F6"/>
    <w:rsid w:val="007C189E"/>
    <w:rsid w:val="007C1C07"/>
    <w:rsid w:val="007C1FEF"/>
    <w:rsid w:val="007C20BB"/>
    <w:rsid w:val="007C22CC"/>
    <w:rsid w:val="007C242C"/>
    <w:rsid w:val="007C249F"/>
    <w:rsid w:val="007C2A7D"/>
    <w:rsid w:val="007C2C5D"/>
    <w:rsid w:val="007C3169"/>
    <w:rsid w:val="007C360A"/>
    <w:rsid w:val="007C39D7"/>
    <w:rsid w:val="007C530F"/>
    <w:rsid w:val="007C55B3"/>
    <w:rsid w:val="007C59AD"/>
    <w:rsid w:val="007C6013"/>
    <w:rsid w:val="007C6F60"/>
    <w:rsid w:val="007C729A"/>
    <w:rsid w:val="007C73C2"/>
    <w:rsid w:val="007C7EC9"/>
    <w:rsid w:val="007C7FFC"/>
    <w:rsid w:val="007D021D"/>
    <w:rsid w:val="007D02CC"/>
    <w:rsid w:val="007D04E7"/>
    <w:rsid w:val="007D0E1F"/>
    <w:rsid w:val="007D22BC"/>
    <w:rsid w:val="007D2502"/>
    <w:rsid w:val="007D2732"/>
    <w:rsid w:val="007D2830"/>
    <w:rsid w:val="007D2FE9"/>
    <w:rsid w:val="007D4102"/>
    <w:rsid w:val="007D4252"/>
    <w:rsid w:val="007D4434"/>
    <w:rsid w:val="007D5649"/>
    <w:rsid w:val="007D598D"/>
    <w:rsid w:val="007D67A4"/>
    <w:rsid w:val="007D68A2"/>
    <w:rsid w:val="007D6E2C"/>
    <w:rsid w:val="007D6EBF"/>
    <w:rsid w:val="007D7268"/>
    <w:rsid w:val="007D7286"/>
    <w:rsid w:val="007D7367"/>
    <w:rsid w:val="007D7ADA"/>
    <w:rsid w:val="007D7BBB"/>
    <w:rsid w:val="007D7BC3"/>
    <w:rsid w:val="007E01BE"/>
    <w:rsid w:val="007E0379"/>
    <w:rsid w:val="007E1189"/>
    <w:rsid w:val="007E1A89"/>
    <w:rsid w:val="007E1CBA"/>
    <w:rsid w:val="007E3558"/>
    <w:rsid w:val="007E43AF"/>
    <w:rsid w:val="007E4CE7"/>
    <w:rsid w:val="007E4E50"/>
    <w:rsid w:val="007E4F37"/>
    <w:rsid w:val="007E4FBF"/>
    <w:rsid w:val="007E5110"/>
    <w:rsid w:val="007E59F0"/>
    <w:rsid w:val="007E5C6B"/>
    <w:rsid w:val="007E5CD5"/>
    <w:rsid w:val="007E5D3E"/>
    <w:rsid w:val="007E6211"/>
    <w:rsid w:val="007E6547"/>
    <w:rsid w:val="007E6D6C"/>
    <w:rsid w:val="007E7020"/>
    <w:rsid w:val="007E75E8"/>
    <w:rsid w:val="007F01AA"/>
    <w:rsid w:val="007F02AB"/>
    <w:rsid w:val="007F05AA"/>
    <w:rsid w:val="007F086D"/>
    <w:rsid w:val="007F1421"/>
    <w:rsid w:val="007F15BC"/>
    <w:rsid w:val="007F186E"/>
    <w:rsid w:val="007F1B04"/>
    <w:rsid w:val="007F20A1"/>
    <w:rsid w:val="007F26CD"/>
    <w:rsid w:val="007F2A27"/>
    <w:rsid w:val="007F2A92"/>
    <w:rsid w:val="007F3E8B"/>
    <w:rsid w:val="007F3F58"/>
    <w:rsid w:val="007F42C9"/>
    <w:rsid w:val="007F578F"/>
    <w:rsid w:val="007F57EC"/>
    <w:rsid w:val="007F5A68"/>
    <w:rsid w:val="007F625A"/>
    <w:rsid w:val="007F6527"/>
    <w:rsid w:val="007F7200"/>
    <w:rsid w:val="007F78FF"/>
    <w:rsid w:val="007F7B8F"/>
    <w:rsid w:val="00800612"/>
    <w:rsid w:val="008010F5"/>
    <w:rsid w:val="00801149"/>
    <w:rsid w:val="00801D6C"/>
    <w:rsid w:val="00802097"/>
    <w:rsid w:val="008025E7"/>
    <w:rsid w:val="00802607"/>
    <w:rsid w:val="00802E02"/>
    <w:rsid w:val="00802FD7"/>
    <w:rsid w:val="0080305C"/>
    <w:rsid w:val="008038E2"/>
    <w:rsid w:val="00804257"/>
    <w:rsid w:val="008045A6"/>
    <w:rsid w:val="008046F6"/>
    <w:rsid w:val="0080482A"/>
    <w:rsid w:val="00804C36"/>
    <w:rsid w:val="00804F56"/>
    <w:rsid w:val="008056E1"/>
    <w:rsid w:val="00806101"/>
    <w:rsid w:val="00806FC3"/>
    <w:rsid w:val="008072AF"/>
    <w:rsid w:val="00807636"/>
    <w:rsid w:val="00807749"/>
    <w:rsid w:val="00807CF5"/>
    <w:rsid w:val="00807F56"/>
    <w:rsid w:val="008112F4"/>
    <w:rsid w:val="00811339"/>
    <w:rsid w:val="00811541"/>
    <w:rsid w:val="008122F8"/>
    <w:rsid w:val="008128DA"/>
    <w:rsid w:val="00812BCF"/>
    <w:rsid w:val="00812CC3"/>
    <w:rsid w:val="008140A8"/>
    <w:rsid w:val="00814318"/>
    <w:rsid w:val="00814DEC"/>
    <w:rsid w:val="00815093"/>
    <w:rsid w:val="008155F9"/>
    <w:rsid w:val="00815781"/>
    <w:rsid w:val="0081583F"/>
    <w:rsid w:val="00816206"/>
    <w:rsid w:val="00816C6D"/>
    <w:rsid w:val="00816DE5"/>
    <w:rsid w:val="00817A47"/>
    <w:rsid w:val="00817A4F"/>
    <w:rsid w:val="00820475"/>
    <w:rsid w:val="008210E7"/>
    <w:rsid w:val="00821745"/>
    <w:rsid w:val="00821D72"/>
    <w:rsid w:val="00822738"/>
    <w:rsid w:val="00822F6A"/>
    <w:rsid w:val="00823682"/>
    <w:rsid w:val="008238B6"/>
    <w:rsid w:val="00823A4D"/>
    <w:rsid w:val="00823D4A"/>
    <w:rsid w:val="00823DF2"/>
    <w:rsid w:val="00823EDE"/>
    <w:rsid w:val="008244E0"/>
    <w:rsid w:val="00824865"/>
    <w:rsid w:val="008248E0"/>
    <w:rsid w:val="0082550C"/>
    <w:rsid w:val="008257D6"/>
    <w:rsid w:val="00825C2C"/>
    <w:rsid w:val="0082681F"/>
    <w:rsid w:val="008270C6"/>
    <w:rsid w:val="00827D58"/>
    <w:rsid w:val="0083094B"/>
    <w:rsid w:val="00830AE0"/>
    <w:rsid w:val="00830CF0"/>
    <w:rsid w:val="00830DE8"/>
    <w:rsid w:val="00830E83"/>
    <w:rsid w:val="00830FD7"/>
    <w:rsid w:val="00831EC3"/>
    <w:rsid w:val="008321E2"/>
    <w:rsid w:val="00832506"/>
    <w:rsid w:val="008327ED"/>
    <w:rsid w:val="00832E2B"/>
    <w:rsid w:val="00833362"/>
    <w:rsid w:val="008333D7"/>
    <w:rsid w:val="00833428"/>
    <w:rsid w:val="0083455E"/>
    <w:rsid w:val="00834F87"/>
    <w:rsid w:val="008353E5"/>
    <w:rsid w:val="00835DB8"/>
    <w:rsid w:val="008362B3"/>
    <w:rsid w:val="00836614"/>
    <w:rsid w:val="00836618"/>
    <w:rsid w:val="008366F4"/>
    <w:rsid w:val="0083749B"/>
    <w:rsid w:val="008400DA"/>
    <w:rsid w:val="0084015F"/>
    <w:rsid w:val="0084084B"/>
    <w:rsid w:val="0084086F"/>
    <w:rsid w:val="00840AC6"/>
    <w:rsid w:val="00840EC2"/>
    <w:rsid w:val="00841805"/>
    <w:rsid w:val="0084186B"/>
    <w:rsid w:val="00842170"/>
    <w:rsid w:val="00842987"/>
    <w:rsid w:val="008432DD"/>
    <w:rsid w:val="008438A7"/>
    <w:rsid w:val="00843A6E"/>
    <w:rsid w:val="00843C5D"/>
    <w:rsid w:val="00844CD2"/>
    <w:rsid w:val="00844FE1"/>
    <w:rsid w:val="00847217"/>
    <w:rsid w:val="0084751D"/>
    <w:rsid w:val="00847B8F"/>
    <w:rsid w:val="00847C24"/>
    <w:rsid w:val="0085001D"/>
    <w:rsid w:val="008500B1"/>
    <w:rsid w:val="00850C2E"/>
    <w:rsid w:val="00850E42"/>
    <w:rsid w:val="00851716"/>
    <w:rsid w:val="00851754"/>
    <w:rsid w:val="00851BD9"/>
    <w:rsid w:val="008521FF"/>
    <w:rsid w:val="008528C4"/>
    <w:rsid w:val="00852E8D"/>
    <w:rsid w:val="00853315"/>
    <w:rsid w:val="008537BB"/>
    <w:rsid w:val="0085404B"/>
    <w:rsid w:val="008545AD"/>
    <w:rsid w:val="00854D1D"/>
    <w:rsid w:val="008550C4"/>
    <w:rsid w:val="008551E9"/>
    <w:rsid w:val="00855200"/>
    <w:rsid w:val="00855529"/>
    <w:rsid w:val="0085566F"/>
    <w:rsid w:val="00855776"/>
    <w:rsid w:val="00855D01"/>
    <w:rsid w:val="00855DA9"/>
    <w:rsid w:val="00855F90"/>
    <w:rsid w:val="00856057"/>
    <w:rsid w:val="00856605"/>
    <w:rsid w:val="008617A7"/>
    <w:rsid w:val="00861D7F"/>
    <w:rsid w:val="00861DC3"/>
    <w:rsid w:val="008625C9"/>
    <w:rsid w:val="00862703"/>
    <w:rsid w:val="00862DDC"/>
    <w:rsid w:val="00862E51"/>
    <w:rsid w:val="00862FAB"/>
    <w:rsid w:val="0086324F"/>
    <w:rsid w:val="008636DE"/>
    <w:rsid w:val="0086392B"/>
    <w:rsid w:val="00864A9A"/>
    <w:rsid w:val="0086583C"/>
    <w:rsid w:val="008662AE"/>
    <w:rsid w:val="00866752"/>
    <w:rsid w:val="0086701D"/>
    <w:rsid w:val="008677DE"/>
    <w:rsid w:val="00867DFC"/>
    <w:rsid w:val="00870B6F"/>
    <w:rsid w:val="00870E59"/>
    <w:rsid w:val="008713BD"/>
    <w:rsid w:val="00871BB6"/>
    <w:rsid w:val="008724C5"/>
    <w:rsid w:val="008735A3"/>
    <w:rsid w:val="00873AD5"/>
    <w:rsid w:val="00874259"/>
    <w:rsid w:val="00874E25"/>
    <w:rsid w:val="00876412"/>
    <w:rsid w:val="00876C3A"/>
    <w:rsid w:val="00876DDA"/>
    <w:rsid w:val="00877428"/>
    <w:rsid w:val="0087777C"/>
    <w:rsid w:val="008779E9"/>
    <w:rsid w:val="00877A16"/>
    <w:rsid w:val="00877AF0"/>
    <w:rsid w:val="00877B7D"/>
    <w:rsid w:val="00877BB1"/>
    <w:rsid w:val="00880949"/>
    <w:rsid w:val="00880EAA"/>
    <w:rsid w:val="0088103A"/>
    <w:rsid w:val="00881490"/>
    <w:rsid w:val="00881CBB"/>
    <w:rsid w:val="00882407"/>
    <w:rsid w:val="00882927"/>
    <w:rsid w:val="0088292A"/>
    <w:rsid w:val="008829E0"/>
    <w:rsid w:val="008830A7"/>
    <w:rsid w:val="00883184"/>
    <w:rsid w:val="00883540"/>
    <w:rsid w:val="00883638"/>
    <w:rsid w:val="008838EF"/>
    <w:rsid w:val="00883931"/>
    <w:rsid w:val="00883C83"/>
    <w:rsid w:val="00883E30"/>
    <w:rsid w:val="008841DC"/>
    <w:rsid w:val="0088458D"/>
    <w:rsid w:val="008845EF"/>
    <w:rsid w:val="00884B70"/>
    <w:rsid w:val="00884C08"/>
    <w:rsid w:val="0088531A"/>
    <w:rsid w:val="00885551"/>
    <w:rsid w:val="00885A6D"/>
    <w:rsid w:val="0088679E"/>
    <w:rsid w:val="00887118"/>
    <w:rsid w:val="008879A1"/>
    <w:rsid w:val="00887B55"/>
    <w:rsid w:val="00890215"/>
    <w:rsid w:val="008902D4"/>
    <w:rsid w:val="00890592"/>
    <w:rsid w:val="008906A8"/>
    <w:rsid w:val="00890F81"/>
    <w:rsid w:val="00891967"/>
    <w:rsid w:val="00892781"/>
    <w:rsid w:val="00892AA6"/>
    <w:rsid w:val="0089391A"/>
    <w:rsid w:val="00893D3E"/>
    <w:rsid w:val="00893E7C"/>
    <w:rsid w:val="00893F98"/>
    <w:rsid w:val="008941EF"/>
    <w:rsid w:val="008943F1"/>
    <w:rsid w:val="0089453C"/>
    <w:rsid w:val="008948D5"/>
    <w:rsid w:val="00894AAC"/>
    <w:rsid w:val="008958CF"/>
    <w:rsid w:val="00895C3F"/>
    <w:rsid w:val="00896569"/>
    <w:rsid w:val="00896D19"/>
    <w:rsid w:val="008A027A"/>
    <w:rsid w:val="008A0731"/>
    <w:rsid w:val="008A0B8D"/>
    <w:rsid w:val="008A2193"/>
    <w:rsid w:val="008A2426"/>
    <w:rsid w:val="008A29A2"/>
    <w:rsid w:val="008A41AC"/>
    <w:rsid w:val="008A423D"/>
    <w:rsid w:val="008A44E1"/>
    <w:rsid w:val="008A47BC"/>
    <w:rsid w:val="008A6E40"/>
    <w:rsid w:val="008A70F1"/>
    <w:rsid w:val="008A7CA1"/>
    <w:rsid w:val="008A7DDB"/>
    <w:rsid w:val="008B0227"/>
    <w:rsid w:val="008B0421"/>
    <w:rsid w:val="008B10DA"/>
    <w:rsid w:val="008B18F0"/>
    <w:rsid w:val="008B39AD"/>
    <w:rsid w:val="008B3C42"/>
    <w:rsid w:val="008B4113"/>
    <w:rsid w:val="008B4307"/>
    <w:rsid w:val="008B4658"/>
    <w:rsid w:val="008B4C1E"/>
    <w:rsid w:val="008B4E48"/>
    <w:rsid w:val="008B4EF2"/>
    <w:rsid w:val="008B55FD"/>
    <w:rsid w:val="008B62DD"/>
    <w:rsid w:val="008B67AC"/>
    <w:rsid w:val="008B7507"/>
    <w:rsid w:val="008B7B75"/>
    <w:rsid w:val="008B7EA5"/>
    <w:rsid w:val="008B7F29"/>
    <w:rsid w:val="008C011A"/>
    <w:rsid w:val="008C02D2"/>
    <w:rsid w:val="008C0469"/>
    <w:rsid w:val="008C08BD"/>
    <w:rsid w:val="008C0C29"/>
    <w:rsid w:val="008C134C"/>
    <w:rsid w:val="008C3016"/>
    <w:rsid w:val="008C3945"/>
    <w:rsid w:val="008C4618"/>
    <w:rsid w:val="008C4ACD"/>
    <w:rsid w:val="008C4DF5"/>
    <w:rsid w:val="008C4EA2"/>
    <w:rsid w:val="008C5A5C"/>
    <w:rsid w:val="008C5ABA"/>
    <w:rsid w:val="008C5C02"/>
    <w:rsid w:val="008C601E"/>
    <w:rsid w:val="008C6312"/>
    <w:rsid w:val="008C6579"/>
    <w:rsid w:val="008C6A45"/>
    <w:rsid w:val="008C7534"/>
    <w:rsid w:val="008C7E78"/>
    <w:rsid w:val="008D018F"/>
    <w:rsid w:val="008D1D52"/>
    <w:rsid w:val="008D3251"/>
    <w:rsid w:val="008D462E"/>
    <w:rsid w:val="008D475F"/>
    <w:rsid w:val="008D64D0"/>
    <w:rsid w:val="008D69DC"/>
    <w:rsid w:val="008D6A09"/>
    <w:rsid w:val="008D7300"/>
    <w:rsid w:val="008D74AC"/>
    <w:rsid w:val="008D7686"/>
    <w:rsid w:val="008D7A54"/>
    <w:rsid w:val="008E078B"/>
    <w:rsid w:val="008E0BFE"/>
    <w:rsid w:val="008E0CBF"/>
    <w:rsid w:val="008E11A9"/>
    <w:rsid w:val="008E11DE"/>
    <w:rsid w:val="008E1320"/>
    <w:rsid w:val="008E17F7"/>
    <w:rsid w:val="008E1B17"/>
    <w:rsid w:val="008E1CB3"/>
    <w:rsid w:val="008E1D57"/>
    <w:rsid w:val="008E2266"/>
    <w:rsid w:val="008E3388"/>
    <w:rsid w:val="008E382F"/>
    <w:rsid w:val="008E48F8"/>
    <w:rsid w:val="008E4A73"/>
    <w:rsid w:val="008E514C"/>
    <w:rsid w:val="008E59BB"/>
    <w:rsid w:val="008E6433"/>
    <w:rsid w:val="008E6B12"/>
    <w:rsid w:val="008E6E07"/>
    <w:rsid w:val="008E7438"/>
    <w:rsid w:val="008F00DA"/>
    <w:rsid w:val="008F0389"/>
    <w:rsid w:val="008F05DE"/>
    <w:rsid w:val="008F1079"/>
    <w:rsid w:val="008F1166"/>
    <w:rsid w:val="008F25BC"/>
    <w:rsid w:val="008F2748"/>
    <w:rsid w:val="008F2A23"/>
    <w:rsid w:val="008F2E24"/>
    <w:rsid w:val="008F2F9C"/>
    <w:rsid w:val="008F401C"/>
    <w:rsid w:val="008F433E"/>
    <w:rsid w:val="008F4453"/>
    <w:rsid w:val="008F4BBB"/>
    <w:rsid w:val="008F52AE"/>
    <w:rsid w:val="008F5384"/>
    <w:rsid w:val="008F5679"/>
    <w:rsid w:val="008F5D2B"/>
    <w:rsid w:val="008F5FD1"/>
    <w:rsid w:val="008F6311"/>
    <w:rsid w:val="008F66E1"/>
    <w:rsid w:val="008F68CF"/>
    <w:rsid w:val="008F7127"/>
    <w:rsid w:val="008F7A7A"/>
    <w:rsid w:val="008F7BC0"/>
    <w:rsid w:val="008F7C35"/>
    <w:rsid w:val="008F7D05"/>
    <w:rsid w:val="00900082"/>
    <w:rsid w:val="009005FA"/>
    <w:rsid w:val="009010FF"/>
    <w:rsid w:val="00901520"/>
    <w:rsid w:val="00902C47"/>
    <w:rsid w:val="00902E1A"/>
    <w:rsid w:val="00902F8A"/>
    <w:rsid w:val="009032D4"/>
    <w:rsid w:val="0090339F"/>
    <w:rsid w:val="00903488"/>
    <w:rsid w:val="0090387B"/>
    <w:rsid w:val="00903919"/>
    <w:rsid w:val="009041E7"/>
    <w:rsid w:val="009045C2"/>
    <w:rsid w:val="009049AE"/>
    <w:rsid w:val="00905876"/>
    <w:rsid w:val="00905F5A"/>
    <w:rsid w:val="0090613A"/>
    <w:rsid w:val="009066ED"/>
    <w:rsid w:val="00906D0F"/>
    <w:rsid w:val="00906D4F"/>
    <w:rsid w:val="009071DA"/>
    <w:rsid w:val="00907A49"/>
    <w:rsid w:val="00907C8F"/>
    <w:rsid w:val="00907D25"/>
    <w:rsid w:val="00910D77"/>
    <w:rsid w:val="0091168F"/>
    <w:rsid w:val="009118BE"/>
    <w:rsid w:val="0091208E"/>
    <w:rsid w:val="00912419"/>
    <w:rsid w:val="00912CDB"/>
    <w:rsid w:val="00913191"/>
    <w:rsid w:val="009131FE"/>
    <w:rsid w:val="00913674"/>
    <w:rsid w:val="00913805"/>
    <w:rsid w:val="0091396B"/>
    <w:rsid w:val="009148E0"/>
    <w:rsid w:val="009151CF"/>
    <w:rsid w:val="0091559D"/>
    <w:rsid w:val="00915B2B"/>
    <w:rsid w:val="0091626E"/>
    <w:rsid w:val="00916A3F"/>
    <w:rsid w:val="00916DAF"/>
    <w:rsid w:val="009205CA"/>
    <w:rsid w:val="00920A20"/>
    <w:rsid w:val="009212EE"/>
    <w:rsid w:val="009221B6"/>
    <w:rsid w:val="009223BD"/>
    <w:rsid w:val="009226BE"/>
    <w:rsid w:val="009231D2"/>
    <w:rsid w:val="00923349"/>
    <w:rsid w:val="0092367B"/>
    <w:rsid w:val="009237C9"/>
    <w:rsid w:val="00923DB7"/>
    <w:rsid w:val="00923F87"/>
    <w:rsid w:val="00924375"/>
    <w:rsid w:val="009246BC"/>
    <w:rsid w:val="00924923"/>
    <w:rsid w:val="00924944"/>
    <w:rsid w:val="00924A05"/>
    <w:rsid w:val="00924CDC"/>
    <w:rsid w:val="00925C64"/>
    <w:rsid w:val="00925F4C"/>
    <w:rsid w:val="009260E0"/>
    <w:rsid w:val="00926463"/>
    <w:rsid w:val="009266AD"/>
    <w:rsid w:val="00926F82"/>
    <w:rsid w:val="00926F93"/>
    <w:rsid w:val="00927F37"/>
    <w:rsid w:val="009302B3"/>
    <w:rsid w:val="009302C8"/>
    <w:rsid w:val="009305A0"/>
    <w:rsid w:val="0093095B"/>
    <w:rsid w:val="00930D37"/>
    <w:rsid w:val="00931492"/>
    <w:rsid w:val="00931588"/>
    <w:rsid w:val="00931720"/>
    <w:rsid w:val="00931DAE"/>
    <w:rsid w:val="0093209C"/>
    <w:rsid w:val="0093248D"/>
    <w:rsid w:val="009330DB"/>
    <w:rsid w:val="00933400"/>
    <w:rsid w:val="00933A15"/>
    <w:rsid w:val="009340FD"/>
    <w:rsid w:val="00934955"/>
    <w:rsid w:val="00935217"/>
    <w:rsid w:val="00935282"/>
    <w:rsid w:val="00935AC3"/>
    <w:rsid w:val="00936018"/>
    <w:rsid w:val="009374E4"/>
    <w:rsid w:val="0093773F"/>
    <w:rsid w:val="00937DB8"/>
    <w:rsid w:val="00937E8A"/>
    <w:rsid w:val="00940059"/>
    <w:rsid w:val="00940290"/>
    <w:rsid w:val="0094071D"/>
    <w:rsid w:val="00940BCE"/>
    <w:rsid w:val="00942D53"/>
    <w:rsid w:val="009430AB"/>
    <w:rsid w:val="009431DE"/>
    <w:rsid w:val="0094324C"/>
    <w:rsid w:val="009437B9"/>
    <w:rsid w:val="00943A1E"/>
    <w:rsid w:val="00943AFF"/>
    <w:rsid w:val="00943B7B"/>
    <w:rsid w:val="00943C43"/>
    <w:rsid w:val="0094438D"/>
    <w:rsid w:val="009444A1"/>
    <w:rsid w:val="00944E79"/>
    <w:rsid w:val="00945156"/>
    <w:rsid w:val="00945248"/>
    <w:rsid w:val="00945282"/>
    <w:rsid w:val="009452C6"/>
    <w:rsid w:val="00947567"/>
    <w:rsid w:val="0094775C"/>
    <w:rsid w:val="0094790F"/>
    <w:rsid w:val="00950223"/>
    <w:rsid w:val="0095084F"/>
    <w:rsid w:val="00950850"/>
    <w:rsid w:val="00950C75"/>
    <w:rsid w:val="00950DFB"/>
    <w:rsid w:val="00951E48"/>
    <w:rsid w:val="00951EDA"/>
    <w:rsid w:val="00952098"/>
    <w:rsid w:val="0095224B"/>
    <w:rsid w:val="0095262E"/>
    <w:rsid w:val="00952F47"/>
    <w:rsid w:val="0095423F"/>
    <w:rsid w:val="0095505E"/>
    <w:rsid w:val="00955867"/>
    <w:rsid w:val="00955CCA"/>
    <w:rsid w:val="009565EB"/>
    <w:rsid w:val="00956710"/>
    <w:rsid w:val="0095686F"/>
    <w:rsid w:val="00956B20"/>
    <w:rsid w:val="00956DBA"/>
    <w:rsid w:val="0095721E"/>
    <w:rsid w:val="00957271"/>
    <w:rsid w:val="00957320"/>
    <w:rsid w:val="00957655"/>
    <w:rsid w:val="009578C0"/>
    <w:rsid w:val="00957D00"/>
    <w:rsid w:val="00957E48"/>
    <w:rsid w:val="00957FAA"/>
    <w:rsid w:val="009605E9"/>
    <w:rsid w:val="00960DC5"/>
    <w:rsid w:val="00960FD6"/>
    <w:rsid w:val="00961BEB"/>
    <w:rsid w:val="00961C4B"/>
    <w:rsid w:val="00961FA2"/>
    <w:rsid w:val="0096211E"/>
    <w:rsid w:val="0096253F"/>
    <w:rsid w:val="00962791"/>
    <w:rsid w:val="00962D78"/>
    <w:rsid w:val="00963672"/>
    <w:rsid w:val="009648C4"/>
    <w:rsid w:val="00964E72"/>
    <w:rsid w:val="00965133"/>
    <w:rsid w:val="00965248"/>
    <w:rsid w:val="00965399"/>
    <w:rsid w:val="00965416"/>
    <w:rsid w:val="0096541A"/>
    <w:rsid w:val="00965A91"/>
    <w:rsid w:val="0097001B"/>
    <w:rsid w:val="00970517"/>
    <w:rsid w:val="00970695"/>
    <w:rsid w:val="009706C1"/>
    <w:rsid w:val="009718E8"/>
    <w:rsid w:val="00971E3E"/>
    <w:rsid w:val="00972469"/>
    <w:rsid w:val="00972595"/>
    <w:rsid w:val="00972918"/>
    <w:rsid w:val="00972AC4"/>
    <w:rsid w:val="00972F32"/>
    <w:rsid w:val="0097307F"/>
    <w:rsid w:val="00974384"/>
    <w:rsid w:val="009749F5"/>
    <w:rsid w:val="00974C75"/>
    <w:rsid w:val="00975063"/>
    <w:rsid w:val="0097596E"/>
    <w:rsid w:val="009761BC"/>
    <w:rsid w:val="009764C0"/>
    <w:rsid w:val="00976C67"/>
    <w:rsid w:val="009774CD"/>
    <w:rsid w:val="00977F1C"/>
    <w:rsid w:val="009801A5"/>
    <w:rsid w:val="00980D1B"/>
    <w:rsid w:val="00980F59"/>
    <w:rsid w:val="0098111E"/>
    <w:rsid w:val="0098172C"/>
    <w:rsid w:val="00981B40"/>
    <w:rsid w:val="00982C13"/>
    <w:rsid w:val="009832C7"/>
    <w:rsid w:val="0098351C"/>
    <w:rsid w:val="0098490D"/>
    <w:rsid w:val="00985324"/>
    <w:rsid w:val="009858A7"/>
    <w:rsid w:val="00986428"/>
    <w:rsid w:val="0098665D"/>
    <w:rsid w:val="00986B21"/>
    <w:rsid w:val="00986C23"/>
    <w:rsid w:val="00986D6C"/>
    <w:rsid w:val="00987669"/>
    <w:rsid w:val="009877ED"/>
    <w:rsid w:val="00987881"/>
    <w:rsid w:val="00987FB5"/>
    <w:rsid w:val="00990640"/>
    <w:rsid w:val="009911A2"/>
    <w:rsid w:val="009914AB"/>
    <w:rsid w:val="00991E41"/>
    <w:rsid w:val="009923AB"/>
    <w:rsid w:val="009928D7"/>
    <w:rsid w:val="00993424"/>
    <w:rsid w:val="00993BB8"/>
    <w:rsid w:val="00993D05"/>
    <w:rsid w:val="00993E37"/>
    <w:rsid w:val="00994189"/>
    <w:rsid w:val="009941BB"/>
    <w:rsid w:val="0099485F"/>
    <w:rsid w:val="00995A48"/>
    <w:rsid w:val="0099610E"/>
    <w:rsid w:val="0099614E"/>
    <w:rsid w:val="009964C7"/>
    <w:rsid w:val="0099697A"/>
    <w:rsid w:val="009973C7"/>
    <w:rsid w:val="00997E67"/>
    <w:rsid w:val="009A001A"/>
    <w:rsid w:val="009A100A"/>
    <w:rsid w:val="009A12D4"/>
    <w:rsid w:val="009A1695"/>
    <w:rsid w:val="009A30AE"/>
    <w:rsid w:val="009A378B"/>
    <w:rsid w:val="009A4105"/>
    <w:rsid w:val="009A4A05"/>
    <w:rsid w:val="009A4D8B"/>
    <w:rsid w:val="009A5036"/>
    <w:rsid w:val="009A55FC"/>
    <w:rsid w:val="009A56FD"/>
    <w:rsid w:val="009A69E0"/>
    <w:rsid w:val="009A6B1E"/>
    <w:rsid w:val="009A6D38"/>
    <w:rsid w:val="009A7EB8"/>
    <w:rsid w:val="009A7F6D"/>
    <w:rsid w:val="009B0412"/>
    <w:rsid w:val="009B0766"/>
    <w:rsid w:val="009B0CC3"/>
    <w:rsid w:val="009B132F"/>
    <w:rsid w:val="009B139E"/>
    <w:rsid w:val="009B1492"/>
    <w:rsid w:val="009B1650"/>
    <w:rsid w:val="009B1DBA"/>
    <w:rsid w:val="009B2BD6"/>
    <w:rsid w:val="009B3BF1"/>
    <w:rsid w:val="009B3C76"/>
    <w:rsid w:val="009B3DAB"/>
    <w:rsid w:val="009B4C45"/>
    <w:rsid w:val="009B5A80"/>
    <w:rsid w:val="009B62E2"/>
    <w:rsid w:val="009B7B54"/>
    <w:rsid w:val="009B7EFA"/>
    <w:rsid w:val="009C0050"/>
    <w:rsid w:val="009C0128"/>
    <w:rsid w:val="009C0145"/>
    <w:rsid w:val="009C18FE"/>
    <w:rsid w:val="009C2418"/>
    <w:rsid w:val="009C24B6"/>
    <w:rsid w:val="009C24C8"/>
    <w:rsid w:val="009C24F4"/>
    <w:rsid w:val="009C2C9A"/>
    <w:rsid w:val="009C2E18"/>
    <w:rsid w:val="009C40E9"/>
    <w:rsid w:val="009C48B6"/>
    <w:rsid w:val="009C4C06"/>
    <w:rsid w:val="009C5007"/>
    <w:rsid w:val="009C5A06"/>
    <w:rsid w:val="009C6842"/>
    <w:rsid w:val="009C68FF"/>
    <w:rsid w:val="009C69F2"/>
    <w:rsid w:val="009C6DA6"/>
    <w:rsid w:val="009C724D"/>
    <w:rsid w:val="009C7E95"/>
    <w:rsid w:val="009C7F93"/>
    <w:rsid w:val="009D0491"/>
    <w:rsid w:val="009D0648"/>
    <w:rsid w:val="009D077F"/>
    <w:rsid w:val="009D12F3"/>
    <w:rsid w:val="009D1D89"/>
    <w:rsid w:val="009D1D9B"/>
    <w:rsid w:val="009D351A"/>
    <w:rsid w:val="009D3903"/>
    <w:rsid w:val="009D3949"/>
    <w:rsid w:val="009D3E05"/>
    <w:rsid w:val="009D4987"/>
    <w:rsid w:val="009D4B8A"/>
    <w:rsid w:val="009D5319"/>
    <w:rsid w:val="009D5333"/>
    <w:rsid w:val="009D547F"/>
    <w:rsid w:val="009D54C2"/>
    <w:rsid w:val="009D5BAA"/>
    <w:rsid w:val="009D5FA8"/>
    <w:rsid w:val="009D6050"/>
    <w:rsid w:val="009D62C5"/>
    <w:rsid w:val="009D73EB"/>
    <w:rsid w:val="009D7B59"/>
    <w:rsid w:val="009D7DFA"/>
    <w:rsid w:val="009E131E"/>
    <w:rsid w:val="009E13AA"/>
    <w:rsid w:val="009E14B8"/>
    <w:rsid w:val="009E18B6"/>
    <w:rsid w:val="009E1E02"/>
    <w:rsid w:val="009E3126"/>
    <w:rsid w:val="009E334B"/>
    <w:rsid w:val="009E36B8"/>
    <w:rsid w:val="009E36C5"/>
    <w:rsid w:val="009E3701"/>
    <w:rsid w:val="009E38DC"/>
    <w:rsid w:val="009E3A08"/>
    <w:rsid w:val="009E3A50"/>
    <w:rsid w:val="009E48FE"/>
    <w:rsid w:val="009E4D79"/>
    <w:rsid w:val="009E4DBB"/>
    <w:rsid w:val="009E4DD6"/>
    <w:rsid w:val="009E5029"/>
    <w:rsid w:val="009E525D"/>
    <w:rsid w:val="009E594E"/>
    <w:rsid w:val="009E5B68"/>
    <w:rsid w:val="009E62C2"/>
    <w:rsid w:val="009E6418"/>
    <w:rsid w:val="009E69B4"/>
    <w:rsid w:val="009E6E17"/>
    <w:rsid w:val="009E6E5E"/>
    <w:rsid w:val="009E7350"/>
    <w:rsid w:val="009E73ED"/>
    <w:rsid w:val="009E755D"/>
    <w:rsid w:val="009F1527"/>
    <w:rsid w:val="009F24E3"/>
    <w:rsid w:val="009F35EE"/>
    <w:rsid w:val="009F3757"/>
    <w:rsid w:val="009F577E"/>
    <w:rsid w:val="009F581C"/>
    <w:rsid w:val="009F5D7F"/>
    <w:rsid w:val="009F63DD"/>
    <w:rsid w:val="009F689F"/>
    <w:rsid w:val="009F72F9"/>
    <w:rsid w:val="00A00A50"/>
    <w:rsid w:val="00A00C17"/>
    <w:rsid w:val="00A00C47"/>
    <w:rsid w:val="00A00D09"/>
    <w:rsid w:val="00A01149"/>
    <w:rsid w:val="00A01853"/>
    <w:rsid w:val="00A019BF"/>
    <w:rsid w:val="00A02369"/>
    <w:rsid w:val="00A0335E"/>
    <w:rsid w:val="00A03529"/>
    <w:rsid w:val="00A04202"/>
    <w:rsid w:val="00A04403"/>
    <w:rsid w:val="00A04E9C"/>
    <w:rsid w:val="00A05471"/>
    <w:rsid w:val="00A05E4B"/>
    <w:rsid w:val="00A060D6"/>
    <w:rsid w:val="00A0655F"/>
    <w:rsid w:val="00A0666C"/>
    <w:rsid w:val="00A0669D"/>
    <w:rsid w:val="00A066E7"/>
    <w:rsid w:val="00A067CA"/>
    <w:rsid w:val="00A0682E"/>
    <w:rsid w:val="00A06F68"/>
    <w:rsid w:val="00A10320"/>
    <w:rsid w:val="00A105E4"/>
    <w:rsid w:val="00A110AB"/>
    <w:rsid w:val="00A11968"/>
    <w:rsid w:val="00A11992"/>
    <w:rsid w:val="00A11E18"/>
    <w:rsid w:val="00A12204"/>
    <w:rsid w:val="00A12233"/>
    <w:rsid w:val="00A128BE"/>
    <w:rsid w:val="00A12A63"/>
    <w:rsid w:val="00A130EB"/>
    <w:rsid w:val="00A13818"/>
    <w:rsid w:val="00A14473"/>
    <w:rsid w:val="00A148F4"/>
    <w:rsid w:val="00A14E6B"/>
    <w:rsid w:val="00A15016"/>
    <w:rsid w:val="00A1563F"/>
    <w:rsid w:val="00A15B6C"/>
    <w:rsid w:val="00A15C16"/>
    <w:rsid w:val="00A15EBE"/>
    <w:rsid w:val="00A160C1"/>
    <w:rsid w:val="00A160F1"/>
    <w:rsid w:val="00A16B96"/>
    <w:rsid w:val="00A172A3"/>
    <w:rsid w:val="00A2092F"/>
    <w:rsid w:val="00A20C4C"/>
    <w:rsid w:val="00A2125B"/>
    <w:rsid w:val="00A2175F"/>
    <w:rsid w:val="00A2191D"/>
    <w:rsid w:val="00A22011"/>
    <w:rsid w:val="00A2208E"/>
    <w:rsid w:val="00A22A64"/>
    <w:rsid w:val="00A22B70"/>
    <w:rsid w:val="00A23A32"/>
    <w:rsid w:val="00A245B0"/>
    <w:rsid w:val="00A2479D"/>
    <w:rsid w:val="00A24FA9"/>
    <w:rsid w:val="00A25F68"/>
    <w:rsid w:val="00A26416"/>
    <w:rsid w:val="00A26A15"/>
    <w:rsid w:val="00A26E30"/>
    <w:rsid w:val="00A27436"/>
    <w:rsid w:val="00A27AAD"/>
    <w:rsid w:val="00A27B7B"/>
    <w:rsid w:val="00A27BF7"/>
    <w:rsid w:val="00A3041A"/>
    <w:rsid w:val="00A3099A"/>
    <w:rsid w:val="00A30E81"/>
    <w:rsid w:val="00A3151E"/>
    <w:rsid w:val="00A31653"/>
    <w:rsid w:val="00A31BDC"/>
    <w:rsid w:val="00A32D38"/>
    <w:rsid w:val="00A32D58"/>
    <w:rsid w:val="00A331AD"/>
    <w:rsid w:val="00A33876"/>
    <w:rsid w:val="00A3388C"/>
    <w:rsid w:val="00A339C9"/>
    <w:rsid w:val="00A33A97"/>
    <w:rsid w:val="00A33D82"/>
    <w:rsid w:val="00A33F7A"/>
    <w:rsid w:val="00A34019"/>
    <w:rsid w:val="00A3445C"/>
    <w:rsid w:val="00A347E4"/>
    <w:rsid w:val="00A34CDF"/>
    <w:rsid w:val="00A350DA"/>
    <w:rsid w:val="00A350F5"/>
    <w:rsid w:val="00A351EE"/>
    <w:rsid w:val="00A35329"/>
    <w:rsid w:val="00A35E1A"/>
    <w:rsid w:val="00A3607E"/>
    <w:rsid w:val="00A3623E"/>
    <w:rsid w:val="00A362BD"/>
    <w:rsid w:val="00A365DC"/>
    <w:rsid w:val="00A37819"/>
    <w:rsid w:val="00A379AF"/>
    <w:rsid w:val="00A40A30"/>
    <w:rsid w:val="00A41306"/>
    <w:rsid w:val="00A4224C"/>
    <w:rsid w:val="00A42710"/>
    <w:rsid w:val="00A42AF4"/>
    <w:rsid w:val="00A42EDC"/>
    <w:rsid w:val="00A42FBD"/>
    <w:rsid w:val="00A4321F"/>
    <w:rsid w:val="00A439CB"/>
    <w:rsid w:val="00A440A2"/>
    <w:rsid w:val="00A44E6C"/>
    <w:rsid w:val="00A451A7"/>
    <w:rsid w:val="00A45608"/>
    <w:rsid w:val="00A4597E"/>
    <w:rsid w:val="00A46345"/>
    <w:rsid w:val="00A46983"/>
    <w:rsid w:val="00A47AEF"/>
    <w:rsid w:val="00A50A94"/>
    <w:rsid w:val="00A5134A"/>
    <w:rsid w:val="00A5246D"/>
    <w:rsid w:val="00A53165"/>
    <w:rsid w:val="00A53454"/>
    <w:rsid w:val="00A5463D"/>
    <w:rsid w:val="00A54813"/>
    <w:rsid w:val="00A54962"/>
    <w:rsid w:val="00A54AAE"/>
    <w:rsid w:val="00A54DCA"/>
    <w:rsid w:val="00A556FC"/>
    <w:rsid w:val="00A55A31"/>
    <w:rsid w:val="00A55BF0"/>
    <w:rsid w:val="00A5691F"/>
    <w:rsid w:val="00A56CF6"/>
    <w:rsid w:val="00A57716"/>
    <w:rsid w:val="00A6008E"/>
    <w:rsid w:val="00A60476"/>
    <w:rsid w:val="00A607A2"/>
    <w:rsid w:val="00A60874"/>
    <w:rsid w:val="00A60B55"/>
    <w:rsid w:val="00A614D3"/>
    <w:rsid w:val="00A617A2"/>
    <w:rsid w:val="00A61E06"/>
    <w:rsid w:val="00A62152"/>
    <w:rsid w:val="00A62350"/>
    <w:rsid w:val="00A6275D"/>
    <w:rsid w:val="00A632A5"/>
    <w:rsid w:val="00A63B1D"/>
    <w:rsid w:val="00A63FBD"/>
    <w:rsid w:val="00A64246"/>
    <w:rsid w:val="00A64F02"/>
    <w:rsid w:val="00A6502C"/>
    <w:rsid w:val="00A65192"/>
    <w:rsid w:val="00A65623"/>
    <w:rsid w:val="00A6604B"/>
    <w:rsid w:val="00A667AC"/>
    <w:rsid w:val="00A67709"/>
    <w:rsid w:val="00A678D4"/>
    <w:rsid w:val="00A67C89"/>
    <w:rsid w:val="00A7063D"/>
    <w:rsid w:val="00A70BF5"/>
    <w:rsid w:val="00A71886"/>
    <w:rsid w:val="00A7195D"/>
    <w:rsid w:val="00A71BA3"/>
    <w:rsid w:val="00A723A3"/>
    <w:rsid w:val="00A7275C"/>
    <w:rsid w:val="00A72B87"/>
    <w:rsid w:val="00A72C68"/>
    <w:rsid w:val="00A72F9E"/>
    <w:rsid w:val="00A736D7"/>
    <w:rsid w:val="00A73F54"/>
    <w:rsid w:val="00A7419B"/>
    <w:rsid w:val="00A749D0"/>
    <w:rsid w:val="00A74A43"/>
    <w:rsid w:val="00A74B2F"/>
    <w:rsid w:val="00A74F18"/>
    <w:rsid w:val="00A75140"/>
    <w:rsid w:val="00A75572"/>
    <w:rsid w:val="00A757AB"/>
    <w:rsid w:val="00A7595C"/>
    <w:rsid w:val="00A75B18"/>
    <w:rsid w:val="00A760FC"/>
    <w:rsid w:val="00A76C99"/>
    <w:rsid w:val="00A778F2"/>
    <w:rsid w:val="00A77C1E"/>
    <w:rsid w:val="00A8001E"/>
    <w:rsid w:val="00A80B53"/>
    <w:rsid w:val="00A80EAB"/>
    <w:rsid w:val="00A8111A"/>
    <w:rsid w:val="00A81B91"/>
    <w:rsid w:val="00A82100"/>
    <w:rsid w:val="00A822E9"/>
    <w:rsid w:val="00A8276C"/>
    <w:rsid w:val="00A829B4"/>
    <w:rsid w:val="00A82F86"/>
    <w:rsid w:val="00A83734"/>
    <w:rsid w:val="00A83E05"/>
    <w:rsid w:val="00A845A3"/>
    <w:rsid w:val="00A84685"/>
    <w:rsid w:val="00A84C27"/>
    <w:rsid w:val="00A864F9"/>
    <w:rsid w:val="00A86B17"/>
    <w:rsid w:val="00A86BF4"/>
    <w:rsid w:val="00A86CAB"/>
    <w:rsid w:val="00A86E5D"/>
    <w:rsid w:val="00A86ECE"/>
    <w:rsid w:val="00A86FA3"/>
    <w:rsid w:val="00A87066"/>
    <w:rsid w:val="00A8720E"/>
    <w:rsid w:val="00A87302"/>
    <w:rsid w:val="00A90FA4"/>
    <w:rsid w:val="00A918DD"/>
    <w:rsid w:val="00A91FF9"/>
    <w:rsid w:val="00A926CA"/>
    <w:rsid w:val="00A9277E"/>
    <w:rsid w:val="00A92B9F"/>
    <w:rsid w:val="00A949B8"/>
    <w:rsid w:val="00A95DDA"/>
    <w:rsid w:val="00A95EAC"/>
    <w:rsid w:val="00A960F6"/>
    <w:rsid w:val="00A96A77"/>
    <w:rsid w:val="00A96DA8"/>
    <w:rsid w:val="00A96E1A"/>
    <w:rsid w:val="00A96EF8"/>
    <w:rsid w:val="00A9792C"/>
    <w:rsid w:val="00A97C2D"/>
    <w:rsid w:val="00A97F75"/>
    <w:rsid w:val="00AA026F"/>
    <w:rsid w:val="00AA05C6"/>
    <w:rsid w:val="00AA081D"/>
    <w:rsid w:val="00AA0F4F"/>
    <w:rsid w:val="00AA1674"/>
    <w:rsid w:val="00AA16E3"/>
    <w:rsid w:val="00AA25F3"/>
    <w:rsid w:val="00AA3C43"/>
    <w:rsid w:val="00AA5294"/>
    <w:rsid w:val="00AA5579"/>
    <w:rsid w:val="00AA5A51"/>
    <w:rsid w:val="00AA649A"/>
    <w:rsid w:val="00AA69D5"/>
    <w:rsid w:val="00AA6D27"/>
    <w:rsid w:val="00AA6F14"/>
    <w:rsid w:val="00AA78EC"/>
    <w:rsid w:val="00AA7A1F"/>
    <w:rsid w:val="00AA7DCC"/>
    <w:rsid w:val="00AB05AF"/>
    <w:rsid w:val="00AB0967"/>
    <w:rsid w:val="00AB1146"/>
    <w:rsid w:val="00AB196F"/>
    <w:rsid w:val="00AB1B3D"/>
    <w:rsid w:val="00AB1CAF"/>
    <w:rsid w:val="00AB24DB"/>
    <w:rsid w:val="00AB2714"/>
    <w:rsid w:val="00AB2829"/>
    <w:rsid w:val="00AB330D"/>
    <w:rsid w:val="00AB3EBD"/>
    <w:rsid w:val="00AB4547"/>
    <w:rsid w:val="00AB5BF2"/>
    <w:rsid w:val="00AB7098"/>
    <w:rsid w:val="00AB7308"/>
    <w:rsid w:val="00AB77DD"/>
    <w:rsid w:val="00AB7C09"/>
    <w:rsid w:val="00AB7FC0"/>
    <w:rsid w:val="00AC02AC"/>
    <w:rsid w:val="00AC0ECF"/>
    <w:rsid w:val="00AC150E"/>
    <w:rsid w:val="00AC15E5"/>
    <w:rsid w:val="00AC185D"/>
    <w:rsid w:val="00AC2EA4"/>
    <w:rsid w:val="00AC326C"/>
    <w:rsid w:val="00AC439F"/>
    <w:rsid w:val="00AC486D"/>
    <w:rsid w:val="00AC4A4A"/>
    <w:rsid w:val="00AC4B7A"/>
    <w:rsid w:val="00AC5579"/>
    <w:rsid w:val="00AC5D13"/>
    <w:rsid w:val="00AC6354"/>
    <w:rsid w:val="00AC66FE"/>
    <w:rsid w:val="00AC68C1"/>
    <w:rsid w:val="00AC6A76"/>
    <w:rsid w:val="00AC6C1B"/>
    <w:rsid w:val="00AC6DE8"/>
    <w:rsid w:val="00AD00C9"/>
    <w:rsid w:val="00AD0475"/>
    <w:rsid w:val="00AD1CD0"/>
    <w:rsid w:val="00AD21D5"/>
    <w:rsid w:val="00AD2538"/>
    <w:rsid w:val="00AD2821"/>
    <w:rsid w:val="00AD2A4F"/>
    <w:rsid w:val="00AD2DE9"/>
    <w:rsid w:val="00AD302C"/>
    <w:rsid w:val="00AD3144"/>
    <w:rsid w:val="00AD396F"/>
    <w:rsid w:val="00AD3BBD"/>
    <w:rsid w:val="00AD3C86"/>
    <w:rsid w:val="00AD4A64"/>
    <w:rsid w:val="00AD4E9D"/>
    <w:rsid w:val="00AD5CF6"/>
    <w:rsid w:val="00AD6763"/>
    <w:rsid w:val="00AD6C35"/>
    <w:rsid w:val="00AD6D53"/>
    <w:rsid w:val="00AD7259"/>
    <w:rsid w:val="00AD725E"/>
    <w:rsid w:val="00AD7C85"/>
    <w:rsid w:val="00AD7ECA"/>
    <w:rsid w:val="00AE0656"/>
    <w:rsid w:val="00AE0BD5"/>
    <w:rsid w:val="00AE0E78"/>
    <w:rsid w:val="00AE1114"/>
    <w:rsid w:val="00AE2563"/>
    <w:rsid w:val="00AE2C31"/>
    <w:rsid w:val="00AE3033"/>
    <w:rsid w:val="00AE3242"/>
    <w:rsid w:val="00AE3930"/>
    <w:rsid w:val="00AE394A"/>
    <w:rsid w:val="00AE39B4"/>
    <w:rsid w:val="00AE39B9"/>
    <w:rsid w:val="00AE3B0C"/>
    <w:rsid w:val="00AE454E"/>
    <w:rsid w:val="00AE45A0"/>
    <w:rsid w:val="00AE4A76"/>
    <w:rsid w:val="00AE4CE6"/>
    <w:rsid w:val="00AE4FDD"/>
    <w:rsid w:val="00AE53BC"/>
    <w:rsid w:val="00AE5497"/>
    <w:rsid w:val="00AE5631"/>
    <w:rsid w:val="00AE5CAD"/>
    <w:rsid w:val="00AE5DC5"/>
    <w:rsid w:val="00AE5E02"/>
    <w:rsid w:val="00AE69D7"/>
    <w:rsid w:val="00AE79A0"/>
    <w:rsid w:val="00AE7EE7"/>
    <w:rsid w:val="00AF00AA"/>
    <w:rsid w:val="00AF10CA"/>
    <w:rsid w:val="00AF14DA"/>
    <w:rsid w:val="00AF2116"/>
    <w:rsid w:val="00AF2142"/>
    <w:rsid w:val="00AF24F9"/>
    <w:rsid w:val="00AF2559"/>
    <w:rsid w:val="00AF2A93"/>
    <w:rsid w:val="00AF2DC5"/>
    <w:rsid w:val="00AF3256"/>
    <w:rsid w:val="00AF3CB4"/>
    <w:rsid w:val="00AF467B"/>
    <w:rsid w:val="00AF46EC"/>
    <w:rsid w:val="00AF4A29"/>
    <w:rsid w:val="00AF5414"/>
    <w:rsid w:val="00AF569B"/>
    <w:rsid w:val="00AF64D8"/>
    <w:rsid w:val="00AF64E9"/>
    <w:rsid w:val="00AF6D2C"/>
    <w:rsid w:val="00AF6FE1"/>
    <w:rsid w:val="00AF72AB"/>
    <w:rsid w:val="00AF7764"/>
    <w:rsid w:val="00AF782F"/>
    <w:rsid w:val="00AF7B58"/>
    <w:rsid w:val="00AF7DCE"/>
    <w:rsid w:val="00B00785"/>
    <w:rsid w:val="00B00B45"/>
    <w:rsid w:val="00B00DB4"/>
    <w:rsid w:val="00B00EF3"/>
    <w:rsid w:val="00B00F74"/>
    <w:rsid w:val="00B0175D"/>
    <w:rsid w:val="00B01D50"/>
    <w:rsid w:val="00B01FE2"/>
    <w:rsid w:val="00B028DB"/>
    <w:rsid w:val="00B029C3"/>
    <w:rsid w:val="00B0325E"/>
    <w:rsid w:val="00B0374B"/>
    <w:rsid w:val="00B03B53"/>
    <w:rsid w:val="00B060B2"/>
    <w:rsid w:val="00B06363"/>
    <w:rsid w:val="00B101D7"/>
    <w:rsid w:val="00B10E5C"/>
    <w:rsid w:val="00B119D8"/>
    <w:rsid w:val="00B11C43"/>
    <w:rsid w:val="00B1208F"/>
    <w:rsid w:val="00B12208"/>
    <w:rsid w:val="00B122D1"/>
    <w:rsid w:val="00B126DE"/>
    <w:rsid w:val="00B1289F"/>
    <w:rsid w:val="00B133FD"/>
    <w:rsid w:val="00B136BF"/>
    <w:rsid w:val="00B14B43"/>
    <w:rsid w:val="00B1551E"/>
    <w:rsid w:val="00B15D77"/>
    <w:rsid w:val="00B1639B"/>
    <w:rsid w:val="00B16E26"/>
    <w:rsid w:val="00B16FB4"/>
    <w:rsid w:val="00B1713D"/>
    <w:rsid w:val="00B17927"/>
    <w:rsid w:val="00B20179"/>
    <w:rsid w:val="00B207F1"/>
    <w:rsid w:val="00B2119E"/>
    <w:rsid w:val="00B21507"/>
    <w:rsid w:val="00B215F6"/>
    <w:rsid w:val="00B22E4E"/>
    <w:rsid w:val="00B2442F"/>
    <w:rsid w:val="00B24789"/>
    <w:rsid w:val="00B24825"/>
    <w:rsid w:val="00B248E5"/>
    <w:rsid w:val="00B24981"/>
    <w:rsid w:val="00B25927"/>
    <w:rsid w:val="00B25965"/>
    <w:rsid w:val="00B25A3C"/>
    <w:rsid w:val="00B272A2"/>
    <w:rsid w:val="00B27930"/>
    <w:rsid w:val="00B27A1E"/>
    <w:rsid w:val="00B27BF4"/>
    <w:rsid w:val="00B27BF6"/>
    <w:rsid w:val="00B27FA9"/>
    <w:rsid w:val="00B30400"/>
    <w:rsid w:val="00B30861"/>
    <w:rsid w:val="00B31519"/>
    <w:rsid w:val="00B31584"/>
    <w:rsid w:val="00B317C1"/>
    <w:rsid w:val="00B31CF3"/>
    <w:rsid w:val="00B32149"/>
    <w:rsid w:val="00B321A7"/>
    <w:rsid w:val="00B32883"/>
    <w:rsid w:val="00B32C3F"/>
    <w:rsid w:val="00B32E65"/>
    <w:rsid w:val="00B32F97"/>
    <w:rsid w:val="00B3324F"/>
    <w:rsid w:val="00B3438D"/>
    <w:rsid w:val="00B34DF0"/>
    <w:rsid w:val="00B3528E"/>
    <w:rsid w:val="00B35311"/>
    <w:rsid w:val="00B3533C"/>
    <w:rsid w:val="00B36A63"/>
    <w:rsid w:val="00B36E2B"/>
    <w:rsid w:val="00B373C5"/>
    <w:rsid w:val="00B374A1"/>
    <w:rsid w:val="00B3765C"/>
    <w:rsid w:val="00B3765E"/>
    <w:rsid w:val="00B37E4B"/>
    <w:rsid w:val="00B407DF"/>
    <w:rsid w:val="00B409C8"/>
    <w:rsid w:val="00B40AA6"/>
    <w:rsid w:val="00B40AFF"/>
    <w:rsid w:val="00B40D85"/>
    <w:rsid w:val="00B40F57"/>
    <w:rsid w:val="00B41078"/>
    <w:rsid w:val="00B413F0"/>
    <w:rsid w:val="00B419AA"/>
    <w:rsid w:val="00B42335"/>
    <w:rsid w:val="00B42B7F"/>
    <w:rsid w:val="00B42F89"/>
    <w:rsid w:val="00B43090"/>
    <w:rsid w:val="00B43C03"/>
    <w:rsid w:val="00B4420F"/>
    <w:rsid w:val="00B452E5"/>
    <w:rsid w:val="00B4587C"/>
    <w:rsid w:val="00B458AD"/>
    <w:rsid w:val="00B45DC1"/>
    <w:rsid w:val="00B46152"/>
    <w:rsid w:val="00B46825"/>
    <w:rsid w:val="00B46E22"/>
    <w:rsid w:val="00B46EF8"/>
    <w:rsid w:val="00B47177"/>
    <w:rsid w:val="00B471AB"/>
    <w:rsid w:val="00B471E2"/>
    <w:rsid w:val="00B4721D"/>
    <w:rsid w:val="00B47364"/>
    <w:rsid w:val="00B47F0B"/>
    <w:rsid w:val="00B50446"/>
    <w:rsid w:val="00B50555"/>
    <w:rsid w:val="00B506B7"/>
    <w:rsid w:val="00B51381"/>
    <w:rsid w:val="00B5213F"/>
    <w:rsid w:val="00B5278A"/>
    <w:rsid w:val="00B52BC5"/>
    <w:rsid w:val="00B52BD0"/>
    <w:rsid w:val="00B5315D"/>
    <w:rsid w:val="00B53507"/>
    <w:rsid w:val="00B53DAC"/>
    <w:rsid w:val="00B5428E"/>
    <w:rsid w:val="00B54536"/>
    <w:rsid w:val="00B54CA0"/>
    <w:rsid w:val="00B54D63"/>
    <w:rsid w:val="00B55111"/>
    <w:rsid w:val="00B559B7"/>
    <w:rsid w:val="00B55BAA"/>
    <w:rsid w:val="00B563B5"/>
    <w:rsid w:val="00B56538"/>
    <w:rsid w:val="00B56BA0"/>
    <w:rsid w:val="00B56E56"/>
    <w:rsid w:val="00B5757E"/>
    <w:rsid w:val="00B57AFD"/>
    <w:rsid w:val="00B57EC9"/>
    <w:rsid w:val="00B60A4D"/>
    <w:rsid w:val="00B60D41"/>
    <w:rsid w:val="00B61655"/>
    <w:rsid w:val="00B61763"/>
    <w:rsid w:val="00B6285F"/>
    <w:rsid w:val="00B63DB4"/>
    <w:rsid w:val="00B63E40"/>
    <w:rsid w:val="00B6449F"/>
    <w:rsid w:val="00B645B7"/>
    <w:rsid w:val="00B64835"/>
    <w:rsid w:val="00B6494D"/>
    <w:rsid w:val="00B65EC8"/>
    <w:rsid w:val="00B662D4"/>
    <w:rsid w:val="00B665DC"/>
    <w:rsid w:val="00B675C8"/>
    <w:rsid w:val="00B67CA4"/>
    <w:rsid w:val="00B67CFD"/>
    <w:rsid w:val="00B7033A"/>
    <w:rsid w:val="00B70C09"/>
    <w:rsid w:val="00B70FD9"/>
    <w:rsid w:val="00B71E53"/>
    <w:rsid w:val="00B71ED3"/>
    <w:rsid w:val="00B72471"/>
    <w:rsid w:val="00B7366D"/>
    <w:rsid w:val="00B736D8"/>
    <w:rsid w:val="00B73C51"/>
    <w:rsid w:val="00B73CB0"/>
    <w:rsid w:val="00B73E7C"/>
    <w:rsid w:val="00B7402A"/>
    <w:rsid w:val="00B74B60"/>
    <w:rsid w:val="00B7524C"/>
    <w:rsid w:val="00B75476"/>
    <w:rsid w:val="00B75671"/>
    <w:rsid w:val="00B760DE"/>
    <w:rsid w:val="00B7626B"/>
    <w:rsid w:val="00B76E45"/>
    <w:rsid w:val="00B772C4"/>
    <w:rsid w:val="00B77853"/>
    <w:rsid w:val="00B81152"/>
    <w:rsid w:val="00B815A3"/>
    <w:rsid w:val="00B820A2"/>
    <w:rsid w:val="00B8274C"/>
    <w:rsid w:val="00B82A0F"/>
    <w:rsid w:val="00B82A65"/>
    <w:rsid w:val="00B82BF5"/>
    <w:rsid w:val="00B83082"/>
    <w:rsid w:val="00B83BEE"/>
    <w:rsid w:val="00B8457D"/>
    <w:rsid w:val="00B84594"/>
    <w:rsid w:val="00B84AAB"/>
    <w:rsid w:val="00B84B92"/>
    <w:rsid w:val="00B85DD0"/>
    <w:rsid w:val="00B860D5"/>
    <w:rsid w:val="00B86186"/>
    <w:rsid w:val="00B8664F"/>
    <w:rsid w:val="00B86F3B"/>
    <w:rsid w:val="00B87141"/>
    <w:rsid w:val="00B873AB"/>
    <w:rsid w:val="00B87435"/>
    <w:rsid w:val="00B87922"/>
    <w:rsid w:val="00B87BA7"/>
    <w:rsid w:val="00B90A2B"/>
    <w:rsid w:val="00B9119E"/>
    <w:rsid w:val="00B914DC"/>
    <w:rsid w:val="00B9242D"/>
    <w:rsid w:val="00B92767"/>
    <w:rsid w:val="00B9289E"/>
    <w:rsid w:val="00B92BED"/>
    <w:rsid w:val="00B92C51"/>
    <w:rsid w:val="00B9347C"/>
    <w:rsid w:val="00B935E1"/>
    <w:rsid w:val="00B93C78"/>
    <w:rsid w:val="00B94172"/>
    <w:rsid w:val="00B94772"/>
    <w:rsid w:val="00B949E8"/>
    <w:rsid w:val="00B94E77"/>
    <w:rsid w:val="00B95293"/>
    <w:rsid w:val="00B95B04"/>
    <w:rsid w:val="00B95B13"/>
    <w:rsid w:val="00B962FF"/>
    <w:rsid w:val="00B9648C"/>
    <w:rsid w:val="00B967E2"/>
    <w:rsid w:val="00B974D3"/>
    <w:rsid w:val="00B979DE"/>
    <w:rsid w:val="00B97CE0"/>
    <w:rsid w:val="00BA0582"/>
    <w:rsid w:val="00BA11EB"/>
    <w:rsid w:val="00BA18BE"/>
    <w:rsid w:val="00BA19E5"/>
    <w:rsid w:val="00BA30B6"/>
    <w:rsid w:val="00BA356E"/>
    <w:rsid w:val="00BA3752"/>
    <w:rsid w:val="00BA37B5"/>
    <w:rsid w:val="00BA4317"/>
    <w:rsid w:val="00BA4A60"/>
    <w:rsid w:val="00BA539E"/>
    <w:rsid w:val="00BA551C"/>
    <w:rsid w:val="00BA58A8"/>
    <w:rsid w:val="00BA58DE"/>
    <w:rsid w:val="00BA5A7A"/>
    <w:rsid w:val="00BA5EBF"/>
    <w:rsid w:val="00BA5F1E"/>
    <w:rsid w:val="00BA601E"/>
    <w:rsid w:val="00BA60F0"/>
    <w:rsid w:val="00BA67CD"/>
    <w:rsid w:val="00BA6967"/>
    <w:rsid w:val="00BA72DE"/>
    <w:rsid w:val="00BB03B4"/>
    <w:rsid w:val="00BB0684"/>
    <w:rsid w:val="00BB11F8"/>
    <w:rsid w:val="00BB1246"/>
    <w:rsid w:val="00BB232B"/>
    <w:rsid w:val="00BB2A44"/>
    <w:rsid w:val="00BB3B01"/>
    <w:rsid w:val="00BB4061"/>
    <w:rsid w:val="00BB40DC"/>
    <w:rsid w:val="00BB4D83"/>
    <w:rsid w:val="00BB4FE7"/>
    <w:rsid w:val="00BB5B23"/>
    <w:rsid w:val="00BB5F98"/>
    <w:rsid w:val="00BB63DE"/>
    <w:rsid w:val="00BB7519"/>
    <w:rsid w:val="00BB7CB7"/>
    <w:rsid w:val="00BC0026"/>
    <w:rsid w:val="00BC01C4"/>
    <w:rsid w:val="00BC0B4B"/>
    <w:rsid w:val="00BC0B57"/>
    <w:rsid w:val="00BC1013"/>
    <w:rsid w:val="00BC124E"/>
    <w:rsid w:val="00BC1E7A"/>
    <w:rsid w:val="00BC1F1C"/>
    <w:rsid w:val="00BC2113"/>
    <w:rsid w:val="00BC2E11"/>
    <w:rsid w:val="00BC2E59"/>
    <w:rsid w:val="00BC3229"/>
    <w:rsid w:val="00BC3481"/>
    <w:rsid w:val="00BC36E2"/>
    <w:rsid w:val="00BC3790"/>
    <w:rsid w:val="00BC3CDC"/>
    <w:rsid w:val="00BC3EC5"/>
    <w:rsid w:val="00BC3F2D"/>
    <w:rsid w:val="00BC411A"/>
    <w:rsid w:val="00BC63FC"/>
    <w:rsid w:val="00BC74D3"/>
    <w:rsid w:val="00BC755C"/>
    <w:rsid w:val="00BC75B7"/>
    <w:rsid w:val="00BC788A"/>
    <w:rsid w:val="00BC7DC6"/>
    <w:rsid w:val="00BD09B1"/>
    <w:rsid w:val="00BD15C1"/>
    <w:rsid w:val="00BD1A95"/>
    <w:rsid w:val="00BD2787"/>
    <w:rsid w:val="00BD320A"/>
    <w:rsid w:val="00BD325E"/>
    <w:rsid w:val="00BD383C"/>
    <w:rsid w:val="00BD3E10"/>
    <w:rsid w:val="00BD432F"/>
    <w:rsid w:val="00BD53B2"/>
    <w:rsid w:val="00BD5D6F"/>
    <w:rsid w:val="00BD751B"/>
    <w:rsid w:val="00BD7CAB"/>
    <w:rsid w:val="00BD7E52"/>
    <w:rsid w:val="00BD7ECD"/>
    <w:rsid w:val="00BE1BFB"/>
    <w:rsid w:val="00BE1CC9"/>
    <w:rsid w:val="00BE1D78"/>
    <w:rsid w:val="00BE23F2"/>
    <w:rsid w:val="00BE25EF"/>
    <w:rsid w:val="00BE3B1A"/>
    <w:rsid w:val="00BE4342"/>
    <w:rsid w:val="00BE441B"/>
    <w:rsid w:val="00BE5058"/>
    <w:rsid w:val="00BE55C1"/>
    <w:rsid w:val="00BE57C5"/>
    <w:rsid w:val="00BE5F2E"/>
    <w:rsid w:val="00BE6B8E"/>
    <w:rsid w:val="00BE6B8F"/>
    <w:rsid w:val="00BE6DD3"/>
    <w:rsid w:val="00BE6EED"/>
    <w:rsid w:val="00BE7AAF"/>
    <w:rsid w:val="00BF0334"/>
    <w:rsid w:val="00BF03F9"/>
    <w:rsid w:val="00BF0433"/>
    <w:rsid w:val="00BF0DD1"/>
    <w:rsid w:val="00BF1FDC"/>
    <w:rsid w:val="00BF250E"/>
    <w:rsid w:val="00BF31C9"/>
    <w:rsid w:val="00BF3412"/>
    <w:rsid w:val="00BF387B"/>
    <w:rsid w:val="00BF38BF"/>
    <w:rsid w:val="00BF38DD"/>
    <w:rsid w:val="00BF41D2"/>
    <w:rsid w:val="00BF46E6"/>
    <w:rsid w:val="00BF57D1"/>
    <w:rsid w:val="00BF6239"/>
    <w:rsid w:val="00BF6409"/>
    <w:rsid w:val="00BF6624"/>
    <w:rsid w:val="00BF6E4E"/>
    <w:rsid w:val="00BF6ED4"/>
    <w:rsid w:val="00C00259"/>
    <w:rsid w:val="00C00686"/>
    <w:rsid w:val="00C009CF"/>
    <w:rsid w:val="00C00DC9"/>
    <w:rsid w:val="00C00E33"/>
    <w:rsid w:val="00C00ECD"/>
    <w:rsid w:val="00C00F58"/>
    <w:rsid w:val="00C010A1"/>
    <w:rsid w:val="00C01FC6"/>
    <w:rsid w:val="00C02758"/>
    <w:rsid w:val="00C02A2E"/>
    <w:rsid w:val="00C03596"/>
    <w:rsid w:val="00C04246"/>
    <w:rsid w:val="00C04C60"/>
    <w:rsid w:val="00C04E8B"/>
    <w:rsid w:val="00C05749"/>
    <w:rsid w:val="00C0598B"/>
    <w:rsid w:val="00C05F72"/>
    <w:rsid w:val="00C061B6"/>
    <w:rsid w:val="00C0678A"/>
    <w:rsid w:val="00C06D30"/>
    <w:rsid w:val="00C076EC"/>
    <w:rsid w:val="00C1006E"/>
    <w:rsid w:val="00C10803"/>
    <w:rsid w:val="00C10AD3"/>
    <w:rsid w:val="00C117A7"/>
    <w:rsid w:val="00C11810"/>
    <w:rsid w:val="00C11DE0"/>
    <w:rsid w:val="00C11EF7"/>
    <w:rsid w:val="00C124C7"/>
    <w:rsid w:val="00C125B3"/>
    <w:rsid w:val="00C12845"/>
    <w:rsid w:val="00C14101"/>
    <w:rsid w:val="00C14351"/>
    <w:rsid w:val="00C14B6F"/>
    <w:rsid w:val="00C159AD"/>
    <w:rsid w:val="00C16C50"/>
    <w:rsid w:val="00C16E68"/>
    <w:rsid w:val="00C17208"/>
    <w:rsid w:val="00C1749E"/>
    <w:rsid w:val="00C1798F"/>
    <w:rsid w:val="00C200BD"/>
    <w:rsid w:val="00C20216"/>
    <w:rsid w:val="00C216E9"/>
    <w:rsid w:val="00C21E40"/>
    <w:rsid w:val="00C2223F"/>
    <w:rsid w:val="00C23029"/>
    <w:rsid w:val="00C237F1"/>
    <w:rsid w:val="00C24318"/>
    <w:rsid w:val="00C24DB8"/>
    <w:rsid w:val="00C24EBB"/>
    <w:rsid w:val="00C2517E"/>
    <w:rsid w:val="00C2581E"/>
    <w:rsid w:val="00C275CE"/>
    <w:rsid w:val="00C275D6"/>
    <w:rsid w:val="00C317F8"/>
    <w:rsid w:val="00C318A7"/>
    <w:rsid w:val="00C31C1C"/>
    <w:rsid w:val="00C320CC"/>
    <w:rsid w:val="00C325B7"/>
    <w:rsid w:val="00C3280E"/>
    <w:rsid w:val="00C3306E"/>
    <w:rsid w:val="00C335EA"/>
    <w:rsid w:val="00C33998"/>
    <w:rsid w:val="00C33E77"/>
    <w:rsid w:val="00C342C7"/>
    <w:rsid w:val="00C350D7"/>
    <w:rsid w:val="00C351C3"/>
    <w:rsid w:val="00C361F4"/>
    <w:rsid w:val="00C366F6"/>
    <w:rsid w:val="00C36EEF"/>
    <w:rsid w:val="00C36FBA"/>
    <w:rsid w:val="00C3700F"/>
    <w:rsid w:val="00C3733F"/>
    <w:rsid w:val="00C37B69"/>
    <w:rsid w:val="00C40400"/>
    <w:rsid w:val="00C40CF2"/>
    <w:rsid w:val="00C40E79"/>
    <w:rsid w:val="00C41111"/>
    <w:rsid w:val="00C4153D"/>
    <w:rsid w:val="00C41AC1"/>
    <w:rsid w:val="00C41E94"/>
    <w:rsid w:val="00C42BE1"/>
    <w:rsid w:val="00C433F3"/>
    <w:rsid w:val="00C43C69"/>
    <w:rsid w:val="00C43C7E"/>
    <w:rsid w:val="00C442B6"/>
    <w:rsid w:val="00C449E6"/>
    <w:rsid w:val="00C44BFC"/>
    <w:rsid w:val="00C44F8B"/>
    <w:rsid w:val="00C45971"/>
    <w:rsid w:val="00C45E0F"/>
    <w:rsid w:val="00C4698B"/>
    <w:rsid w:val="00C47062"/>
    <w:rsid w:val="00C478ED"/>
    <w:rsid w:val="00C47934"/>
    <w:rsid w:val="00C47B5E"/>
    <w:rsid w:val="00C47F26"/>
    <w:rsid w:val="00C50761"/>
    <w:rsid w:val="00C50BAF"/>
    <w:rsid w:val="00C511C1"/>
    <w:rsid w:val="00C5176A"/>
    <w:rsid w:val="00C5210A"/>
    <w:rsid w:val="00C5220E"/>
    <w:rsid w:val="00C52AF2"/>
    <w:rsid w:val="00C52FE6"/>
    <w:rsid w:val="00C533F8"/>
    <w:rsid w:val="00C53589"/>
    <w:rsid w:val="00C53C17"/>
    <w:rsid w:val="00C56883"/>
    <w:rsid w:val="00C569B6"/>
    <w:rsid w:val="00C5714C"/>
    <w:rsid w:val="00C576A7"/>
    <w:rsid w:val="00C57A7F"/>
    <w:rsid w:val="00C61095"/>
    <w:rsid w:val="00C6180C"/>
    <w:rsid w:val="00C61B41"/>
    <w:rsid w:val="00C61B75"/>
    <w:rsid w:val="00C61E22"/>
    <w:rsid w:val="00C61EEC"/>
    <w:rsid w:val="00C621BE"/>
    <w:rsid w:val="00C624FB"/>
    <w:rsid w:val="00C62C8E"/>
    <w:rsid w:val="00C630B0"/>
    <w:rsid w:val="00C6377B"/>
    <w:rsid w:val="00C63D48"/>
    <w:rsid w:val="00C63F46"/>
    <w:rsid w:val="00C63FA1"/>
    <w:rsid w:val="00C6420D"/>
    <w:rsid w:val="00C64323"/>
    <w:rsid w:val="00C64566"/>
    <w:rsid w:val="00C64666"/>
    <w:rsid w:val="00C64EB3"/>
    <w:rsid w:val="00C64EDB"/>
    <w:rsid w:val="00C657C4"/>
    <w:rsid w:val="00C65BE6"/>
    <w:rsid w:val="00C65F6D"/>
    <w:rsid w:val="00C662DB"/>
    <w:rsid w:val="00C66F92"/>
    <w:rsid w:val="00C677C8"/>
    <w:rsid w:val="00C67D56"/>
    <w:rsid w:val="00C705AE"/>
    <w:rsid w:val="00C708D8"/>
    <w:rsid w:val="00C70FA8"/>
    <w:rsid w:val="00C716D2"/>
    <w:rsid w:val="00C717F0"/>
    <w:rsid w:val="00C71998"/>
    <w:rsid w:val="00C71A9C"/>
    <w:rsid w:val="00C72089"/>
    <w:rsid w:val="00C72110"/>
    <w:rsid w:val="00C7291A"/>
    <w:rsid w:val="00C72C4C"/>
    <w:rsid w:val="00C72CF0"/>
    <w:rsid w:val="00C72D22"/>
    <w:rsid w:val="00C73E29"/>
    <w:rsid w:val="00C758D1"/>
    <w:rsid w:val="00C77229"/>
    <w:rsid w:val="00C77AB0"/>
    <w:rsid w:val="00C801E3"/>
    <w:rsid w:val="00C80AF6"/>
    <w:rsid w:val="00C80FA5"/>
    <w:rsid w:val="00C817D8"/>
    <w:rsid w:val="00C8223A"/>
    <w:rsid w:val="00C82A4A"/>
    <w:rsid w:val="00C82A5D"/>
    <w:rsid w:val="00C83233"/>
    <w:rsid w:val="00C83338"/>
    <w:rsid w:val="00C83F52"/>
    <w:rsid w:val="00C8411B"/>
    <w:rsid w:val="00C8413A"/>
    <w:rsid w:val="00C84CAD"/>
    <w:rsid w:val="00C84F79"/>
    <w:rsid w:val="00C8500B"/>
    <w:rsid w:val="00C855C9"/>
    <w:rsid w:val="00C858CA"/>
    <w:rsid w:val="00C85B89"/>
    <w:rsid w:val="00C85E6F"/>
    <w:rsid w:val="00C85E7D"/>
    <w:rsid w:val="00C85F6E"/>
    <w:rsid w:val="00C8663E"/>
    <w:rsid w:val="00C867C5"/>
    <w:rsid w:val="00C871F3"/>
    <w:rsid w:val="00C9000B"/>
    <w:rsid w:val="00C902A0"/>
    <w:rsid w:val="00C902CF"/>
    <w:rsid w:val="00C90C19"/>
    <w:rsid w:val="00C90E72"/>
    <w:rsid w:val="00C91541"/>
    <w:rsid w:val="00C915C1"/>
    <w:rsid w:val="00C9255B"/>
    <w:rsid w:val="00C93092"/>
    <w:rsid w:val="00C9342D"/>
    <w:rsid w:val="00C93455"/>
    <w:rsid w:val="00C934D2"/>
    <w:rsid w:val="00C937AF"/>
    <w:rsid w:val="00C9490A"/>
    <w:rsid w:val="00C94F49"/>
    <w:rsid w:val="00C9510B"/>
    <w:rsid w:val="00C95366"/>
    <w:rsid w:val="00C96F0A"/>
    <w:rsid w:val="00C97049"/>
    <w:rsid w:val="00C97471"/>
    <w:rsid w:val="00CA05A0"/>
    <w:rsid w:val="00CA119A"/>
    <w:rsid w:val="00CA1212"/>
    <w:rsid w:val="00CA12F1"/>
    <w:rsid w:val="00CA206A"/>
    <w:rsid w:val="00CA299B"/>
    <w:rsid w:val="00CA2F95"/>
    <w:rsid w:val="00CA3155"/>
    <w:rsid w:val="00CA31CD"/>
    <w:rsid w:val="00CA376D"/>
    <w:rsid w:val="00CA3D5C"/>
    <w:rsid w:val="00CA3DE3"/>
    <w:rsid w:val="00CA4725"/>
    <w:rsid w:val="00CA4B04"/>
    <w:rsid w:val="00CA5FD4"/>
    <w:rsid w:val="00CA6059"/>
    <w:rsid w:val="00CA68B3"/>
    <w:rsid w:val="00CA6EBE"/>
    <w:rsid w:val="00CA71D0"/>
    <w:rsid w:val="00CA7A52"/>
    <w:rsid w:val="00CB07DA"/>
    <w:rsid w:val="00CB0992"/>
    <w:rsid w:val="00CB1352"/>
    <w:rsid w:val="00CB17D0"/>
    <w:rsid w:val="00CB1C52"/>
    <w:rsid w:val="00CB22A3"/>
    <w:rsid w:val="00CB2389"/>
    <w:rsid w:val="00CB285C"/>
    <w:rsid w:val="00CB3009"/>
    <w:rsid w:val="00CB36A2"/>
    <w:rsid w:val="00CB3A1B"/>
    <w:rsid w:val="00CB3FCB"/>
    <w:rsid w:val="00CB4591"/>
    <w:rsid w:val="00CB57F8"/>
    <w:rsid w:val="00CB5AFC"/>
    <w:rsid w:val="00CB5E7F"/>
    <w:rsid w:val="00CB6A9A"/>
    <w:rsid w:val="00CB6F18"/>
    <w:rsid w:val="00CB7317"/>
    <w:rsid w:val="00CB7360"/>
    <w:rsid w:val="00CB772C"/>
    <w:rsid w:val="00CC0333"/>
    <w:rsid w:val="00CC27FF"/>
    <w:rsid w:val="00CC3DCA"/>
    <w:rsid w:val="00CC3DED"/>
    <w:rsid w:val="00CC4DDA"/>
    <w:rsid w:val="00CC502D"/>
    <w:rsid w:val="00CC50A3"/>
    <w:rsid w:val="00CC512B"/>
    <w:rsid w:val="00CC534C"/>
    <w:rsid w:val="00CC5D2A"/>
    <w:rsid w:val="00CC62B9"/>
    <w:rsid w:val="00CC66A3"/>
    <w:rsid w:val="00CC6CB6"/>
    <w:rsid w:val="00CC7278"/>
    <w:rsid w:val="00CC7410"/>
    <w:rsid w:val="00CD05F8"/>
    <w:rsid w:val="00CD1E97"/>
    <w:rsid w:val="00CD251F"/>
    <w:rsid w:val="00CD2AD7"/>
    <w:rsid w:val="00CD3D5F"/>
    <w:rsid w:val="00CD4100"/>
    <w:rsid w:val="00CD44EB"/>
    <w:rsid w:val="00CD45E6"/>
    <w:rsid w:val="00CD496E"/>
    <w:rsid w:val="00CD4B16"/>
    <w:rsid w:val="00CD4E04"/>
    <w:rsid w:val="00CD5C20"/>
    <w:rsid w:val="00CD61A0"/>
    <w:rsid w:val="00CD6474"/>
    <w:rsid w:val="00CD6836"/>
    <w:rsid w:val="00CD69CC"/>
    <w:rsid w:val="00CD6A9E"/>
    <w:rsid w:val="00CD6FEB"/>
    <w:rsid w:val="00CD7E00"/>
    <w:rsid w:val="00CD7E05"/>
    <w:rsid w:val="00CD7EF7"/>
    <w:rsid w:val="00CE0334"/>
    <w:rsid w:val="00CE0361"/>
    <w:rsid w:val="00CE1366"/>
    <w:rsid w:val="00CE171D"/>
    <w:rsid w:val="00CE2015"/>
    <w:rsid w:val="00CE2E4E"/>
    <w:rsid w:val="00CE2E9C"/>
    <w:rsid w:val="00CE38E5"/>
    <w:rsid w:val="00CE3E5A"/>
    <w:rsid w:val="00CE4127"/>
    <w:rsid w:val="00CE4641"/>
    <w:rsid w:val="00CE46DF"/>
    <w:rsid w:val="00CE5076"/>
    <w:rsid w:val="00CE585B"/>
    <w:rsid w:val="00CE6348"/>
    <w:rsid w:val="00CE640B"/>
    <w:rsid w:val="00CE6543"/>
    <w:rsid w:val="00CE676E"/>
    <w:rsid w:val="00CE6987"/>
    <w:rsid w:val="00CE70F0"/>
    <w:rsid w:val="00CE768B"/>
    <w:rsid w:val="00CF0659"/>
    <w:rsid w:val="00CF08AF"/>
    <w:rsid w:val="00CF095F"/>
    <w:rsid w:val="00CF14A7"/>
    <w:rsid w:val="00CF15CA"/>
    <w:rsid w:val="00CF176E"/>
    <w:rsid w:val="00CF1A47"/>
    <w:rsid w:val="00CF1CA4"/>
    <w:rsid w:val="00CF25BC"/>
    <w:rsid w:val="00CF2848"/>
    <w:rsid w:val="00CF2A53"/>
    <w:rsid w:val="00CF2A6A"/>
    <w:rsid w:val="00CF2ABB"/>
    <w:rsid w:val="00CF4103"/>
    <w:rsid w:val="00CF447C"/>
    <w:rsid w:val="00CF492D"/>
    <w:rsid w:val="00CF49F7"/>
    <w:rsid w:val="00CF4A82"/>
    <w:rsid w:val="00CF5E68"/>
    <w:rsid w:val="00CF6066"/>
    <w:rsid w:val="00D007F4"/>
    <w:rsid w:val="00D00857"/>
    <w:rsid w:val="00D0110F"/>
    <w:rsid w:val="00D01190"/>
    <w:rsid w:val="00D0142D"/>
    <w:rsid w:val="00D01B92"/>
    <w:rsid w:val="00D01BA4"/>
    <w:rsid w:val="00D01DAE"/>
    <w:rsid w:val="00D021AB"/>
    <w:rsid w:val="00D028B1"/>
    <w:rsid w:val="00D02DAD"/>
    <w:rsid w:val="00D03520"/>
    <w:rsid w:val="00D0377E"/>
    <w:rsid w:val="00D046E3"/>
    <w:rsid w:val="00D0515F"/>
    <w:rsid w:val="00D064EF"/>
    <w:rsid w:val="00D06814"/>
    <w:rsid w:val="00D07246"/>
    <w:rsid w:val="00D0725D"/>
    <w:rsid w:val="00D07532"/>
    <w:rsid w:val="00D076FA"/>
    <w:rsid w:val="00D07E4D"/>
    <w:rsid w:val="00D07F64"/>
    <w:rsid w:val="00D10B4D"/>
    <w:rsid w:val="00D10C0F"/>
    <w:rsid w:val="00D113B4"/>
    <w:rsid w:val="00D11E7F"/>
    <w:rsid w:val="00D12815"/>
    <w:rsid w:val="00D12CF5"/>
    <w:rsid w:val="00D13800"/>
    <w:rsid w:val="00D13B72"/>
    <w:rsid w:val="00D153D1"/>
    <w:rsid w:val="00D16A6D"/>
    <w:rsid w:val="00D170D7"/>
    <w:rsid w:val="00D176D3"/>
    <w:rsid w:val="00D17D2E"/>
    <w:rsid w:val="00D17EEC"/>
    <w:rsid w:val="00D20861"/>
    <w:rsid w:val="00D208DD"/>
    <w:rsid w:val="00D2107D"/>
    <w:rsid w:val="00D21109"/>
    <w:rsid w:val="00D214CF"/>
    <w:rsid w:val="00D218DE"/>
    <w:rsid w:val="00D21D82"/>
    <w:rsid w:val="00D21E88"/>
    <w:rsid w:val="00D221EA"/>
    <w:rsid w:val="00D22687"/>
    <w:rsid w:val="00D22A26"/>
    <w:rsid w:val="00D22CFD"/>
    <w:rsid w:val="00D231A1"/>
    <w:rsid w:val="00D2340F"/>
    <w:rsid w:val="00D23C9F"/>
    <w:rsid w:val="00D2415B"/>
    <w:rsid w:val="00D242FE"/>
    <w:rsid w:val="00D24308"/>
    <w:rsid w:val="00D24367"/>
    <w:rsid w:val="00D24DBE"/>
    <w:rsid w:val="00D24DE1"/>
    <w:rsid w:val="00D2520F"/>
    <w:rsid w:val="00D25743"/>
    <w:rsid w:val="00D25845"/>
    <w:rsid w:val="00D25955"/>
    <w:rsid w:val="00D26750"/>
    <w:rsid w:val="00D26A4B"/>
    <w:rsid w:val="00D27782"/>
    <w:rsid w:val="00D27E46"/>
    <w:rsid w:val="00D3124B"/>
    <w:rsid w:val="00D31A03"/>
    <w:rsid w:val="00D31A4A"/>
    <w:rsid w:val="00D31B08"/>
    <w:rsid w:val="00D31D12"/>
    <w:rsid w:val="00D32166"/>
    <w:rsid w:val="00D32BAA"/>
    <w:rsid w:val="00D334DF"/>
    <w:rsid w:val="00D33E22"/>
    <w:rsid w:val="00D33EAF"/>
    <w:rsid w:val="00D35091"/>
    <w:rsid w:val="00D35CC3"/>
    <w:rsid w:val="00D36043"/>
    <w:rsid w:val="00D360EF"/>
    <w:rsid w:val="00D36A15"/>
    <w:rsid w:val="00D37077"/>
    <w:rsid w:val="00D374E3"/>
    <w:rsid w:val="00D37AA5"/>
    <w:rsid w:val="00D40333"/>
    <w:rsid w:val="00D4052B"/>
    <w:rsid w:val="00D405DF"/>
    <w:rsid w:val="00D40F16"/>
    <w:rsid w:val="00D411EE"/>
    <w:rsid w:val="00D4201F"/>
    <w:rsid w:val="00D435FE"/>
    <w:rsid w:val="00D43F2F"/>
    <w:rsid w:val="00D440C0"/>
    <w:rsid w:val="00D44137"/>
    <w:rsid w:val="00D44290"/>
    <w:rsid w:val="00D4451A"/>
    <w:rsid w:val="00D44601"/>
    <w:rsid w:val="00D44850"/>
    <w:rsid w:val="00D45146"/>
    <w:rsid w:val="00D4518F"/>
    <w:rsid w:val="00D4521B"/>
    <w:rsid w:val="00D45629"/>
    <w:rsid w:val="00D45631"/>
    <w:rsid w:val="00D45DA0"/>
    <w:rsid w:val="00D45EE1"/>
    <w:rsid w:val="00D4675D"/>
    <w:rsid w:val="00D46D0A"/>
    <w:rsid w:val="00D50E98"/>
    <w:rsid w:val="00D50F40"/>
    <w:rsid w:val="00D50FFB"/>
    <w:rsid w:val="00D514F5"/>
    <w:rsid w:val="00D516C0"/>
    <w:rsid w:val="00D52183"/>
    <w:rsid w:val="00D5234B"/>
    <w:rsid w:val="00D525A9"/>
    <w:rsid w:val="00D52D33"/>
    <w:rsid w:val="00D531DD"/>
    <w:rsid w:val="00D53316"/>
    <w:rsid w:val="00D534B2"/>
    <w:rsid w:val="00D537F5"/>
    <w:rsid w:val="00D53C7B"/>
    <w:rsid w:val="00D53CC8"/>
    <w:rsid w:val="00D53E1E"/>
    <w:rsid w:val="00D54472"/>
    <w:rsid w:val="00D55596"/>
    <w:rsid w:val="00D558F7"/>
    <w:rsid w:val="00D55959"/>
    <w:rsid w:val="00D55C0F"/>
    <w:rsid w:val="00D55DB6"/>
    <w:rsid w:val="00D56098"/>
    <w:rsid w:val="00D5671A"/>
    <w:rsid w:val="00D5684D"/>
    <w:rsid w:val="00D56E7B"/>
    <w:rsid w:val="00D5713D"/>
    <w:rsid w:val="00D60315"/>
    <w:rsid w:val="00D604E3"/>
    <w:rsid w:val="00D60549"/>
    <w:rsid w:val="00D60990"/>
    <w:rsid w:val="00D60B85"/>
    <w:rsid w:val="00D61014"/>
    <w:rsid w:val="00D61D4A"/>
    <w:rsid w:val="00D61F11"/>
    <w:rsid w:val="00D626C6"/>
    <w:rsid w:val="00D62829"/>
    <w:rsid w:val="00D62E1A"/>
    <w:rsid w:val="00D62F2E"/>
    <w:rsid w:val="00D63732"/>
    <w:rsid w:val="00D63744"/>
    <w:rsid w:val="00D63ACE"/>
    <w:rsid w:val="00D64A00"/>
    <w:rsid w:val="00D64AEA"/>
    <w:rsid w:val="00D64FAF"/>
    <w:rsid w:val="00D65551"/>
    <w:rsid w:val="00D6577D"/>
    <w:rsid w:val="00D65824"/>
    <w:rsid w:val="00D65BCE"/>
    <w:rsid w:val="00D65CA0"/>
    <w:rsid w:val="00D660FE"/>
    <w:rsid w:val="00D706A6"/>
    <w:rsid w:val="00D7128E"/>
    <w:rsid w:val="00D71517"/>
    <w:rsid w:val="00D71E50"/>
    <w:rsid w:val="00D71EBB"/>
    <w:rsid w:val="00D72A4E"/>
    <w:rsid w:val="00D72E8F"/>
    <w:rsid w:val="00D731CE"/>
    <w:rsid w:val="00D732B3"/>
    <w:rsid w:val="00D73A74"/>
    <w:rsid w:val="00D74188"/>
    <w:rsid w:val="00D74425"/>
    <w:rsid w:val="00D744A8"/>
    <w:rsid w:val="00D7631A"/>
    <w:rsid w:val="00D76785"/>
    <w:rsid w:val="00D76954"/>
    <w:rsid w:val="00D77001"/>
    <w:rsid w:val="00D8013A"/>
    <w:rsid w:val="00D80610"/>
    <w:rsid w:val="00D80640"/>
    <w:rsid w:val="00D807BF"/>
    <w:rsid w:val="00D8137F"/>
    <w:rsid w:val="00D8159D"/>
    <w:rsid w:val="00D8176B"/>
    <w:rsid w:val="00D81993"/>
    <w:rsid w:val="00D81B6B"/>
    <w:rsid w:val="00D82444"/>
    <w:rsid w:val="00D82B50"/>
    <w:rsid w:val="00D84728"/>
    <w:rsid w:val="00D84FF6"/>
    <w:rsid w:val="00D8665D"/>
    <w:rsid w:val="00D866DC"/>
    <w:rsid w:val="00D86AEF"/>
    <w:rsid w:val="00D870DD"/>
    <w:rsid w:val="00D875AB"/>
    <w:rsid w:val="00D87748"/>
    <w:rsid w:val="00D879F5"/>
    <w:rsid w:val="00D87F07"/>
    <w:rsid w:val="00D90723"/>
    <w:rsid w:val="00D90C1A"/>
    <w:rsid w:val="00D90FE1"/>
    <w:rsid w:val="00D9104C"/>
    <w:rsid w:val="00D91812"/>
    <w:rsid w:val="00D926E7"/>
    <w:rsid w:val="00D92ABA"/>
    <w:rsid w:val="00D92D01"/>
    <w:rsid w:val="00D92D9C"/>
    <w:rsid w:val="00D93075"/>
    <w:rsid w:val="00D93F1F"/>
    <w:rsid w:val="00D9413C"/>
    <w:rsid w:val="00D94443"/>
    <w:rsid w:val="00D949A4"/>
    <w:rsid w:val="00D94B20"/>
    <w:rsid w:val="00D9558B"/>
    <w:rsid w:val="00D9571B"/>
    <w:rsid w:val="00D95ACC"/>
    <w:rsid w:val="00D95B83"/>
    <w:rsid w:val="00D967F0"/>
    <w:rsid w:val="00D96D1C"/>
    <w:rsid w:val="00D977FB"/>
    <w:rsid w:val="00DA12B9"/>
    <w:rsid w:val="00DA12EF"/>
    <w:rsid w:val="00DA1E40"/>
    <w:rsid w:val="00DA1E93"/>
    <w:rsid w:val="00DA27C9"/>
    <w:rsid w:val="00DA2862"/>
    <w:rsid w:val="00DA2C03"/>
    <w:rsid w:val="00DA48E2"/>
    <w:rsid w:val="00DA52F4"/>
    <w:rsid w:val="00DA6393"/>
    <w:rsid w:val="00DA74A1"/>
    <w:rsid w:val="00DA7555"/>
    <w:rsid w:val="00DA78BE"/>
    <w:rsid w:val="00DA7C87"/>
    <w:rsid w:val="00DA7D44"/>
    <w:rsid w:val="00DB0108"/>
    <w:rsid w:val="00DB02CF"/>
    <w:rsid w:val="00DB07E6"/>
    <w:rsid w:val="00DB10CD"/>
    <w:rsid w:val="00DB13FB"/>
    <w:rsid w:val="00DB161E"/>
    <w:rsid w:val="00DB17D1"/>
    <w:rsid w:val="00DB23C8"/>
    <w:rsid w:val="00DB2449"/>
    <w:rsid w:val="00DB2997"/>
    <w:rsid w:val="00DB3CF4"/>
    <w:rsid w:val="00DB40B7"/>
    <w:rsid w:val="00DB42A1"/>
    <w:rsid w:val="00DB4389"/>
    <w:rsid w:val="00DB4566"/>
    <w:rsid w:val="00DB5089"/>
    <w:rsid w:val="00DB5804"/>
    <w:rsid w:val="00DB5A7B"/>
    <w:rsid w:val="00DB5C91"/>
    <w:rsid w:val="00DB5E4C"/>
    <w:rsid w:val="00DB60C1"/>
    <w:rsid w:val="00DB60E1"/>
    <w:rsid w:val="00DB6508"/>
    <w:rsid w:val="00DB784C"/>
    <w:rsid w:val="00DB7DD2"/>
    <w:rsid w:val="00DC0314"/>
    <w:rsid w:val="00DC0D78"/>
    <w:rsid w:val="00DC1985"/>
    <w:rsid w:val="00DC2681"/>
    <w:rsid w:val="00DC2B3A"/>
    <w:rsid w:val="00DC2DFD"/>
    <w:rsid w:val="00DC2F25"/>
    <w:rsid w:val="00DC395C"/>
    <w:rsid w:val="00DC39F6"/>
    <w:rsid w:val="00DC436E"/>
    <w:rsid w:val="00DC45E1"/>
    <w:rsid w:val="00DC4826"/>
    <w:rsid w:val="00DC54AF"/>
    <w:rsid w:val="00DC5990"/>
    <w:rsid w:val="00DC5CED"/>
    <w:rsid w:val="00DC66AD"/>
    <w:rsid w:val="00DC701F"/>
    <w:rsid w:val="00DC7106"/>
    <w:rsid w:val="00DC7B47"/>
    <w:rsid w:val="00DD016B"/>
    <w:rsid w:val="00DD0BDA"/>
    <w:rsid w:val="00DD0FDD"/>
    <w:rsid w:val="00DD1123"/>
    <w:rsid w:val="00DD1ADF"/>
    <w:rsid w:val="00DD2221"/>
    <w:rsid w:val="00DD2D0F"/>
    <w:rsid w:val="00DD3CFA"/>
    <w:rsid w:val="00DD400A"/>
    <w:rsid w:val="00DD4D78"/>
    <w:rsid w:val="00DD55D7"/>
    <w:rsid w:val="00DD58CF"/>
    <w:rsid w:val="00DD65F7"/>
    <w:rsid w:val="00DD68FC"/>
    <w:rsid w:val="00DD7429"/>
    <w:rsid w:val="00DD783F"/>
    <w:rsid w:val="00DD7C8A"/>
    <w:rsid w:val="00DE0210"/>
    <w:rsid w:val="00DE0460"/>
    <w:rsid w:val="00DE13EF"/>
    <w:rsid w:val="00DE238F"/>
    <w:rsid w:val="00DE3C02"/>
    <w:rsid w:val="00DE3DBF"/>
    <w:rsid w:val="00DE4607"/>
    <w:rsid w:val="00DE4912"/>
    <w:rsid w:val="00DE4C32"/>
    <w:rsid w:val="00DE57D6"/>
    <w:rsid w:val="00DE5D1B"/>
    <w:rsid w:val="00DE5E86"/>
    <w:rsid w:val="00DE63FB"/>
    <w:rsid w:val="00DE6589"/>
    <w:rsid w:val="00DE6D01"/>
    <w:rsid w:val="00DE78F8"/>
    <w:rsid w:val="00DF03EA"/>
    <w:rsid w:val="00DF05C1"/>
    <w:rsid w:val="00DF097B"/>
    <w:rsid w:val="00DF0C3B"/>
    <w:rsid w:val="00DF1627"/>
    <w:rsid w:val="00DF1DF2"/>
    <w:rsid w:val="00DF20A8"/>
    <w:rsid w:val="00DF25DC"/>
    <w:rsid w:val="00DF27CC"/>
    <w:rsid w:val="00DF2966"/>
    <w:rsid w:val="00DF2978"/>
    <w:rsid w:val="00DF3448"/>
    <w:rsid w:val="00DF3494"/>
    <w:rsid w:val="00DF35B4"/>
    <w:rsid w:val="00DF3A6A"/>
    <w:rsid w:val="00DF3AA4"/>
    <w:rsid w:val="00DF3FC1"/>
    <w:rsid w:val="00DF470D"/>
    <w:rsid w:val="00DF49EE"/>
    <w:rsid w:val="00DF572D"/>
    <w:rsid w:val="00DF5829"/>
    <w:rsid w:val="00DF585B"/>
    <w:rsid w:val="00DF6121"/>
    <w:rsid w:val="00DF6898"/>
    <w:rsid w:val="00DF75A3"/>
    <w:rsid w:val="00DF78C2"/>
    <w:rsid w:val="00DF78F7"/>
    <w:rsid w:val="00E005A1"/>
    <w:rsid w:val="00E00661"/>
    <w:rsid w:val="00E00806"/>
    <w:rsid w:val="00E00B96"/>
    <w:rsid w:val="00E00F01"/>
    <w:rsid w:val="00E00FCF"/>
    <w:rsid w:val="00E01027"/>
    <w:rsid w:val="00E012D2"/>
    <w:rsid w:val="00E01A61"/>
    <w:rsid w:val="00E01D64"/>
    <w:rsid w:val="00E028D5"/>
    <w:rsid w:val="00E02BD2"/>
    <w:rsid w:val="00E047EC"/>
    <w:rsid w:val="00E0516B"/>
    <w:rsid w:val="00E0518A"/>
    <w:rsid w:val="00E0524C"/>
    <w:rsid w:val="00E05A59"/>
    <w:rsid w:val="00E066F6"/>
    <w:rsid w:val="00E07077"/>
    <w:rsid w:val="00E07290"/>
    <w:rsid w:val="00E079D6"/>
    <w:rsid w:val="00E118B7"/>
    <w:rsid w:val="00E120E2"/>
    <w:rsid w:val="00E121AE"/>
    <w:rsid w:val="00E126B8"/>
    <w:rsid w:val="00E127A0"/>
    <w:rsid w:val="00E1299F"/>
    <w:rsid w:val="00E130DC"/>
    <w:rsid w:val="00E1342B"/>
    <w:rsid w:val="00E1399E"/>
    <w:rsid w:val="00E13FB4"/>
    <w:rsid w:val="00E143A5"/>
    <w:rsid w:val="00E14FC4"/>
    <w:rsid w:val="00E15DCE"/>
    <w:rsid w:val="00E167A3"/>
    <w:rsid w:val="00E16EE2"/>
    <w:rsid w:val="00E170C8"/>
    <w:rsid w:val="00E170DB"/>
    <w:rsid w:val="00E20078"/>
    <w:rsid w:val="00E2114B"/>
    <w:rsid w:val="00E2181D"/>
    <w:rsid w:val="00E21BC3"/>
    <w:rsid w:val="00E221E5"/>
    <w:rsid w:val="00E22289"/>
    <w:rsid w:val="00E22EBC"/>
    <w:rsid w:val="00E23579"/>
    <w:rsid w:val="00E2389F"/>
    <w:rsid w:val="00E23D98"/>
    <w:rsid w:val="00E24394"/>
    <w:rsid w:val="00E24C10"/>
    <w:rsid w:val="00E24C96"/>
    <w:rsid w:val="00E255D4"/>
    <w:rsid w:val="00E25AD1"/>
    <w:rsid w:val="00E25BFD"/>
    <w:rsid w:val="00E25D46"/>
    <w:rsid w:val="00E26027"/>
    <w:rsid w:val="00E263F6"/>
    <w:rsid w:val="00E265BE"/>
    <w:rsid w:val="00E27451"/>
    <w:rsid w:val="00E27FBB"/>
    <w:rsid w:val="00E3049F"/>
    <w:rsid w:val="00E30C70"/>
    <w:rsid w:val="00E310B5"/>
    <w:rsid w:val="00E311CB"/>
    <w:rsid w:val="00E3131A"/>
    <w:rsid w:val="00E31482"/>
    <w:rsid w:val="00E31B2F"/>
    <w:rsid w:val="00E31CFB"/>
    <w:rsid w:val="00E31E89"/>
    <w:rsid w:val="00E31F57"/>
    <w:rsid w:val="00E31FD6"/>
    <w:rsid w:val="00E32605"/>
    <w:rsid w:val="00E32992"/>
    <w:rsid w:val="00E32BA5"/>
    <w:rsid w:val="00E33342"/>
    <w:rsid w:val="00E33F65"/>
    <w:rsid w:val="00E33F86"/>
    <w:rsid w:val="00E34AD5"/>
    <w:rsid w:val="00E34BFD"/>
    <w:rsid w:val="00E350B1"/>
    <w:rsid w:val="00E3526B"/>
    <w:rsid w:val="00E3565E"/>
    <w:rsid w:val="00E35C0D"/>
    <w:rsid w:val="00E35E4F"/>
    <w:rsid w:val="00E36225"/>
    <w:rsid w:val="00E373C8"/>
    <w:rsid w:val="00E37699"/>
    <w:rsid w:val="00E379F6"/>
    <w:rsid w:val="00E37C06"/>
    <w:rsid w:val="00E4023E"/>
    <w:rsid w:val="00E4040A"/>
    <w:rsid w:val="00E40460"/>
    <w:rsid w:val="00E41A65"/>
    <w:rsid w:val="00E41E1E"/>
    <w:rsid w:val="00E4309F"/>
    <w:rsid w:val="00E430D8"/>
    <w:rsid w:val="00E436AE"/>
    <w:rsid w:val="00E43F47"/>
    <w:rsid w:val="00E44DEF"/>
    <w:rsid w:val="00E4522B"/>
    <w:rsid w:val="00E45C9F"/>
    <w:rsid w:val="00E46D02"/>
    <w:rsid w:val="00E474B6"/>
    <w:rsid w:val="00E474CA"/>
    <w:rsid w:val="00E47737"/>
    <w:rsid w:val="00E502FC"/>
    <w:rsid w:val="00E50857"/>
    <w:rsid w:val="00E50D56"/>
    <w:rsid w:val="00E51A05"/>
    <w:rsid w:val="00E53087"/>
    <w:rsid w:val="00E53561"/>
    <w:rsid w:val="00E543E9"/>
    <w:rsid w:val="00E54ADC"/>
    <w:rsid w:val="00E555E1"/>
    <w:rsid w:val="00E55801"/>
    <w:rsid w:val="00E55881"/>
    <w:rsid w:val="00E55C60"/>
    <w:rsid w:val="00E5600F"/>
    <w:rsid w:val="00E566CC"/>
    <w:rsid w:val="00E56FF3"/>
    <w:rsid w:val="00E57CE5"/>
    <w:rsid w:val="00E60AE6"/>
    <w:rsid w:val="00E60BCC"/>
    <w:rsid w:val="00E60E7C"/>
    <w:rsid w:val="00E615DF"/>
    <w:rsid w:val="00E620C5"/>
    <w:rsid w:val="00E62371"/>
    <w:rsid w:val="00E62817"/>
    <w:rsid w:val="00E62CF6"/>
    <w:rsid w:val="00E63C5A"/>
    <w:rsid w:val="00E63D44"/>
    <w:rsid w:val="00E64284"/>
    <w:rsid w:val="00E64405"/>
    <w:rsid w:val="00E6589A"/>
    <w:rsid w:val="00E67119"/>
    <w:rsid w:val="00E67989"/>
    <w:rsid w:val="00E67A23"/>
    <w:rsid w:val="00E70462"/>
    <w:rsid w:val="00E70699"/>
    <w:rsid w:val="00E714D6"/>
    <w:rsid w:val="00E7243B"/>
    <w:rsid w:val="00E72974"/>
    <w:rsid w:val="00E72EDA"/>
    <w:rsid w:val="00E7311E"/>
    <w:rsid w:val="00E734F2"/>
    <w:rsid w:val="00E7422D"/>
    <w:rsid w:val="00E74536"/>
    <w:rsid w:val="00E77005"/>
    <w:rsid w:val="00E772FB"/>
    <w:rsid w:val="00E776D1"/>
    <w:rsid w:val="00E77ACD"/>
    <w:rsid w:val="00E77D59"/>
    <w:rsid w:val="00E810CE"/>
    <w:rsid w:val="00E815A5"/>
    <w:rsid w:val="00E815F2"/>
    <w:rsid w:val="00E81BA4"/>
    <w:rsid w:val="00E8215E"/>
    <w:rsid w:val="00E82A46"/>
    <w:rsid w:val="00E8415E"/>
    <w:rsid w:val="00E84199"/>
    <w:rsid w:val="00E84457"/>
    <w:rsid w:val="00E859F4"/>
    <w:rsid w:val="00E85E54"/>
    <w:rsid w:val="00E861A0"/>
    <w:rsid w:val="00E8635A"/>
    <w:rsid w:val="00E865E3"/>
    <w:rsid w:val="00E876B7"/>
    <w:rsid w:val="00E8777F"/>
    <w:rsid w:val="00E900C1"/>
    <w:rsid w:val="00E9101E"/>
    <w:rsid w:val="00E91450"/>
    <w:rsid w:val="00E91C1B"/>
    <w:rsid w:val="00E92D5D"/>
    <w:rsid w:val="00E92F0C"/>
    <w:rsid w:val="00E9309A"/>
    <w:rsid w:val="00E931F7"/>
    <w:rsid w:val="00E93B65"/>
    <w:rsid w:val="00E93F47"/>
    <w:rsid w:val="00E940AB"/>
    <w:rsid w:val="00E94B3A"/>
    <w:rsid w:val="00E94B94"/>
    <w:rsid w:val="00E9520F"/>
    <w:rsid w:val="00E96538"/>
    <w:rsid w:val="00E9666B"/>
    <w:rsid w:val="00E969DE"/>
    <w:rsid w:val="00E976AB"/>
    <w:rsid w:val="00EA0FE6"/>
    <w:rsid w:val="00EA1188"/>
    <w:rsid w:val="00EA12F7"/>
    <w:rsid w:val="00EA13C5"/>
    <w:rsid w:val="00EA1B1E"/>
    <w:rsid w:val="00EA1BBD"/>
    <w:rsid w:val="00EA1BE7"/>
    <w:rsid w:val="00EA22FA"/>
    <w:rsid w:val="00EA2AE9"/>
    <w:rsid w:val="00EA318D"/>
    <w:rsid w:val="00EA390E"/>
    <w:rsid w:val="00EA3B28"/>
    <w:rsid w:val="00EA3EC9"/>
    <w:rsid w:val="00EA4175"/>
    <w:rsid w:val="00EA44E7"/>
    <w:rsid w:val="00EA4582"/>
    <w:rsid w:val="00EA5CCE"/>
    <w:rsid w:val="00EA5F1D"/>
    <w:rsid w:val="00EA6281"/>
    <w:rsid w:val="00EA6762"/>
    <w:rsid w:val="00EA70AB"/>
    <w:rsid w:val="00EA718E"/>
    <w:rsid w:val="00EA734E"/>
    <w:rsid w:val="00EA79EC"/>
    <w:rsid w:val="00EA7D17"/>
    <w:rsid w:val="00EB0A0B"/>
    <w:rsid w:val="00EB1A8A"/>
    <w:rsid w:val="00EB258F"/>
    <w:rsid w:val="00EB26F2"/>
    <w:rsid w:val="00EB2D35"/>
    <w:rsid w:val="00EB3B92"/>
    <w:rsid w:val="00EB40DF"/>
    <w:rsid w:val="00EB43D7"/>
    <w:rsid w:val="00EB442B"/>
    <w:rsid w:val="00EB453F"/>
    <w:rsid w:val="00EB4DB4"/>
    <w:rsid w:val="00EB5578"/>
    <w:rsid w:val="00EB579D"/>
    <w:rsid w:val="00EB5828"/>
    <w:rsid w:val="00EB60DC"/>
    <w:rsid w:val="00EB6406"/>
    <w:rsid w:val="00EB6551"/>
    <w:rsid w:val="00EB680C"/>
    <w:rsid w:val="00EB69AD"/>
    <w:rsid w:val="00EB6E23"/>
    <w:rsid w:val="00EC003A"/>
    <w:rsid w:val="00EC0316"/>
    <w:rsid w:val="00EC06EF"/>
    <w:rsid w:val="00EC0B17"/>
    <w:rsid w:val="00EC131E"/>
    <w:rsid w:val="00EC171C"/>
    <w:rsid w:val="00EC190C"/>
    <w:rsid w:val="00EC1B05"/>
    <w:rsid w:val="00EC1B65"/>
    <w:rsid w:val="00EC1DF6"/>
    <w:rsid w:val="00EC1FC0"/>
    <w:rsid w:val="00EC2B52"/>
    <w:rsid w:val="00EC3513"/>
    <w:rsid w:val="00EC37CD"/>
    <w:rsid w:val="00EC3EF1"/>
    <w:rsid w:val="00EC4014"/>
    <w:rsid w:val="00EC409E"/>
    <w:rsid w:val="00EC53AE"/>
    <w:rsid w:val="00EC649A"/>
    <w:rsid w:val="00EC66E7"/>
    <w:rsid w:val="00EC6B6F"/>
    <w:rsid w:val="00EC6C04"/>
    <w:rsid w:val="00EC6F83"/>
    <w:rsid w:val="00EC6F85"/>
    <w:rsid w:val="00EC70DE"/>
    <w:rsid w:val="00EC798C"/>
    <w:rsid w:val="00ED07F7"/>
    <w:rsid w:val="00ED0D62"/>
    <w:rsid w:val="00ED1014"/>
    <w:rsid w:val="00ED18F0"/>
    <w:rsid w:val="00ED1E73"/>
    <w:rsid w:val="00ED227A"/>
    <w:rsid w:val="00ED297D"/>
    <w:rsid w:val="00ED2BE0"/>
    <w:rsid w:val="00ED3572"/>
    <w:rsid w:val="00ED3876"/>
    <w:rsid w:val="00ED3BE1"/>
    <w:rsid w:val="00ED40BB"/>
    <w:rsid w:val="00ED486B"/>
    <w:rsid w:val="00ED54FB"/>
    <w:rsid w:val="00ED553F"/>
    <w:rsid w:val="00ED5551"/>
    <w:rsid w:val="00ED59A7"/>
    <w:rsid w:val="00ED5B30"/>
    <w:rsid w:val="00ED5D81"/>
    <w:rsid w:val="00ED6206"/>
    <w:rsid w:val="00ED6402"/>
    <w:rsid w:val="00ED6A56"/>
    <w:rsid w:val="00ED73DA"/>
    <w:rsid w:val="00EE04E7"/>
    <w:rsid w:val="00EE05C5"/>
    <w:rsid w:val="00EE0965"/>
    <w:rsid w:val="00EE099B"/>
    <w:rsid w:val="00EE158B"/>
    <w:rsid w:val="00EE1714"/>
    <w:rsid w:val="00EE1D47"/>
    <w:rsid w:val="00EE1DF6"/>
    <w:rsid w:val="00EE1E75"/>
    <w:rsid w:val="00EE25D1"/>
    <w:rsid w:val="00EE2CEE"/>
    <w:rsid w:val="00EE2D51"/>
    <w:rsid w:val="00EE33FF"/>
    <w:rsid w:val="00EE3621"/>
    <w:rsid w:val="00EE516E"/>
    <w:rsid w:val="00EE56E1"/>
    <w:rsid w:val="00EE5A03"/>
    <w:rsid w:val="00EE5DFD"/>
    <w:rsid w:val="00EE7242"/>
    <w:rsid w:val="00EE7310"/>
    <w:rsid w:val="00EE7ADC"/>
    <w:rsid w:val="00EE7D04"/>
    <w:rsid w:val="00EE7D70"/>
    <w:rsid w:val="00EF027A"/>
    <w:rsid w:val="00EF07A6"/>
    <w:rsid w:val="00EF0AEC"/>
    <w:rsid w:val="00EF1016"/>
    <w:rsid w:val="00EF233C"/>
    <w:rsid w:val="00EF24E3"/>
    <w:rsid w:val="00EF26ED"/>
    <w:rsid w:val="00EF28EA"/>
    <w:rsid w:val="00EF37A0"/>
    <w:rsid w:val="00EF39F2"/>
    <w:rsid w:val="00EF3A87"/>
    <w:rsid w:val="00EF3DE0"/>
    <w:rsid w:val="00EF4170"/>
    <w:rsid w:val="00EF4A65"/>
    <w:rsid w:val="00EF5336"/>
    <w:rsid w:val="00EF5AA9"/>
    <w:rsid w:val="00EF5CAF"/>
    <w:rsid w:val="00EF5F68"/>
    <w:rsid w:val="00EF6551"/>
    <w:rsid w:val="00EF6F56"/>
    <w:rsid w:val="00EF768D"/>
    <w:rsid w:val="00EF77FD"/>
    <w:rsid w:val="00EF78DE"/>
    <w:rsid w:val="00F002BB"/>
    <w:rsid w:val="00F00FAB"/>
    <w:rsid w:val="00F0110F"/>
    <w:rsid w:val="00F01D5A"/>
    <w:rsid w:val="00F026CB"/>
    <w:rsid w:val="00F02EBC"/>
    <w:rsid w:val="00F03263"/>
    <w:rsid w:val="00F04F27"/>
    <w:rsid w:val="00F0533C"/>
    <w:rsid w:val="00F056A9"/>
    <w:rsid w:val="00F05E8C"/>
    <w:rsid w:val="00F05ED2"/>
    <w:rsid w:val="00F0655C"/>
    <w:rsid w:val="00F06639"/>
    <w:rsid w:val="00F06F89"/>
    <w:rsid w:val="00F07398"/>
    <w:rsid w:val="00F1008B"/>
    <w:rsid w:val="00F10374"/>
    <w:rsid w:val="00F10820"/>
    <w:rsid w:val="00F1089E"/>
    <w:rsid w:val="00F111DA"/>
    <w:rsid w:val="00F113AB"/>
    <w:rsid w:val="00F11555"/>
    <w:rsid w:val="00F11D50"/>
    <w:rsid w:val="00F121F8"/>
    <w:rsid w:val="00F12F2C"/>
    <w:rsid w:val="00F13013"/>
    <w:rsid w:val="00F13204"/>
    <w:rsid w:val="00F133CE"/>
    <w:rsid w:val="00F148E8"/>
    <w:rsid w:val="00F150BC"/>
    <w:rsid w:val="00F15B96"/>
    <w:rsid w:val="00F15C86"/>
    <w:rsid w:val="00F15CDE"/>
    <w:rsid w:val="00F162C6"/>
    <w:rsid w:val="00F1635C"/>
    <w:rsid w:val="00F163C8"/>
    <w:rsid w:val="00F16711"/>
    <w:rsid w:val="00F16F25"/>
    <w:rsid w:val="00F176A5"/>
    <w:rsid w:val="00F17767"/>
    <w:rsid w:val="00F178C2"/>
    <w:rsid w:val="00F200E2"/>
    <w:rsid w:val="00F20172"/>
    <w:rsid w:val="00F2066A"/>
    <w:rsid w:val="00F212F0"/>
    <w:rsid w:val="00F218EA"/>
    <w:rsid w:val="00F21ACE"/>
    <w:rsid w:val="00F22516"/>
    <w:rsid w:val="00F22B18"/>
    <w:rsid w:val="00F22FCF"/>
    <w:rsid w:val="00F23BDF"/>
    <w:rsid w:val="00F248FE"/>
    <w:rsid w:val="00F24BD5"/>
    <w:rsid w:val="00F24C71"/>
    <w:rsid w:val="00F24F03"/>
    <w:rsid w:val="00F2513C"/>
    <w:rsid w:val="00F25525"/>
    <w:rsid w:val="00F2647A"/>
    <w:rsid w:val="00F26874"/>
    <w:rsid w:val="00F26B0A"/>
    <w:rsid w:val="00F272CB"/>
    <w:rsid w:val="00F27A67"/>
    <w:rsid w:val="00F300E8"/>
    <w:rsid w:val="00F302A2"/>
    <w:rsid w:val="00F30327"/>
    <w:rsid w:val="00F30F5A"/>
    <w:rsid w:val="00F311FA"/>
    <w:rsid w:val="00F31302"/>
    <w:rsid w:val="00F31320"/>
    <w:rsid w:val="00F32979"/>
    <w:rsid w:val="00F336BA"/>
    <w:rsid w:val="00F33F8D"/>
    <w:rsid w:val="00F341A2"/>
    <w:rsid w:val="00F343BE"/>
    <w:rsid w:val="00F347FA"/>
    <w:rsid w:val="00F3497A"/>
    <w:rsid w:val="00F34CBE"/>
    <w:rsid w:val="00F3548A"/>
    <w:rsid w:val="00F35C6B"/>
    <w:rsid w:val="00F3616C"/>
    <w:rsid w:val="00F36229"/>
    <w:rsid w:val="00F36541"/>
    <w:rsid w:val="00F37026"/>
    <w:rsid w:val="00F3742B"/>
    <w:rsid w:val="00F37475"/>
    <w:rsid w:val="00F374E9"/>
    <w:rsid w:val="00F37A24"/>
    <w:rsid w:val="00F37C37"/>
    <w:rsid w:val="00F37DE7"/>
    <w:rsid w:val="00F40BA0"/>
    <w:rsid w:val="00F40E5B"/>
    <w:rsid w:val="00F40FEA"/>
    <w:rsid w:val="00F40FF6"/>
    <w:rsid w:val="00F41F88"/>
    <w:rsid w:val="00F41FFE"/>
    <w:rsid w:val="00F4234B"/>
    <w:rsid w:val="00F435DA"/>
    <w:rsid w:val="00F43C68"/>
    <w:rsid w:val="00F44768"/>
    <w:rsid w:val="00F44939"/>
    <w:rsid w:val="00F44EFC"/>
    <w:rsid w:val="00F45134"/>
    <w:rsid w:val="00F451A6"/>
    <w:rsid w:val="00F4541A"/>
    <w:rsid w:val="00F45706"/>
    <w:rsid w:val="00F457AA"/>
    <w:rsid w:val="00F45C70"/>
    <w:rsid w:val="00F45F52"/>
    <w:rsid w:val="00F460C0"/>
    <w:rsid w:val="00F46477"/>
    <w:rsid w:val="00F46A3B"/>
    <w:rsid w:val="00F46ECA"/>
    <w:rsid w:val="00F46F5D"/>
    <w:rsid w:val="00F47474"/>
    <w:rsid w:val="00F474E0"/>
    <w:rsid w:val="00F47519"/>
    <w:rsid w:val="00F47A6F"/>
    <w:rsid w:val="00F47FFD"/>
    <w:rsid w:val="00F503BE"/>
    <w:rsid w:val="00F50E22"/>
    <w:rsid w:val="00F50EB8"/>
    <w:rsid w:val="00F514C5"/>
    <w:rsid w:val="00F52159"/>
    <w:rsid w:val="00F52A8C"/>
    <w:rsid w:val="00F52C75"/>
    <w:rsid w:val="00F53006"/>
    <w:rsid w:val="00F5354F"/>
    <w:rsid w:val="00F537EC"/>
    <w:rsid w:val="00F540A0"/>
    <w:rsid w:val="00F55306"/>
    <w:rsid w:val="00F55433"/>
    <w:rsid w:val="00F5561C"/>
    <w:rsid w:val="00F55B85"/>
    <w:rsid w:val="00F55DCC"/>
    <w:rsid w:val="00F56066"/>
    <w:rsid w:val="00F56240"/>
    <w:rsid w:val="00F5664D"/>
    <w:rsid w:val="00F56BA2"/>
    <w:rsid w:val="00F56C72"/>
    <w:rsid w:val="00F56CE1"/>
    <w:rsid w:val="00F57631"/>
    <w:rsid w:val="00F5780E"/>
    <w:rsid w:val="00F60318"/>
    <w:rsid w:val="00F607B7"/>
    <w:rsid w:val="00F60DF1"/>
    <w:rsid w:val="00F61727"/>
    <w:rsid w:val="00F61D63"/>
    <w:rsid w:val="00F61F88"/>
    <w:rsid w:val="00F62732"/>
    <w:rsid w:val="00F62C2F"/>
    <w:rsid w:val="00F63957"/>
    <w:rsid w:val="00F6403E"/>
    <w:rsid w:val="00F6432D"/>
    <w:rsid w:val="00F64400"/>
    <w:rsid w:val="00F64462"/>
    <w:rsid w:val="00F646C3"/>
    <w:rsid w:val="00F64A62"/>
    <w:rsid w:val="00F64E47"/>
    <w:rsid w:val="00F65BE1"/>
    <w:rsid w:val="00F65CEE"/>
    <w:rsid w:val="00F6649B"/>
    <w:rsid w:val="00F6659A"/>
    <w:rsid w:val="00F66935"/>
    <w:rsid w:val="00F66ABF"/>
    <w:rsid w:val="00F66EC2"/>
    <w:rsid w:val="00F66FC4"/>
    <w:rsid w:val="00F67115"/>
    <w:rsid w:val="00F675EB"/>
    <w:rsid w:val="00F710E2"/>
    <w:rsid w:val="00F71504"/>
    <w:rsid w:val="00F71924"/>
    <w:rsid w:val="00F71D77"/>
    <w:rsid w:val="00F71E80"/>
    <w:rsid w:val="00F72365"/>
    <w:rsid w:val="00F72497"/>
    <w:rsid w:val="00F72531"/>
    <w:rsid w:val="00F7297D"/>
    <w:rsid w:val="00F72F29"/>
    <w:rsid w:val="00F7380B"/>
    <w:rsid w:val="00F740BB"/>
    <w:rsid w:val="00F741DF"/>
    <w:rsid w:val="00F74DF8"/>
    <w:rsid w:val="00F7529B"/>
    <w:rsid w:val="00F75533"/>
    <w:rsid w:val="00F75894"/>
    <w:rsid w:val="00F76229"/>
    <w:rsid w:val="00F764AA"/>
    <w:rsid w:val="00F76610"/>
    <w:rsid w:val="00F769BA"/>
    <w:rsid w:val="00F76FBC"/>
    <w:rsid w:val="00F77149"/>
    <w:rsid w:val="00F771AC"/>
    <w:rsid w:val="00F77FE6"/>
    <w:rsid w:val="00F801BA"/>
    <w:rsid w:val="00F803EE"/>
    <w:rsid w:val="00F80BC8"/>
    <w:rsid w:val="00F80FB7"/>
    <w:rsid w:val="00F813CF"/>
    <w:rsid w:val="00F8197E"/>
    <w:rsid w:val="00F8209C"/>
    <w:rsid w:val="00F823BB"/>
    <w:rsid w:val="00F82B22"/>
    <w:rsid w:val="00F82B34"/>
    <w:rsid w:val="00F83394"/>
    <w:rsid w:val="00F8393D"/>
    <w:rsid w:val="00F83AD0"/>
    <w:rsid w:val="00F8413E"/>
    <w:rsid w:val="00F850BE"/>
    <w:rsid w:val="00F853B9"/>
    <w:rsid w:val="00F854F9"/>
    <w:rsid w:val="00F855EB"/>
    <w:rsid w:val="00F86535"/>
    <w:rsid w:val="00F86BBA"/>
    <w:rsid w:val="00F86F46"/>
    <w:rsid w:val="00F87871"/>
    <w:rsid w:val="00F87CE3"/>
    <w:rsid w:val="00F908CB"/>
    <w:rsid w:val="00F90942"/>
    <w:rsid w:val="00F90ABB"/>
    <w:rsid w:val="00F91511"/>
    <w:rsid w:val="00F929AF"/>
    <w:rsid w:val="00F92D5E"/>
    <w:rsid w:val="00F9378C"/>
    <w:rsid w:val="00F93DD5"/>
    <w:rsid w:val="00F94DB7"/>
    <w:rsid w:val="00F95CD2"/>
    <w:rsid w:val="00F968AD"/>
    <w:rsid w:val="00F96EB8"/>
    <w:rsid w:val="00FA0674"/>
    <w:rsid w:val="00FA0835"/>
    <w:rsid w:val="00FA0F5B"/>
    <w:rsid w:val="00FA10A3"/>
    <w:rsid w:val="00FA11ED"/>
    <w:rsid w:val="00FA12D1"/>
    <w:rsid w:val="00FA1CC4"/>
    <w:rsid w:val="00FA210B"/>
    <w:rsid w:val="00FA2387"/>
    <w:rsid w:val="00FA2F05"/>
    <w:rsid w:val="00FA421E"/>
    <w:rsid w:val="00FA427B"/>
    <w:rsid w:val="00FA45E9"/>
    <w:rsid w:val="00FA4B0A"/>
    <w:rsid w:val="00FA4FE8"/>
    <w:rsid w:val="00FA5585"/>
    <w:rsid w:val="00FA6BF4"/>
    <w:rsid w:val="00FA6DB8"/>
    <w:rsid w:val="00FA6FB0"/>
    <w:rsid w:val="00FA71FC"/>
    <w:rsid w:val="00FA727F"/>
    <w:rsid w:val="00FA7612"/>
    <w:rsid w:val="00FA7D80"/>
    <w:rsid w:val="00FA7F51"/>
    <w:rsid w:val="00FB0815"/>
    <w:rsid w:val="00FB0C7A"/>
    <w:rsid w:val="00FB13CA"/>
    <w:rsid w:val="00FB1541"/>
    <w:rsid w:val="00FB169F"/>
    <w:rsid w:val="00FB1705"/>
    <w:rsid w:val="00FB1762"/>
    <w:rsid w:val="00FB1CD2"/>
    <w:rsid w:val="00FB2015"/>
    <w:rsid w:val="00FB2504"/>
    <w:rsid w:val="00FB3B02"/>
    <w:rsid w:val="00FB5A6C"/>
    <w:rsid w:val="00FB624C"/>
    <w:rsid w:val="00FB6D3E"/>
    <w:rsid w:val="00FB7171"/>
    <w:rsid w:val="00FB7414"/>
    <w:rsid w:val="00FC03F1"/>
    <w:rsid w:val="00FC0440"/>
    <w:rsid w:val="00FC05B1"/>
    <w:rsid w:val="00FC0A13"/>
    <w:rsid w:val="00FC0D0E"/>
    <w:rsid w:val="00FC135B"/>
    <w:rsid w:val="00FC13E5"/>
    <w:rsid w:val="00FC25B6"/>
    <w:rsid w:val="00FC284E"/>
    <w:rsid w:val="00FC31D5"/>
    <w:rsid w:val="00FC3D23"/>
    <w:rsid w:val="00FC40FC"/>
    <w:rsid w:val="00FC5604"/>
    <w:rsid w:val="00FC6DA8"/>
    <w:rsid w:val="00FC7163"/>
    <w:rsid w:val="00FC7A3A"/>
    <w:rsid w:val="00FC7B57"/>
    <w:rsid w:val="00FD1F2A"/>
    <w:rsid w:val="00FD21CE"/>
    <w:rsid w:val="00FD26D2"/>
    <w:rsid w:val="00FD3822"/>
    <w:rsid w:val="00FD3A44"/>
    <w:rsid w:val="00FD41D9"/>
    <w:rsid w:val="00FD4589"/>
    <w:rsid w:val="00FD4AF8"/>
    <w:rsid w:val="00FD4B65"/>
    <w:rsid w:val="00FD50DA"/>
    <w:rsid w:val="00FD5555"/>
    <w:rsid w:val="00FD7760"/>
    <w:rsid w:val="00FD7EA1"/>
    <w:rsid w:val="00FE0269"/>
    <w:rsid w:val="00FE0F79"/>
    <w:rsid w:val="00FE1395"/>
    <w:rsid w:val="00FE211B"/>
    <w:rsid w:val="00FE2900"/>
    <w:rsid w:val="00FE2A45"/>
    <w:rsid w:val="00FE3073"/>
    <w:rsid w:val="00FE3483"/>
    <w:rsid w:val="00FE36CB"/>
    <w:rsid w:val="00FE3782"/>
    <w:rsid w:val="00FE3CBC"/>
    <w:rsid w:val="00FE4928"/>
    <w:rsid w:val="00FE4C54"/>
    <w:rsid w:val="00FE4E68"/>
    <w:rsid w:val="00FE572D"/>
    <w:rsid w:val="00FE6AB0"/>
    <w:rsid w:val="00FE7DBD"/>
    <w:rsid w:val="00FE7E1A"/>
    <w:rsid w:val="00FE7F13"/>
    <w:rsid w:val="00FF0737"/>
    <w:rsid w:val="00FF0C3D"/>
    <w:rsid w:val="00FF2750"/>
    <w:rsid w:val="00FF34FD"/>
    <w:rsid w:val="00FF3C37"/>
    <w:rsid w:val="00FF41EF"/>
    <w:rsid w:val="00FF471B"/>
    <w:rsid w:val="00FF60DC"/>
    <w:rsid w:val="00FF6481"/>
    <w:rsid w:val="00FF6F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black"/>
    </o:shapedefaults>
    <o:shapelayout v:ext="edit">
      <o:idmap v:ext="edit" data="2"/>
    </o:shapelayout>
  </w:shapeDefaults>
  <w:decimalSymbol w:val=","/>
  <w:listSeparator w:val=";"/>
  <w14:docId w14:val="47C32295"/>
  <w15:chartTrackingRefBased/>
  <w15:docId w15:val="{8A10D057-3F4F-49E6-86CB-5E7AA8FA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CR" w:eastAsia="es-CR"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0" w:unhideWhenUsed="1" w:qFormat="1"/>
    <w:lsdException w:name="annotation text" w:semiHidden="1" w:uiPriority="0" w:unhideWhenUsed="1"/>
    <w:lsdException w:name="header" w:locked="0" w:semiHidden="1" w:unhideWhenUsed="1"/>
    <w:lsdException w:name="footer" w:locked="0"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0"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94189"/>
    <w:pPr>
      <w:spacing w:before="160" w:after="120" w:line="276" w:lineRule="auto"/>
      <w:jc w:val="both"/>
    </w:pPr>
    <w:rPr>
      <w:rFonts w:ascii="Arial" w:hAnsi="Arial"/>
      <w:szCs w:val="24"/>
      <w:lang w:eastAsia="en-US"/>
    </w:rPr>
  </w:style>
  <w:style w:type="paragraph" w:styleId="Ttulo1">
    <w:name w:val="heading 1"/>
    <w:next w:val="Normal"/>
    <w:link w:val="Ttulo1Car"/>
    <w:qFormat/>
    <w:rsid w:val="00BA58A8"/>
    <w:pPr>
      <w:keepNext/>
      <w:numPr>
        <w:numId w:val="1"/>
      </w:numPr>
      <w:suppressAutoHyphens/>
      <w:spacing w:before="240" w:after="120"/>
      <w:jc w:val="both"/>
      <w:outlineLvl w:val="0"/>
    </w:pPr>
    <w:rPr>
      <w:rFonts w:ascii="Arial" w:hAnsi="Arial"/>
      <w:b/>
      <w:snapToGrid w:val="0"/>
      <w:kern w:val="28"/>
      <w:sz w:val="24"/>
      <w:szCs w:val="24"/>
      <w:lang w:val="es-ES_tradnl" w:eastAsia="es-ES"/>
    </w:rPr>
  </w:style>
  <w:style w:type="paragraph" w:styleId="Ttulo2">
    <w:name w:val="heading 2"/>
    <w:aliases w:val="CAPÍTULO,Car10"/>
    <w:basedOn w:val="Ttulo1"/>
    <w:next w:val="Normal"/>
    <w:link w:val="Ttulo2Car"/>
    <w:uiPriority w:val="99"/>
    <w:qFormat/>
    <w:rsid w:val="0062349A"/>
    <w:pPr>
      <w:keepNext w:val="0"/>
      <w:numPr>
        <w:ilvl w:val="1"/>
      </w:numPr>
      <w:spacing w:before="120"/>
      <w:outlineLvl w:val="1"/>
    </w:pPr>
    <w:rPr>
      <w:sz w:val="22"/>
      <w:szCs w:val="22"/>
    </w:rPr>
  </w:style>
  <w:style w:type="paragraph" w:styleId="Ttulo3">
    <w:name w:val="heading 3"/>
    <w:basedOn w:val="Ttulo1"/>
    <w:next w:val="Normal"/>
    <w:link w:val="Ttulo3Car"/>
    <w:uiPriority w:val="99"/>
    <w:qFormat/>
    <w:rsid w:val="0062349A"/>
    <w:pPr>
      <w:numPr>
        <w:ilvl w:val="2"/>
      </w:numPr>
      <w:spacing w:before="120"/>
      <w:outlineLvl w:val="2"/>
    </w:pPr>
    <w:rPr>
      <w:sz w:val="20"/>
    </w:rPr>
  </w:style>
  <w:style w:type="paragraph" w:styleId="Ttulo4">
    <w:name w:val="heading 4"/>
    <w:basedOn w:val="Ttulo1"/>
    <w:next w:val="Normal"/>
    <w:link w:val="Ttulo4Car"/>
    <w:uiPriority w:val="99"/>
    <w:qFormat/>
    <w:rsid w:val="0062349A"/>
    <w:pPr>
      <w:numPr>
        <w:ilvl w:val="3"/>
      </w:numPr>
      <w:spacing w:before="120"/>
      <w:outlineLvl w:val="3"/>
    </w:pPr>
    <w:rPr>
      <w:sz w:val="20"/>
    </w:rPr>
  </w:style>
  <w:style w:type="paragraph" w:styleId="Ttulo5">
    <w:name w:val="heading 5"/>
    <w:basedOn w:val="Normal"/>
    <w:next w:val="Normal"/>
    <w:link w:val="Ttulo5Car"/>
    <w:qFormat/>
    <w:locked/>
    <w:rsid w:val="007C6013"/>
    <w:pPr>
      <w:numPr>
        <w:ilvl w:val="4"/>
        <w:numId w:val="1"/>
      </w:numPr>
      <w:spacing w:before="120"/>
      <w:outlineLvl w:val="4"/>
    </w:pPr>
    <w:rPr>
      <w:b/>
      <w:snapToGrid w:val="0"/>
      <w:szCs w:val="20"/>
      <w:lang w:val="es-ES_tradnl" w:eastAsia="es-ES"/>
    </w:rPr>
  </w:style>
  <w:style w:type="paragraph" w:styleId="Ttulo6">
    <w:name w:val="heading 6"/>
    <w:basedOn w:val="Normal"/>
    <w:next w:val="Normal"/>
    <w:link w:val="Ttulo6Car"/>
    <w:qFormat/>
    <w:locked/>
    <w:rsid w:val="007C6013"/>
    <w:pPr>
      <w:numPr>
        <w:ilvl w:val="5"/>
        <w:numId w:val="1"/>
      </w:numPr>
      <w:spacing w:before="120"/>
      <w:outlineLvl w:val="5"/>
    </w:pPr>
    <w:rPr>
      <w:b/>
      <w:snapToGrid w:val="0"/>
      <w:szCs w:val="18"/>
      <w:lang w:val="es-ES_tradnl" w:eastAsia="es-ES"/>
    </w:rPr>
  </w:style>
  <w:style w:type="paragraph" w:styleId="Ttulo7">
    <w:name w:val="heading 7"/>
    <w:basedOn w:val="Normal"/>
    <w:next w:val="Normal"/>
    <w:link w:val="Ttulo7Car"/>
    <w:qFormat/>
    <w:locked/>
    <w:rsid w:val="007C6013"/>
    <w:pPr>
      <w:numPr>
        <w:ilvl w:val="6"/>
        <w:numId w:val="1"/>
      </w:numPr>
      <w:spacing w:before="120"/>
      <w:outlineLvl w:val="6"/>
    </w:pPr>
    <w:rPr>
      <w:b/>
      <w:snapToGrid w:val="0"/>
      <w:szCs w:val="20"/>
      <w:lang w:val="es-ES_tradnl" w:eastAsia="es-ES"/>
    </w:rPr>
  </w:style>
  <w:style w:type="paragraph" w:styleId="Ttulo8">
    <w:name w:val="heading 8"/>
    <w:basedOn w:val="Normal"/>
    <w:next w:val="Normal"/>
    <w:link w:val="Ttulo8Car"/>
    <w:qFormat/>
    <w:locked/>
    <w:rsid w:val="007C6013"/>
    <w:pPr>
      <w:numPr>
        <w:ilvl w:val="7"/>
        <w:numId w:val="1"/>
      </w:numPr>
      <w:spacing w:before="120"/>
      <w:outlineLvl w:val="7"/>
    </w:pPr>
    <w:rPr>
      <w:b/>
      <w:snapToGrid w:val="0"/>
      <w:szCs w:val="18"/>
      <w:lang w:val="es-ES_tradnl" w:eastAsia="es-ES"/>
    </w:rPr>
  </w:style>
  <w:style w:type="paragraph" w:styleId="Ttulo9">
    <w:name w:val="heading 9"/>
    <w:basedOn w:val="ListaNivel2"/>
    <w:next w:val="Normal"/>
    <w:link w:val="Ttulo9Car"/>
    <w:qFormat/>
    <w:locked/>
    <w:rsid w:val="007C6013"/>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A58A8"/>
    <w:rPr>
      <w:rFonts w:ascii="Arial" w:hAnsi="Arial"/>
      <w:b/>
      <w:snapToGrid w:val="0"/>
      <w:kern w:val="28"/>
      <w:sz w:val="24"/>
      <w:szCs w:val="24"/>
      <w:lang w:val="es-ES_tradnl" w:eastAsia="es-ES"/>
    </w:rPr>
  </w:style>
  <w:style w:type="character" w:customStyle="1" w:styleId="Ttulo2Car">
    <w:name w:val="Título 2 Car"/>
    <w:aliases w:val="CAPÍTULO Car,Car10 Car"/>
    <w:link w:val="Ttulo2"/>
    <w:uiPriority w:val="99"/>
    <w:rsid w:val="0062349A"/>
    <w:rPr>
      <w:rFonts w:ascii="Arial" w:hAnsi="Arial"/>
      <w:b/>
      <w:snapToGrid w:val="0"/>
      <w:kern w:val="28"/>
      <w:sz w:val="22"/>
      <w:szCs w:val="22"/>
      <w:lang w:val="es-ES_tradnl" w:eastAsia="es-ES"/>
    </w:rPr>
  </w:style>
  <w:style w:type="character" w:customStyle="1" w:styleId="Ttulo3Car">
    <w:name w:val="Título 3 Car"/>
    <w:link w:val="Ttulo3"/>
    <w:uiPriority w:val="99"/>
    <w:rsid w:val="0062349A"/>
    <w:rPr>
      <w:rFonts w:ascii="Arial" w:hAnsi="Arial"/>
      <w:b/>
      <w:snapToGrid w:val="0"/>
      <w:kern w:val="28"/>
      <w:szCs w:val="24"/>
      <w:lang w:val="es-ES_tradnl" w:eastAsia="es-ES"/>
    </w:rPr>
  </w:style>
  <w:style w:type="character" w:customStyle="1" w:styleId="Ttulo4Car">
    <w:name w:val="Título 4 Car"/>
    <w:link w:val="Ttulo4"/>
    <w:uiPriority w:val="99"/>
    <w:rsid w:val="0062349A"/>
    <w:rPr>
      <w:rFonts w:ascii="Arial" w:hAnsi="Arial"/>
      <w:b/>
      <w:snapToGrid w:val="0"/>
      <w:kern w:val="28"/>
      <w:szCs w:val="24"/>
      <w:lang w:val="es-ES_tradnl" w:eastAsia="es-ES"/>
    </w:rPr>
  </w:style>
  <w:style w:type="character" w:customStyle="1" w:styleId="Ttulo5Car">
    <w:name w:val="Título 5 Car"/>
    <w:link w:val="Ttulo5"/>
    <w:rsid w:val="007C6013"/>
    <w:rPr>
      <w:rFonts w:ascii="Arial" w:hAnsi="Arial"/>
      <w:b/>
      <w:snapToGrid w:val="0"/>
      <w:lang w:val="es-ES_tradnl" w:eastAsia="es-ES"/>
    </w:rPr>
  </w:style>
  <w:style w:type="character" w:customStyle="1" w:styleId="Ttulo6Car">
    <w:name w:val="Título 6 Car"/>
    <w:link w:val="Ttulo6"/>
    <w:rsid w:val="007C6013"/>
    <w:rPr>
      <w:rFonts w:ascii="Arial" w:hAnsi="Arial"/>
      <w:b/>
      <w:snapToGrid w:val="0"/>
      <w:szCs w:val="18"/>
      <w:lang w:val="es-ES_tradnl" w:eastAsia="es-ES"/>
    </w:rPr>
  </w:style>
  <w:style w:type="character" w:customStyle="1" w:styleId="Ttulo7Car">
    <w:name w:val="Título 7 Car"/>
    <w:link w:val="Ttulo7"/>
    <w:rsid w:val="007C6013"/>
    <w:rPr>
      <w:rFonts w:ascii="Arial" w:hAnsi="Arial"/>
      <w:b/>
      <w:snapToGrid w:val="0"/>
      <w:lang w:val="es-ES_tradnl" w:eastAsia="es-ES"/>
    </w:rPr>
  </w:style>
  <w:style w:type="character" w:customStyle="1" w:styleId="Ttulo8Car">
    <w:name w:val="Título 8 Car"/>
    <w:link w:val="Ttulo8"/>
    <w:rsid w:val="007C6013"/>
    <w:rPr>
      <w:rFonts w:ascii="Arial" w:hAnsi="Arial"/>
      <w:b/>
      <w:snapToGrid w:val="0"/>
      <w:szCs w:val="18"/>
      <w:lang w:val="es-ES_tradnl" w:eastAsia="es-ES"/>
    </w:rPr>
  </w:style>
  <w:style w:type="paragraph" w:customStyle="1" w:styleId="ListaNivel2">
    <w:name w:val="Lista Nivel 2"/>
    <w:link w:val="ListaNivel2Car"/>
    <w:qFormat/>
    <w:rsid w:val="009237C9"/>
    <w:pPr>
      <w:tabs>
        <w:tab w:val="num" w:pos="1077"/>
      </w:tabs>
      <w:suppressAutoHyphens/>
      <w:spacing w:before="120" w:after="120"/>
      <w:ind w:left="1077" w:hanging="397"/>
      <w:jc w:val="both"/>
    </w:pPr>
    <w:rPr>
      <w:rFonts w:ascii="Arial" w:hAnsi="Arial"/>
      <w:snapToGrid w:val="0"/>
      <w:szCs w:val="24"/>
      <w:lang w:val="es-ES_tradnl" w:eastAsia="es-ES"/>
    </w:rPr>
  </w:style>
  <w:style w:type="character" w:customStyle="1" w:styleId="ListaNivel2Car">
    <w:name w:val="Lista Nivel 2 Car"/>
    <w:link w:val="ListaNivel2"/>
    <w:rsid w:val="009237C9"/>
    <w:rPr>
      <w:rFonts w:ascii="Arial" w:hAnsi="Arial"/>
      <w:snapToGrid w:val="0"/>
      <w:szCs w:val="24"/>
      <w:lang w:val="es-ES_tradnl" w:eastAsia="es-ES"/>
    </w:rPr>
  </w:style>
  <w:style w:type="character" w:customStyle="1" w:styleId="Ttulo9Car">
    <w:name w:val="Título 9 Car"/>
    <w:link w:val="Ttulo9"/>
    <w:rsid w:val="007C6013"/>
    <w:rPr>
      <w:rFonts w:ascii="Arial" w:hAnsi="Arial"/>
      <w:snapToGrid w:val="0"/>
      <w:szCs w:val="24"/>
      <w:lang w:val="es-ES_tradnl" w:eastAsia="es-ES"/>
    </w:rPr>
  </w:style>
  <w:style w:type="paragraph" w:customStyle="1" w:styleId="ContraportadaCdigo">
    <w:name w:val="Contraportada Código"/>
    <w:qFormat/>
    <w:rsid w:val="007C6013"/>
    <w:pPr>
      <w:keepNext/>
      <w:keepLines/>
      <w:suppressAutoHyphens/>
    </w:pPr>
    <w:rPr>
      <w:rFonts w:ascii="Arial" w:hAnsi="Arial"/>
      <w:sz w:val="73"/>
      <w:szCs w:val="73"/>
      <w:lang w:eastAsia="en-US"/>
    </w:rPr>
  </w:style>
  <w:style w:type="paragraph" w:customStyle="1" w:styleId="ContraportadaConfidencialidad">
    <w:name w:val="Contraportada Confidencialidad"/>
    <w:rsid w:val="007C6013"/>
    <w:pPr>
      <w:mirrorIndents/>
      <w:jc w:val="center"/>
    </w:pPr>
    <w:rPr>
      <w:rFonts w:ascii="Arial" w:hAnsi="Arial"/>
      <w:b/>
      <w:caps/>
      <w:sz w:val="28"/>
      <w:szCs w:val="48"/>
      <w:lang w:eastAsia="en-US"/>
    </w:rPr>
  </w:style>
  <w:style w:type="paragraph" w:customStyle="1" w:styleId="ContraportadaSerieNormas">
    <w:name w:val="Contraportada Serie Normas"/>
    <w:rsid w:val="007C6013"/>
    <w:pPr>
      <w:keepNext/>
      <w:suppressAutoHyphens/>
      <w:spacing w:after="240"/>
      <w:jc w:val="center"/>
    </w:pPr>
    <w:rPr>
      <w:rFonts w:ascii="Arial" w:hAnsi="Arial"/>
      <w:b/>
      <w:caps/>
      <w:spacing w:val="-2"/>
      <w:sz w:val="26"/>
      <w:szCs w:val="26"/>
      <w:lang w:eastAsia="en-US"/>
    </w:rPr>
  </w:style>
  <w:style w:type="paragraph" w:customStyle="1" w:styleId="ContraportadaNombreServicio">
    <w:name w:val="Contraportada Nombre Servicio"/>
    <w:rsid w:val="007C6013"/>
    <w:pPr>
      <w:keepNext/>
      <w:suppressAutoHyphens/>
      <w:spacing w:after="240"/>
      <w:jc w:val="center"/>
    </w:pPr>
    <w:rPr>
      <w:rFonts w:ascii="Arial" w:hAnsi="Arial"/>
      <w:b/>
      <w:caps/>
      <w:spacing w:val="60"/>
      <w:sz w:val="28"/>
      <w:szCs w:val="28"/>
      <w:lang w:eastAsia="en-US"/>
    </w:rPr>
  </w:style>
  <w:style w:type="paragraph" w:customStyle="1" w:styleId="ContraportadaTipoLibro">
    <w:name w:val="Contraportada Tipo Libro"/>
    <w:rsid w:val="007C6013"/>
    <w:pPr>
      <w:spacing w:after="240"/>
      <w:jc w:val="center"/>
    </w:pPr>
    <w:rPr>
      <w:rFonts w:ascii="Arial" w:hAnsi="Arial"/>
      <w:b/>
      <w:caps/>
      <w:spacing w:val="70"/>
      <w:sz w:val="26"/>
      <w:szCs w:val="26"/>
      <w:lang w:eastAsia="en-US"/>
    </w:rPr>
  </w:style>
  <w:style w:type="paragraph" w:styleId="Encabezado">
    <w:name w:val="header"/>
    <w:link w:val="EncabezadoCar"/>
    <w:uiPriority w:val="99"/>
    <w:rsid w:val="007C6013"/>
    <w:pPr>
      <w:jc w:val="both"/>
    </w:pPr>
    <w:rPr>
      <w:rFonts w:ascii="Arial" w:hAnsi="Arial"/>
      <w:b/>
      <w:color w:val="FFFFFF"/>
      <w:spacing w:val="20"/>
      <w:sz w:val="16"/>
      <w:szCs w:val="24"/>
      <w:lang w:val="es-ES" w:eastAsia="en-US"/>
    </w:rPr>
  </w:style>
  <w:style w:type="character" w:customStyle="1" w:styleId="EncabezadoCar">
    <w:name w:val="Encabezado Car"/>
    <w:link w:val="Encabezado"/>
    <w:uiPriority w:val="99"/>
    <w:rsid w:val="007C6013"/>
    <w:rPr>
      <w:rFonts w:ascii="Arial" w:hAnsi="Arial"/>
      <w:b/>
      <w:color w:val="FFFFFF"/>
      <w:spacing w:val="20"/>
      <w:sz w:val="16"/>
      <w:szCs w:val="24"/>
      <w:lang w:val="es-ES" w:eastAsia="en-US" w:bidi="ar-SA"/>
    </w:rPr>
  </w:style>
  <w:style w:type="character" w:styleId="Hipervnculo">
    <w:name w:val="Hyperlink"/>
    <w:uiPriority w:val="99"/>
    <w:unhideWhenUsed/>
    <w:qFormat/>
    <w:rsid w:val="007C6013"/>
    <w:rPr>
      <w:rFonts w:ascii="Arial" w:hAnsi="Arial"/>
      <w:color w:val="0000FF"/>
      <w:sz w:val="20"/>
      <w:u w:val="single"/>
    </w:rPr>
  </w:style>
  <w:style w:type="character" w:customStyle="1" w:styleId="LetraCursiva">
    <w:name w:val="Letra Cursiva"/>
    <w:qFormat/>
    <w:rsid w:val="00B76E45"/>
    <w:rPr>
      <w:rFonts w:ascii="Times New Roman" w:hAnsi="Times New Roman"/>
      <w:i/>
      <w:sz w:val="22"/>
    </w:rPr>
  </w:style>
  <w:style w:type="character" w:customStyle="1" w:styleId="LetraCursivaNegrita">
    <w:name w:val="Letra Cursiva Negrita"/>
    <w:qFormat/>
    <w:rsid w:val="007C6013"/>
    <w:rPr>
      <w:rFonts w:ascii="Arial" w:hAnsi="Arial"/>
      <w:b/>
      <w:i/>
      <w:color w:val="auto"/>
      <w:sz w:val="20"/>
      <w:szCs w:val="20"/>
      <w:u w:val="none"/>
    </w:rPr>
  </w:style>
  <w:style w:type="character" w:customStyle="1" w:styleId="LetraNegrita">
    <w:name w:val="Letra Negrita"/>
    <w:qFormat/>
    <w:rsid w:val="007C6013"/>
    <w:rPr>
      <w:rFonts w:ascii="Arial" w:hAnsi="Arial"/>
      <w:b/>
      <w:color w:val="auto"/>
      <w:sz w:val="20"/>
    </w:rPr>
  </w:style>
  <w:style w:type="character" w:customStyle="1" w:styleId="LetraNegritaSubrayada">
    <w:name w:val="Letra Negrita Subrayada"/>
    <w:uiPriority w:val="1"/>
    <w:qFormat/>
    <w:rsid w:val="007C6013"/>
    <w:rPr>
      <w:rFonts w:ascii="Arial" w:hAnsi="Arial"/>
      <w:b/>
      <w:color w:val="auto"/>
      <w:sz w:val="20"/>
      <w:u w:val="single"/>
    </w:rPr>
  </w:style>
  <w:style w:type="character" w:customStyle="1" w:styleId="LetraSubrayada">
    <w:name w:val="Letra Subrayada"/>
    <w:qFormat/>
    <w:rsid w:val="007C6013"/>
    <w:rPr>
      <w:rFonts w:ascii="Arial" w:hAnsi="Arial"/>
      <w:sz w:val="20"/>
      <w:u w:val="single"/>
    </w:rPr>
  </w:style>
  <w:style w:type="character" w:customStyle="1" w:styleId="LetraTablaCursiva">
    <w:name w:val="Letra Tabla Cursiva"/>
    <w:qFormat/>
    <w:rsid w:val="00AA6F14"/>
    <w:rPr>
      <w:rFonts w:ascii="Times New Roman" w:hAnsi="Times New Roman"/>
      <w:i/>
      <w:sz w:val="22"/>
    </w:rPr>
  </w:style>
  <w:style w:type="character" w:customStyle="1" w:styleId="LetraTablaCursivaNegrita">
    <w:name w:val="Letra Tabla Cursiva Negrita"/>
    <w:uiPriority w:val="1"/>
    <w:qFormat/>
    <w:rsid w:val="00AA6F14"/>
    <w:rPr>
      <w:rFonts w:ascii="Times New Roman" w:hAnsi="Times New Roman"/>
      <w:b/>
      <w:i/>
      <w:sz w:val="22"/>
    </w:rPr>
  </w:style>
  <w:style w:type="character" w:customStyle="1" w:styleId="LetraTablaNegrita">
    <w:name w:val="Letra Tabla Negrita"/>
    <w:qFormat/>
    <w:rsid w:val="00AA6F14"/>
    <w:rPr>
      <w:rFonts w:ascii="Times New Roman" w:hAnsi="Times New Roman"/>
      <w:b/>
      <w:sz w:val="22"/>
    </w:rPr>
  </w:style>
  <w:style w:type="character" w:customStyle="1" w:styleId="LetraTablaNegritaSubrayada">
    <w:name w:val="Letra Tabla Negrita Subrayada"/>
    <w:uiPriority w:val="1"/>
    <w:qFormat/>
    <w:rsid w:val="00AA6F14"/>
    <w:rPr>
      <w:rFonts w:ascii="Times New Roman" w:hAnsi="Times New Roman"/>
      <w:b/>
      <w:sz w:val="22"/>
      <w:u w:val="single"/>
    </w:rPr>
  </w:style>
  <w:style w:type="character" w:customStyle="1" w:styleId="LetraTablaSubrayada">
    <w:name w:val="Letra Tabla Subrayada"/>
    <w:qFormat/>
    <w:rsid w:val="00AA6F14"/>
    <w:rPr>
      <w:rFonts w:ascii="Times New Roman" w:hAnsi="Times New Roman"/>
      <w:b w:val="0"/>
      <w:sz w:val="22"/>
      <w:u w:val="single"/>
    </w:rPr>
  </w:style>
  <w:style w:type="paragraph" w:customStyle="1" w:styleId="ListaNivel1">
    <w:name w:val="Lista Nivel 1"/>
    <w:link w:val="ListaNivel1Car"/>
    <w:qFormat/>
    <w:rsid w:val="009237C9"/>
    <w:pPr>
      <w:spacing w:before="120" w:after="120"/>
      <w:jc w:val="both"/>
    </w:pPr>
    <w:rPr>
      <w:rFonts w:ascii="Arial" w:hAnsi="Arial"/>
      <w:snapToGrid w:val="0"/>
      <w:szCs w:val="24"/>
      <w:lang w:val="es-ES_tradnl" w:eastAsia="es-ES"/>
    </w:rPr>
  </w:style>
  <w:style w:type="character" w:customStyle="1" w:styleId="ListaNivel1Car">
    <w:name w:val="Lista Nivel 1 Car"/>
    <w:link w:val="ListaNivel1"/>
    <w:rsid w:val="009237C9"/>
    <w:rPr>
      <w:rFonts w:ascii="Arial" w:hAnsi="Arial"/>
      <w:snapToGrid w:val="0"/>
      <w:szCs w:val="24"/>
      <w:lang w:val="es-ES_tradnl" w:eastAsia="es-ES"/>
    </w:rPr>
  </w:style>
  <w:style w:type="paragraph" w:customStyle="1" w:styleId="ListaNivel3">
    <w:name w:val="Lista Nivel 3"/>
    <w:link w:val="ListaNivel3Car"/>
    <w:qFormat/>
    <w:rsid w:val="00B75476"/>
    <w:pPr>
      <w:numPr>
        <w:numId w:val="3"/>
      </w:numPr>
      <w:suppressAutoHyphens/>
      <w:spacing w:before="120" w:after="120"/>
      <w:jc w:val="both"/>
    </w:pPr>
    <w:rPr>
      <w:rFonts w:ascii="Arial" w:hAnsi="Arial"/>
      <w:snapToGrid w:val="0"/>
      <w:lang w:eastAsia="es-ES"/>
    </w:rPr>
  </w:style>
  <w:style w:type="character" w:customStyle="1" w:styleId="ListaNivel3Car">
    <w:name w:val="Lista Nivel 3 Car"/>
    <w:link w:val="ListaNivel3"/>
    <w:rsid w:val="00B75476"/>
    <w:rPr>
      <w:rFonts w:ascii="Arial" w:hAnsi="Arial"/>
      <w:snapToGrid w:val="0"/>
      <w:lang w:eastAsia="es-ES"/>
    </w:rPr>
  </w:style>
  <w:style w:type="paragraph" w:customStyle="1" w:styleId="ListaVietas">
    <w:name w:val="Lista Viñetas"/>
    <w:link w:val="ListaVietasCar"/>
    <w:qFormat/>
    <w:rsid w:val="004D4893"/>
    <w:pPr>
      <w:numPr>
        <w:numId w:val="2"/>
      </w:numPr>
      <w:spacing w:before="120" w:after="120"/>
      <w:jc w:val="both"/>
    </w:pPr>
    <w:rPr>
      <w:rFonts w:ascii="Arial" w:hAnsi="Arial"/>
      <w:snapToGrid w:val="0"/>
      <w:lang w:eastAsia="en-US"/>
    </w:rPr>
  </w:style>
  <w:style w:type="character" w:customStyle="1" w:styleId="ListaVietasCar">
    <w:name w:val="Lista Viñetas Car"/>
    <w:link w:val="ListaVietas"/>
    <w:rsid w:val="004D4893"/>
    <w:rPr>
      <w:rFonts w:ascii="Arial" w:hAnsi="Arial"/>
      <w:snapToGrid w:val="0"/>
      <w:lang w:eastAsia="en-US"/>
    </w:rPr>
  </w:style>
  <w:style w:type="paragraph" w:customStyle="1" w:styleId="PrrafoListaNivel1">
    <w:name w:val="Párrafo Lista Nivel 1"/>
    <w:basedOn w:val="Normal"/>
    <w:qFormat/>
    <w:rsid w:val="006C2CA4"/>
    <w:pPr>
      <w:ind w:left="397" w:hanging="57"/>
    </w:pPr>
  </w:style>
  <w:style w:type="paragraph" w:customStyle="1" w:styleId="PrrafoListaNivel2">
    <w:name w:val="Párrafo Lista Nivel 2"/>
    <w:basedOn w:val="Normal"/>
    <w:qFormat/>
    <w:rsid w:val="006C2CA4"/>
    <w:pPr>
      <w:ind w:left="737"/>
    </w:pPr>
    <w:rPr>
      <w:lang w:val="es-ES"/>
    </w:rPr>
  </w:style>
  <w:style w:type="paragraph" w:customStyle="1" w:styleId="PrrafoListaNivel3">
    <w:name w:val="Párrafo Lista Nivel 3"/>
    <w:basedOn w:val="Normal"/>
    <w:qFormat/>
    <w:rsid w:val="00086FA3"/>
    <w:pPr>
      <w:ind w:left="2665" w:hanging="1588"/>
    </w:pPr>
    <w:rPr>
      <w:lang w:val="es-ES"/>
    </w:rPr>
  </w:style>
  <w:style w:type="paragraph" w:customStyle="1" w:styleId="PrrafoListaVietas">
    <w:name w:val="Párrafo Lista Viñetas"/>
    <w:basedOn w:val="Normal"/>
    <w:qFormat/>
    <w:rsid w:val="006C2CA4"/>
    <w:pPr>
      <w:ind w:left="454"/>
    </w:pPr>
    <w:rPr>
      <w:lang w:val="es-ES"/>
    </w:rPr>
  </w:style>
  <w:style w:type="paragraph" w:styleId="Textodeglobo">
    <w:name w:val="Balloon Text"/>
    <w:basedOn w:val="Normal"/>
    <w:link w:val="TextodegloboCar"/>
    <w:semiHidden/>
    <w:unhideWhenUsed/>
    <w:locked/>
    <w:rsid w:val="00A15B6C"/>
    <w:pPr>
      <w:spacing w:before="0" w:after="0" w:line="240" w:lineRule="auto"/>
    </w:pPr>
    <w:rPr>
      <w:rFonts w:ascii="Tahoma" w:hAnsi="Tahoma"/>
      <w:sz w:val="16"/>
      <w:szCs w:val="16"/>
      <w:lang w:val="x-none"/>
    </w:rPr>
  </w:style>
  <w:style w:type="character" w:customStyle="1" w:styleId="TextodegloboCar">
    <w:name w:val="Texto de globo Car"/>
    <w:link w:val="Textodeglobo"/>
    <w:semiHidden/>
    <w:rsid w:val="00A15B6C"/>
    <w:rPr>
      <w:rFonts w:ascii="Tahoma" w:hAnsi="Tahoma" w:cs="Tahoma"/>
      <w:sz w:val="16"/>
      <w:szCs w:val="16"/>
      <w:lang w:eastAsia="en-US"/>
    </w:rPr>
  </w:style>
  <w:style w:type="paragraph" w:customStyle="1" w:styleId="NormalCentrado">
    <w:name w:val="Normal Centrado"/>
    <w:basedOn w:val="Normal"/>
    <w:next w:val="Normal"/>
    <w:qFormat/>
    <w:rsid w:val="000109F0"/>
    <w:pPr>
      <w:spacing w:line="240" w:lineRule="auto"/>
      <w:jc w:val="center"/>
    </w:pPr>
  </w:style>
  <w:style w:type="paragraph" w:styleId="Piedepgina">
    <w:name w:val="footer"/>
    <w:link w:val="PiedepginaCar"/>
    <w:uiPriority w:val="99"/>
    <w:rsid w:val="00D60549"/>
    <w:pPr>
      <w:tabs>
        <w:tab w:val="center" w:pos="4419"/>
        <w:tab w:val="right" w:pos="8838"/>
      </w:tabs>
      <w:jc w:val="center"/>
    </w:pPr>
    <w:rPr>
      <w:rFonts w:ascii="Arial" w:hAnsi="Arial"/>
      <w:szCs w:val="24"/>
      <w:lang w:eastAsia="en-US"/>
    </w:rPr>
  </w:style>
  <w:style w:type="character" w:customStyle="1" w:styleId="PiedepginaCar">
    <w:name w:val="Pie de página Car"/>
    <w:link w:val="Piedepgina"/>
    <w:uiPriority w:val="99"/>
    <w:rsid w:val="00D60549"/>
    <w:rPr>
      <w:rFonts w:ascii="Arial" w:hAnsi="Arial"/>
      <w:szCs w:val="24"/>
      <w:lang w:eastAsia="en-US" w:bidi="ar-SA"/>
    </w:rPr>
  </w:style>
  <w:style w:type="paragraph" w:customStyle="1" w:styleId="PortadaCdigo">
    <w:name w:val="Portada Código"/>
    <w:qFormat/>
    <w:rsid w:val="007C6013"/>
    <w:rPr>
      <w:rFonts w:ascii="Arial" w:hAnsi="Arial"/>
      <w:b/>
      <w:sz w:val="73"/>
      <w:szCs w:val="73"/>
      <w:lang w:eastAsia="en-US"/>
    </w:rPr>
  </w:style>
  <w:style w:type="paragraph" w:customStyle="1" w:styleId="PortadaConfidencialidad">
    <w:name w:val="Portada Confidencialidad"/>
    <w:rsid w:val="007C6013"/>
    <w:pPr>
      <w:jc w:val="center"/>
    </w:pPr>
    <w:rPr>
      <w:rFonts w:ascii="Arial" w:hAnsi="Arial"/>
      <w:b/>
      <w:sz w:val="48"/>
      <w:szCs w:val="48"/>
      <w:lang w:eastAsia="en-US"/>
    </w:rPr>
  </w:style>
  <w:style w:type="paragraph" w:customStyle="1" w:styleId="PortadaNombreServicio">
    <w:name w:val="Portada Nombre Servicio"/>
    <w:rsid w:val="007C6013"/>
    <w:pPr>
      <w:keepNext/>
      <w:keepLines/>
      <w:suppressAutoHyphens/>
      <w:spacing w:after="240"/>
      <w:jc w:val="center"/>
    </w:pPr>
    <w:rPr>
      <w:rFonts w:ascii="Arial" w:hAnsi="Arial"/>
      <w:b/>
      <w:caps/>
      <w:spacing w:val="80"/>
      <w:sz w:val="40"/>
      <w:szCs w:val="40"/>
      <w:lang w:eastAsia="en-US"/>
    </w:rPr>
  </w:style>
  <w:style w:type="paragraph" w:customStyle="1" w:styleId="PortadaSerieNormas">
    <w:name w:val="Portada Serie Normas"/>
    <w:rsid w:val="007C6013"/>
    <w:pPr>
      <w:keepNext/>
      <w:keepLines/>
      <w:suppressAutoHyphens/>
      <w:spacing w:after="240"/>
      <w:jc w:val="center"/>
    </w:pPr>
    <w:rPr>
      <w:rFonts w:ascii="Arial" w:hAnsi="Arial"/>
      <w:b/>
      <w:caps/>
      <w:color w:val="1C4598"/>
      <w:spacing w:val="24"/>
      <w:sz w:val="32"/>
      <w:szCs w:val="32"/>
      <w:lang w:eastAsia="en-US"/>
    </w:rPr>
  </w:style>
  <w:style w:type="paragraph" w:customStyle="1" w:styleId="PortadaTipoLibro">
    <w:name w:val="Portada Tipo Libro"/>
    <w:rsid w:val="007C6013"/>
    <w:pPr>
      <w:spacing w:after="240"/>
      <w:jc w:val="center"/>
    </w:pPr>
    <w:rPr>
      <w:rFonts w:ascii="Arial" w:hAnsi="Arial"/>
      <w:b/>
      <w:caps/>
      <w:color w:val="1C4598"/>
      <w:spacing w:val="130"/>
      <w:sz w:val="32"/>
      <w:szCs w:val="32"/>
      <w:lang w:eastAsia="en-US"/>
    </w:rPr>
  </w:style>
  <w:style w:type="character" w:styleId="Refdenotaalpie">
    <w:name w:val="footnote reference"/>
    <w:rsid w:val="007C6013"/>
    <w:rPr>
      <w:rFonts w:ascii="Arial Black" w:hAnsi="Arial Black"/>
      <w:b/>
      <w:sz w:val="24"/>
      <w:vertAlign w:val="superscript"/>
    </w:rPr>
  </w:style>
  <w:style w:type="table" w:styleId="Sombreadoclaro">
    <w:name w:val="Light Shading"/>
    <w:basedOn w:val="Tablanormal"/>
    <w:uiPriority w:val="60"/>
    <w:locked/>
    <w:rsid w:val="008867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qFormat/>
    <w:rsid w:val="000509FC"/>
    <w:rPr>
      <w:rFonts w:ascii="Times New Roman" w:hAnsi="Times New Roman"/>
      <w:position w:val="-20"/>
    </w:rPr>
    <w:tblPr>
      <w:tblBorders>
        <w:top w:val="single" w:sz="4" w:space="0" w:color="4082E2"/>
        <w:left w:val="single" w:sz="4" w:space="0" w:color="4082E2"/>
        <w:bottom w:val="single" w:sz="4" w:space="0" w:color="4082E2"/>
        <w:right w:val="single" w:sz="4" w:space="0" w:color="4082E2"/>
        <w:insideH w:val="single" w:sz="6" w:space="0" w:color="4082E2"/>
        <w:insideV w:val="single" w:sz="6" w:space="0" w:color="4082E2"/>
      </w:tblBorders>
      <w:tblCellMar>
        <w:left w:w="0" w:type="dxa"/>
        <w:right w:w="0" w:type="dxa"/>
      </w:tblCellMar>
    </w:tblPr>
    <w:trPr>
      <w:cantSplit/>
    </w:trPr>
    <w:tcPr>
      <w:vAlign w:val="center"/>
    </w:tcPr>
    <w:tblStylePr w:type="firstRow">
      <w:pPr>
        <w:jc w:val="center"/>
      </w:pPr>
      <w:rPr>
        <w:rFonts w:ascii="Times New Roman" w:hAnsi="Times New Roman"/>
        <w:sz w:val="20"/>
      </w:rPr>
      <w:tblPr/>
      <w:tcPr>
        <w:vAlign w:val="center"/>
      </w:tcPr>
    </w:tblStylePr>
    <w:tblStylePr w:type="lastRow">
      <w:tblPr/>
      <w:tcPr>
        <w:tcBorders>
          <w:top w:val="single" w:sz="6" w:space="0" w:color="008000"/>
          <w:tl2br w:val="none" w:sz="0" w:space="0" w:color="auto"/>
          <w:tr2bl w:val="none" w:sz="0" w:space="0" w:color="auto"/>
        </w:tcBorders>
      </w:tcPr>
    </w:tblStylePr>
  </w:style>
  <w:style w:type="paragraph" w:styleId="TDC1">
    <w:name w:val="toc 1"/>
    <w:uiPriority w:val="39"/>
    <w:rsid w:val="00C8411B"/>
    <w:pPr>
      <w:tabs>
        <w:tab w:val="left" w:pos="284"/>
        <w:tab w:val="right" w:leader="dot" w:pos="8505"/>
      </w:tabs>
      <w:spacing w:before="40" w:after="40"/>
      <w:ind w:left="284" w:right="635" w:hanging="284"/>
      <w:jc w:val="both"/>
    </w:pPr>
    <w:rPr>
      <w:rFonts w:ascii="Times New Roman" w:hAnsi="Times New Roman"/>
      <w:b/>
      <w:snapToGrid w:val="0"/>
      <w:lang w:val="es-ES_tradnl" w:eastAsia="es-ES"/>
    </w:rPr>
  </w:style>
  <w:style w:type="paragraph" w:styleId="TDC2">
    <w:name w:val="toc 2"/>
    <w:uiPriority w:val="39"/>
    <w:rsid w:val="00F5354F"/>
    <w:pPr>
      <w:tabs>
        <w:tab w:val="left" w:pos="567"/>
        <w:tab w:val="right" w:leader="dot" w:pos="8505"/>
      </w:tabs>
      <w:spacing w:before="40" w:after="40"/>
      <w:ind w:left="397" w:right="567" w:hanging="397"/>
      <w:jc w:val="both"/>
    </w:pPr>
    <w:rPr>
      <w:rFonts w:ascii="Times New Roman" w:hAnsi="Times New Roman"/>
      <w:noProof/>
      <w:snapToGrid w:val="0"/>
      <w:lang w:val="es-ES_tradnl" w:eastAsia="es-ES"/>
    </w:rPr>
  </w:style>
  <w:style w:type="paragraph" w:styleId="TDC3">
    <w:name w:val="toc 3"/>
    <w:uiPriority w:val="39"/>
    <w:rsid w:val="00C8411B"/>
    <w:pPr>
      <w:tabs>
        <w:tab w:val="left" w:pos="635"/>
        <w:tab w:val="right" w:leader="dot" w:pos="8505"/>
      </w:tabs>
      <w:spacing w:before="60" w:after="100"/>
      <w:ind w:left="680" w:right="635" w:hanging="680"/>
      <w:jc w:val="both"/>
    </w:pPr>
    <w:rPr>
      <w:rFonts w:ascii="Times New Roman" w:hAnsi="Times New Roman"/>
      <w:noProof/>
      <w:snapToGrid w:val="0"/>
      <w:color w:val="262626"/>
      <w:sz w:val="18"/>
      <w:lang w:val="es-ES_tradnl" w:eastAsia="es-ES"/>
    </w:rPr>
  </w:style>
  <w:style w:type="paragraph" w:styleId="TDC4">
    <w:name w:val="toc 4"/>
    <w:uiPriority w:val="39"/>
    <w:rsid w:val="0009179F"/>
    <w:pPr>
      <w:tabs>
        <w:tab w:val="left" w:leader="dot" w:pos="635"/>
        <w:tab w:val="right" w:leader="dot" w:pos="8505"/>
      </w:tabs>
      <w:spacing w:before="40" w:after="40"/>
      <w:ind w:left="737" w:right="680" w:hanging="737"/>
      <w:jc w:val="both"/>
    </w:pPr>
    <w:rPr>
      <w:rFonts w:ascii="Times New Roman" w:hAnsi="Times New Roman"/>
      <w:i/>
      <w:color w:val="404040"/>
      <w:sz w:val="18"/>
      <w:szCs w:val="18"/>
      <w:lang w:eastAsia="en-US"/>
    </w:rPr>
  </w:style>
  <w:style w:type="paragraph" w:customStyle="1" w:styleId="TextoInicial">
    <w:name w:val="Texto Inicial"/>
    <w:rsid w:val="00765738"/>
    <w:pPr>
      <w:spacing w:before="120" w:after="240"/>
    </w:pPr>
    <w:rPr>
      <w:rFonts w:ascii="Arial" w:hAnsi="Arial"/>
      <w:b/>
      <w:sz w:val="28"/>
      <w:szCs w:val="24"/>
      <w:lang w:eastAsia="en-US"/>
    </w:rPr>
  </w:style>
  <w:style w:type="paragraph" w:customStyle="1" w:styleId="TextoIntroductorio">
    <w:name w:val="Texto Introductorio"/>
    <w:rsid w:val="007C6013"/>
    <w:pPr>
      <w:keepNext/>
      <w:suppressAutoHyphens/>
      <w:spacing w:before="120" w:line="360" w:lineRule="auto"/>
    </w:pPr>
    <w:rPr>
      <w:rFonts w:ascii="Arial" w:hAnsi="Arial"/>
      <w:b/>
      <w:color w:val="999999"/>
      <w:lang w:eastAsia="en-US"/>
    </w:rPr>
  </w:style>
  <w:style w:type="paragraph" w:styleId="Textonotapie">
    <w:name w:val="footnote text"/>
    <w:link w:val="TextonotapieCar"/>
    <w:rsid w:val="007C6013"/>
    <w:pPr>
      <w:ind w:left="170" w:hanging="170"/>
      <w:jc w:val="both"/>
    </w:pPr>
    <w:rPr>
      <w:rFonts w:ascii="Arial" w:hAnsi="Arial"/>
      <w:i/>
      <w:sz w:val="18"/>
      <w:lang w:eastAsia="en-US"/>
    </w:rPr>
  </w:style>
  <w:style w:type="character" w:customStyle="1" w:styleId="TextonotapieCar">
    <w:name w:val="Texto nota pie Car"/>
    <w:link w:val="Textonotapie"/>
    <w:rsid w:val="007C6013"/>
    <w:rPr>
      <w:rFonts w:ascii="Arial" w:hAnsi="Arial"/>
      <w:i/>
      <w:sz w:val="18"/>
      <w:lang w:eastAsia="en-US" w:bidi="ar-SA"/>
    </w:rPr>
  </w:style>
  <w:style w:type="paragraph" w:customStyle="1" w:styleId="TextoTablaCentrado">
    <w:name w:val="Texto Tabla Centrado"/>
    <w:qFormat/>
    <w:rsid w:val="00823A4D"/>
    <w:pPr>
      <w:jc w:val="center"/>
    </w:pPr>
    <w:rPr>
      <w:rFonts w:ascii="Times New Roman" w:hAnsi="Times New Roman"/>
      <w:sz w:val="22"/>
      <w:szCs w:val="24"/>
      <w:lang w:eastAsia="en-US"/>
    </w:rPr>
  </w:style>
  <w:style w:type="paragraph" w:customStyle="1" w:styleId="TextoTablaJustificado">
    <w:name w:val="Texto Tabla Justificado"/>
    <w:qFormat/>
    <w:rsid w:val="00AA69D5"/>
    <w:pPr>
      <w:jc w:val="both"/>
    </w:pPr>
    <w:rPr>
      <w:rFonts w:ascii="Times New Roman" w:hAnsi="Times New Roman"/>
      <w:sz w:val="22"/>
      <w:szCs w:val="24"/>
      <w:lang w:eastAsia="en-US"/>
    </w:rPr>
  </w:style>
  <w:style w:type="paragraph" w:customStyle="1" w:styleId="TextoTablaDerecha">
    <w:name w:val="Texto Tabla Derecha"/>
    <w:qFormat/>
    <w:rsid w:val="00ED486B"/>
    <w:pPr>
      <w:jc w:val="right"/>
    </w:pPr>
    <w:rPr>
      <w:rFonts w:ascii="Times New Roman" w:hAnsi="Times New Roman"/>
      <w:sz w:val="22"/>
      <w:szCs w:val="24"/>
      <w:lang w:eastAsia="en-US"/>
    </w:rPr>
  </w:style>
  <w:style w:type="paragraph" w:customStyle="1" w:styleId="TextoTablaIzquierda">
    <w:name w:val="Texto Tabla Izquierda"/>
    <w:qFormat/>
    <w:rsid w:val="00681644"/>
    <w:rPr>
      <w:rFonts w:ascii="Times New Roman" w:hAnsi="Times New Roman"/>
      <w:sz w:val="22"/>
      <w:szCs w:val="24"/>
      <w:lang w:eastAsia="en-US"/>
    </w:rPr>
  </w:style>
  <w:style w:type="character" w:styleId="Ttulodellibro">
    <w:name w:val="Book Title"/>
    <w:uiPriority w:val="33"/>
    <w:qFormat/>
    <w:locked/>
    <w:rsid w:val="00BE23F2"/>
    <w:rPr>
      <w:b/>
      <w:bCs/>
      <w:smallCaps/>
      <w:spacing w:val="5"/>
    </w:rPr>
  </w:style>
  <w:style w:type="paragraph" w:customStyle="1" w:styleId="TtuloTablaContenido">
    <w:name w:val="Título Tabla Contenido"/>
    <w:rsid w:val="007C6013"/>
    <w:pPr>
      <w:spacing w:after="360"/>
      <w:jc w:val="center"/>
    </w:pPr>
    <w:rPr>
      <w:rFonts w:ascii="Times New Roman" w:hAnsi="Times New Roman"/>
      <w:b/>
      <w:sz w:val="36"/>
      <w:szCs w:val="24"/>
      <w:lang w:eastAsia="en-US"/>
    </w:rPr>
  </w:style>
  <w:style w:type="paragraph" w:styleId="Revisin">
    <w:name w:val="Revision"/>
    <w:hidden/>
    <w:uiPriority w:val="99"/>
    <w:semiHidden/>
    <w:rsid w:val="007C6013"/>
    <w:rPr>
      <w:rFonts w:ascii="Arial" w:hAnsi="Arial" w:cs="Arial"/>
      <w:lang w:eastAsia="en-US"/>
    </w:rPr>
  </w:style>
  <w:style w:type="paragraph" w:customStyle="1" w:styleId="Cuadros">
    <w:name w:val="Cuadros"/>
    <w:next w:val="Normal"/>
    <w:uiPriority w:val="99"/>
    <w:qFormat/>
    <w:rsid w:val="005A7D0B"/>
    <w:pPr>
      <w:spacing w:before="240" w:after="240"/>
      <w:jc w:val="center"/>
    </w:pPr>
    <w:rPr>
      <w:rFonts w:ascii="Arial" w:hAnsi="Arial" w:cs="Arial"/>
      <w:szCs w:val="24"/>
      <w:lang w:val="es-ES_tradnl" w:eastAsia="es-ES"/>
    </w:rPr>
  </w:style>
  <w:style w:type="paragraph" w:styleId="TDC5">
    <w:name w:val="toc 5"/>
    <w:basedOn w:val="Normal"/>
    <w:next w:val="Normal"/>
    <w:uiPriority w:val="39"/>
    <w:unhideWhenUsed/>
    <w:locked/>
    <w:rsid w:val="007C6013"/>
    <w:pPr>
      <w:spacing w:after="100"/>
      <w:ind w:left="880"/>
    </w:pPr>
    <w:rPr>
      <w:rFonts w:ascii="Calibri" w:hAnsi="Calibri"/>
      <w:sz w:val="22"/>
      <w:szCs w:val="22"/>
      <w:lang w:eastAsia="es-CR"/>
    </w:rPr>
  </w:style>
  <w:style w:type="paragraph" w:styleId="TDC6">
    <w:name w:val="toc 6"/>
    <w:basedOn w:val="Normal"/>
    <w:next w:val="Normal"/>
    <w:uiPriority w:val="39"/>
    <w:unhideWhenUsed/>
    <w:locked/>
    <w:rsid w:val="007C6013"/>
    <w:pPr>
      <w:spacing w:after="100"/>
      <w:ind w:left="1100"/>
    </w:pPr>
    <w:rPr>
      <w:rFonts w:ascii="Calibri" w:hAnsi="Calibri"/>
      <w:sz w:val="22"/>
      <w:szCs w:val="22"/>
      <w:lang w:eastAsia="es-CR"/>
    </w:rPr>
  </w:style>
  <w:style w:type="paragraph" w:styleId="TDC7">
    <w:name w:val="toc 7"/>
    <w:basedOn w:val="Normal"/>
    <w:next w:val="Normal"/>
    <w:uiPriority w:val="39"/>
    <w:unhideWhenUsed/>
    <w:locked/>
    <w:rsid w:val="007C6013"/>
    <w:pPr>
      <w:spacing w:after="100"/>
      <w:ind w:left="1320"/>
    </w:pPr>
    <w:rPr>
      <w:rFonts w:ascii="Calibri" w:hAnsi="Calibri"/>
      <w:sz w:val="22"/>
      <w:szCs w:val="22"/>
      <w:lang w:eastAsia="es-CR"/>
    </w:rPr>
  </w:style>
  <w:style w:type="paragraph" w:styleId="TDC8">
    <w:name w:val="toc 8"/>
    <w:basedOn w:val="Normal"/>
    <w:next w:val="Normal"/>
    <w:uiPriority w:val="39"/>
    <w:unhideWhenUsed/>
    <w:locked/>
    <w:rsid w:val="007C6013"/>
    <w:pPr>
      <w:spacing w:after="100"/>
      <w:ind w:left="1540"/>
    </w:pPr>
    <w:rPr>
      <w:rFonts w:ascii="Calibri" w:hAnsi="Calibri"/>
      <w:sz w:val="22"/>
      <w:szCs w:val="22"/>
      <w:lang w:eastAsia="es-CR"/>
    </w:rPr>
  </w:style>
  <w:style w:type="paragraph" w:styleId="TDC9">
    <w:name w:val="toc 9"/>
    <w:basedOn w:val="Normal"/>
    <w:next w:val="Normal"/>
    <w:uiPriority w:val="39"/>
    <w:unhideWhenUsed/>
    <w:locked/>
    <w:rsid w:val="007C6013"/>
    <w:pPr>
      <w:spacing w:after="100"/>
      <w:ind w:left="1760"/>
    </w:pPr>
    <w:rPr>
      <w:rFonts w:ascii="Calibri" w:hAnsi="Calibri"/>
      <w:sz w:val="22"/>
      <w:szCs w:val="22"/>
      <w:lang w:eastAsia="es-CR"/>
    </w:rPr>
  </w:style>
  <w:style w:type="character" w:styleId="Hipervnculovisitado">
    <w:name w:val="FollowedHyperlink"/>
    <w:locked/>
    <w:rsid w:val="007C6013"/>
    <w:rPr>
      <w:rFonts w:ascii="Arial" w:hAnsi="Arial"/>
      <w:color w:val="800080"/>
      <w:sz w:val="20"/>
      <w:u w:val="single"/>
    </w:rPr>
  </w:style>
  <w:style w:type="table" w:styleId="Sombreadoclaro-nfasis1">
    <w:name w:val="Light Shading Accent 1"/>
    <w:basedOn w:val="Tablanormal"/>
    <w:uiPriority w:val="60"/>
    <w:locked/>
    <w:rsid w:val="00D0352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edia2-nfasis1">
    <w:name w:val="Medium List 2 Accent 1"/>
    <w:basedOn w:val="Tablanormal"/>
    <w:uiPriority w:val="66"/>
    <w:locked/>
    <w:rsid w:val="0063267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tuloTabla">
    <w:name w:val="Título Tabla"/>
    <w:qFormat/>
    <w:rsid w:val="002E310F"/>
    <w:pPr>
      <w:spacing w:before="120" w:after="120"/>
      <w:jc w:val="center"/>
    </w:pPr>
    <w:rPr>
      <w:rFonts w:ascii="Times New Roman" w:hAnsi="Times New Roman"/>
      <w:b/>
      <w:color w:val="1F497D"/>
      <w:sz w:val="24"/>
      <w:szCs w:val="24"/>
      <w:lang w:eastAsia="en-US"/>
    </w:rPr>
  </w:style>
  <w:style w:type="table" w:styleId="Tablabsica1">
    <w:name w:val="Table Simple 1"/>
    <w:basedOn w:val="Tablanormal"/>
    <w:uiPriority w:val="99"/>
    <w:unhideWhenUsed/>
    <w:locked/>
    <w:rsid w:val="00B407DF"/>
    <w:pPr>
      <w:spacing w:before="160" w:after="16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blHeader/>
    </w:trPr>
    <w:tcPr>
      <w:shd w:val="clear" w:color="auto" w:fill="auto"/>
      <w:vAlign w:val="center"/>
    </w:tcPr>
    <w:tblStylePr w:type="firstRow">
      <w:pPr>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alfinal">
    <w:name w:val="endnote text"/>
    <w:basedOn w:val="Normal"/>
    <w:link w:val="TextonotaalfinalCar"/>
    <w:uiPriority w:val="99"/>
    <w:semiHidden/>
    <w:unhideWhenUsed/>
    <w:locked/>
    <w:rsid w:val="00DF585B"/>
    <w:rPr>
      <w:szCs w:val="20"/>
      <w:lang w:val="x-none"/>
    </w:rPr>
  </w:style>
  <w:style w:type="character" w:customStyle="1" w:styleId="TextonotaalfinalCar">
    <w:name w:val="Texto nota al final Car"/>
    <w:link w:val="Textonotaalfinal"/>
    <w:uiPriority w:val="99"/>
    <w:semiHidden/>
    <w:rsid w:val="00DF585B"/>
    <w:rPr>
      <w:rFonts w:ascii="Arial" w:hAnsi="Arial"/>
      <w:lang w:eastAsia="en-US"/>
    </w:rPr>
  </w:style>
  <w:style w:type="character" w:styleId="Refdenotaalfinal">
    <w:name w:val="endnote reference"/>
    <w:uiPriority w:val="99"/>
    <w:semiHidden/>
    <w:unhideWhenUsed/>
    <w:locked/>
    <w:rsid w:val="00DF585B"/>
    <w:rPr>
      <w:vertAlign w:val="superscript"/>
    </w:rPr>
  </w:style>
  <w:style w:type="character" w:styleId="Refdecomentario">
    <w:name w:val="annotation reference"/>
    <w:semiHidden/>
    <w:unhideWhenUsed/>
    <w:locked/>
    <w:rsid w:val="00695AEA"/>
    <w:rPr>
      <w:sz w:val="16"/>
      <w:szCs w:val="16"/>
    </w:rPr>
  </w:style>
  <w:style w:type="paragraph" w:styleId="Textocomentario">
    <w:name w:val="annotation text"/>
    <w:basedOn w:val="Normal"/>
    <w:link w:val="TextocomentarioCar"/>
    <w:unhideWhenUsed/>
    <w:locked/>
    <w:rsid w:val="00695AEA"/>
    <w:rPr>
      <w:szCs w:val="20"/>
      <w:lang w:val="x-none"/>
    </w:rPr>
  </w:style>
  <w:style w:type="character" w:customStyle="1" w:styleId="TextocomentarioCar">
    <w:name w:val="Texto comentario Car"/>
    <w:link w:val="Textocomentario"/>
    <w:rsid w:val="00695AEA"/>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locked/>
    <w:rsid w:val="00695AEA"/>
    <w:rPr>
      <w:b/>
      <w:bCs/>
    </w:rPr>
  </w:style>
  <w:style w:type="character" w:customStyle="1" w:styleId="AsuntodelcomentarioCar">
    <w:name w:val="Asunto del comentario Car"/>
    <w:link w:val="Asuntodelcomentario"/>
    <w:uiPriority w:val="99"/>
    <w:semiHidden/>
    <w:rsid w:val="00695AEA"/>
    <w:rPr>
      <w:rFonts w:ascii="Arial" w:hAnsi="Arial"/>
      <w:b/>
      <w:bCs/>
      <w:lang w:eastAsia="en-US"/>
    </w:rPr>
  </w:style>
  <w:style w:type="paragraph" w:customStyle="1" w:styleId="PrrafoTtulos">
    <w:name w:val="Párrafo Títulos"/>
    <w:link w:val="PrrafoTtulosCar"/>
    <w:rsid w:val="00A87066"/>
    <w:pPr>
      <w:spacing w:before="160" w:after="160"/>
      <w:ind w:left="1701"/>
      <w:jc w:val="both"/>
    </w:pPr>
    <w:rPr>
      <w:rFonts w:ascii="Arial" w:hAnsi="Arial"/>
      <w:lang w:eastAsia="en-US"/>
    </w:rPr>
  </w:style>
  <w:style w:type="character" w:customStyle="1" w:styleId="PrrafoTtulosCar">
    <w:name w:val="Párrafo Títulos Car"/>
    <w:link w:val="PrrafoTtulos"/>
    <w:rsid w:val="00A87066"/>
    <w:rPr>
      <w:rFonts w:ascii="Arial" w:hAnsi="Arial"/>
      <w:lang w:eastAsia="en-US"/>
    </w:rPr>
  </w:style>
  <w:style w:type="paragraph" w:styleId="Prrafodelista">
    <w:name w:val="List Paragraph"/>
    <w:aliases w:val="figuras y gráficos,Viñetas,Bulletr List Paragraph,3,titulo 5,Informe,Con viñetas,Normal con viñetas,Use Case List Paragraph,Bullet 1,Bolita,Guión,Viñeta 2,Párrafo de lista3,BOLA,Párrafo de lista21,Titulo 8,Párrafo de lista2,HOJA,BOLADEF"/>
    <w:basedOn w:val="Normal"/>
    <w:link w:val="PrrafodelistaCar"/>
    <w:uiPriority w:val="34"/>
    <w:qFormat/>
    <w:locked/>
    <w:rsid w:val="00C449E6"/>
    <w:pPr>
      <w:spacing w:before="0" w:after="160" w:line="259" w:lineRule="auto"/>
      <w:ind w:left="720"/>
      <w:contextualSpacing/>
      <w:jc w:val="left"/>
    </w:pPr>
    <w:rPr>
      <w:rFonts w:ascii="Calibri" w:eastAsia="Calibri" w:hAnsi="Calibri"/>
      <w:sz w:val="22"/>
      <w:szCs w:val="22"/>
    </w:rPr>
  </w:style>
  <w:style w:type="paragraph" w:customStyle="1" w:styleId="Default">
    <w:name w:val="Default"/>
    <w:rsid w:val="00715AFB"/>
    <w:pPr>
      <w:autoSpaceDE w:val="0"/>
      <w:autoSpaceDN w:val="0"/>
      <w:adjustRightInd w:val="0"/>
    </w:pPr>
    <w:rPr>
      <w:rFonts w:ascii="Arial" w:hAnsi="Arial" w:cs="Arial"/>
      <w:color w:val="000000"/>
      <w:sz w:val="24"/>
      <w:szCs w:val="24"/>
      <w:lang w:val="es-ES" w:eastAsia="es-ES"/>
    </w:rPr>
  </w:style>
  <w:style w:type="paragraph" w:styleId="Textoindependiente">
    <w:name w:val="Body Text"/>
    <w:basedOn w:val="Normal"/>
    <w:link w:val="TextoindependienteCar"/>
    <w:uiPriority w:val="99"/>
    <w:unhideWhenUsed/>
    <w:locked/>
    <w:rsid w:val="00935282"/>
    <w:pPr>
      <w:spacing w:before="0" w:line="240" w:lineRule="auto"/>
      <w:jc w:val="left"/>
    </w:pPr>
    <w:rPr>
      <w:rFonts w:ascii="Calibri" w:eastAsia="Calibri" w:hAnsi="Calibri"/>
      <w:sz w:val="24"/>
      <w:lang w:val="es-ES_tradnl"/>
    </w:rPr>
  </w:style>
  <w:style w:type="character" w:customStyle="1" w:styleId="TextoindependienteCar">
    <w:name w:val="Texto independiente Car"/>
    <w:link w:val="Textoindependiente"/>
    <w:uiPriority w:val="99"/>
    <w:rsid w:val="00935282"/>
    <w:rPr>
      <w:rFonts w:eastAsia="Calibri"/>
      <w:sz w:val="24"/>
      <w:szCs w:val="24"/>
      <w:lang w:val="es-ES_tradnl" w:eastAsia="en-US"/>
    </w:rPr>
  </w:style>
  <w:style w:type="character" w:styleId="Mencinsinresolver">
    <w:name w:val="Unresolved Mention"/>
    <w:uiPriority w:val="99"/>
    <w:semiHidden/>
    <w:unhideWhenUsed/>
    <w:rsid w:val="00EF37A0"/>
    <w:rPr>
      <w:color w:val="605E5C"/>
      <w:shd w:val="clear" w:color="auto" w:fill="E1DFDD"/>
    </w:rPr>
  </w:style>
  <w:style w:type="character" w:customStyle="1" w:styleId="jlqj4b">
    <w:name w:val="jlqj4b"/>
    <w:rsid w:val="00F37A24"/>
  </w:style>
  <w:style w:type="paragraph" w:customStyle="1" w:styleId="Ttulotablacontenidootros">
    <w:name w:val="Título tabla contenido otros"/>
    <w:qFormat/>
    <w:rsid w:val="00A42AF4"/>
    <w:pPr>
      <w:spacing w:after="160" w:line="288" w:lineRule="auto"/>
    </w:pPr>
    <w:rPr>
      <w:rFonts w:ascii="Calibri Light" w:hAnsi="Calibri Light" w:cs="Times New Roman (Títulos en alf"/>
      <w:b/>
      <w:caps/>
      <w:color w:val="004E83"/>
      <w:spacing w:val="20"/>
      <w:sz w:val="32"/>
      <w:szCs w:val="32"/>
      <w:lang w:val="es-CO" w:eastAsia="en-US"/>
    </w:rPr>
  </w:style>
  <w:style w:type="paragraph" w:customStyle="1" w:styleId="TextoCentradoTabla">
    <w:name w:val="Texto Centrado Tabla"/>
    <w:basedOn w:val="TextoJustificadoTabla"/>
    <w:rsid w:val="00AF467B"/>
    <w:pPr>
      <w:jc w:val="center"/>
    </w:pPr>
  </w:style>
  <w:style w:type="paragraph" w:customStyle="1" w:styleId="TextoJustificadoTabla">
    <w:name w:val="Texto Justificado Tabla"/>
    <w:basedOn w:val="Normal"/>
    <w:link w:val="TextoJustificadoTablaChar"/>
    <w:rsid w:val="00AF467B"/>
    <w:pPr>
      <w:spacing w:before="60" w:after="60" w:line="240" w:lineRule="auto"/>
      <w:ind w:left="57" w:right="57"/>
    </w:pPr>
    <w:rPr>
      <w:snapToGrid w:val="0"/>
      <w:sz w:val="16"/>
      <w:szCs w:val="16"/>
      <w:lang w:val="es-ES_tradnl" w:eastAsia="es-ES"/>
    </w:rPr>
  </w:style>
  <w:style w:type="paragraph" w:customStyle="1" w:styleId="TextoCentradoNegritaTabla">
    <w:name w:val="Texto Centrado Negrita Tabla"/>
    <w:basedOn w:val="TextoJustificadoTabla"/>
    <w:rsid w:val="00AF467B"/>
    <w:pPr>
      <w:jc w:val="center"/>
    </w:pPr>
    <w:rPr>
      <w:b/>
    </w:rPr>
  </w:style>
  <w:style w:type="paragraph" w:customStyle="1" w:styleId="TextoJustificadoNegritaTabla">
    <w:name w:val="Texto Justificado Negrita Tabla"/>
    <w:basedOn w:val="TextoJustificadoTabla"/>
    <w:rsid w:val="00AF467B"/>
    <w:rPr>
      <w:b/>
    </w:rPr>
  </w:style>
  <w:style w:type="paragraph" w:customStyle="1" w:styleId="TextoDerechaTabla">
    <w:name w:val="Texto Derecha Tabla"/>
    <w:basedOn w:val="TextoJustificadoTabla"/>
    <w:rsid w:val="00AF467B"/>
    <w:pPr>
      <w:jc w:val="right"/>
    </w:pPr>
  </w:style>
  <w:style w:type="paragraph" w:customStyle="1" w:styleId="ContraportadaTipo">
    <w:name w:val="Contraportada Tipo"/>
    <w:rsid w:val="00AF467B"/>
    <w:pPr>
      <w:spacing w:after="240"/>
      <w:jc w:val="center"/>
    </w:pPr>
    <w:rPr>
      <w:rFonts w:ascii="Arial" w:hAnsi="Arial"/>
      <w:b/>
      <w:caps/>
      <w:spacing w:val="70"/>
      <w:sz w:val="26"/>
      <w:szCs w:val="26"/>
      <w:lang w:eastAsia="en-US"/>
    </w:rPr>
  </w:style>
  <w:style w:type="paragraph" w:customStyle="1" w:styleId="ContraportadaServicio">
    <w:name w:val="Contraportada Servicio"/>
    <w:rsid w:val="00AF467B"/>
    <w:pPr>
      <w:spacing w:after="240"/>
      <w:jc w:val="center"/>
    </w:pPr>
    <w:rPr>
      <w:rFonts w:ascii="Arial" w:hAnsi="Arial"/>
      <w:b/>
      <w:caps/>
      <w:spacing w:val="70"/>
      <w:sz w:val="28"/>
      <w:szCs w:val="28"/>
      <w:lang w:eastAsia="en-US"/>
    </w:rPr>
  </w:style>
  <w:style w:type="paragraph" w:customStyle="1" w:styleId="ContraportadaSerie">
    <w:name w:val="Contraportada Serie"/>
    <w:rsid w:val="00AF467B"/>
    <w:pPr>
      <w:spacing w:after="240"/>
      <w:jc w:val="center"/>
    </w:pPr>
    <w:rPr>
      <w:rFonts w:ascii="Arial" w:hAnsi="Arial"/>
      <w:b/>
      <w:caps/>
      <w:spacing w:val="-6"/>
      <w:sz w:val="26"/>
      <w:szCs w:val="26"/>
      <w:lang w:eastAsia="en-US"/>
    </w:rPr>
  </w:style>
  <w:style w:type="paragraph" w:customStyle="1" w:styleId="TextoJustificadoComprimidoTabla">
    <w:name w:val="Texto Justificado Comprimido Tabla"/>
    <w:basedOn w:val="TextoJustificadoTabla"/>
    <w:rsid w:val="00AF467B"/>
    <w:pPr>
      <w:ind w:left="14" w:right="14"/>
    </w:pPr>
    <w:rPr>
      <w:spacing w:val="-12"/>
    </w:rPr>
  </w:style>
  <w:style w:type="paragraph" w:customStyle="1" w:styleId="TextoCentradoComprimidoTabla">
    <w:name w:val="Texto Centrado Comprimido Tabla"/>
    <w:basedOn w:val="TextoJustificadoComprimidoTabla"/>
    <w:rsid w:val="00AF467B"/>
    <w:pPr>
      <w:jc w:val="center"/>
    </w:pPr>
  </w:style>
  <w:style w:type="paragraph" w:customStyle="1" w:styleId="TextoDerechaComprimidoTabla">
    <w:name w:val="Texto Derecha Comprimido Tabla"/>
    <w:basedOn w:val="TextoJustificadoComprimidoTabla"/>
    <w:rsid w:val="00AF467B"/>
    <w:pPr>
      <w:jc w:val="right"/>
    </w:pPr>
  </w:style>
  <w:style w:type="paragraph" w:customStyle="1" w:styleId="TextoIntroductorioDerecha">
    <w:name w:val="Texto Introductorio Derecha"/>
    <w:basedOn w:val="TextoIntroductorio"/>
    <w:rsid w:val="00AF467B"/>
    <w:pPr>
      <w:keepNext w:val="0"/>
      <w:suppressAutoHyphens w:val="0"/>
      <w:jc w:val="right"/>
    </w:pPr>
  </w:style>
  <w:style w:type="paragraph" w:customStyle="1" w:styleId="PortadaBorrador">
    <w:name w:val="Portada Borrador"/>
    <w:rsid w:val="00AF467B"/>
    <w:pPr>
      <w:jc w:val="right"/>
    </w:pPr>
    <w:rPr>
      <w:rFonts w:ascii="Arial" w:hAnsi="Arial"/>
      <w:b/>
      <w:color w:val="FFFFFF"/>
      <w:sz w:val="32"/>
      <w:szCs w:val="32"/>
      <w:lang w:eastAsia="en-US"/>
    </w:rPr>
  </w:style>
  <w:style w:type="paragraph" w:customStyle="1" w:styleId="TextoIzquierdaTabla">
    <w:name w:val="Texto Izquierda Tabla"/>
    <w:basedOn w:val="TextoJustificadoTabla"/>
    <w:rsid w:val="00AF467B"/>
    <w:pPr>
      <w:jc w:val="left"/>
    </w:pPr>
  </w:style>
  <w:style w:type="paragraph" w:customStyle="1" w:styleId="ContraportadaBorrador">
    <w:name w:val="Contraportada Borrador"/>
    <w:rsid w:val="00AF467B"/>
    <w:rPr>
      <w:rFonts w:ascii="Arial" w:hAnsi="Arial"/>
      <w:b/>
      <w:color w:val="808080"/>
      <w:sz w:val="28"/>
      <w:szCs w:val="28"/>
      <w:lang w:eastAsia="en-US"/>
    </w:rPr>
  </w:style>
  <w:style w:type="paragraph" w:customStyle="1" w:styleId="TextoIzquierdaComprimidoTabla">
    <w:name w:val="Texto Izquierda Comprimido Tabla"/>
    <w:basedOn w:val="TextoJustificadoComprimidoTabla"/>
    <w:rsid w:val="00AF467B"/>
    <w:pPr>
      <w:jc w:val="left"/>
    </w:pPr>
  </w:style>
  <w:style w:type="paragraph" w:customStyle="1" w:styleId="TextoCentradoNegritaComprimidoTabla">
    <w:name w:val="Texto Centrado Negrita Comprimido Tabla"/>
    <w:basedOn w:val="TextoJustificadoComprimidoTabla"/>
    <w:rsid w:val="00AF467B"/>
    <w:pPr>
      <w:jc w:val="center"/>
    </w:pPr>
    <w:rPr>
      <w:b/>
    </w:rPr>
  </w:style>
  <w:style w:type="character" w:styleId="Nmerodepgina">
    <w:name w:val="page number"/>
    <w:basedOn w:val="Fuentedeprrafopredeter"/>
    <w:semiHidden/>
    <w:locked/>
    <w:rsid w:val="00AF467B"/>
  </w:style>
  <w:style w:type="paragraph" w:customStyle="1" w:styleId="TextoJustificadoNegritaComprimidoTabla">
    <w:name w:val="Texto Justificado Negrita Comprimido Tabla"/>
    <w:basedOn w:val="TextoJustificadoComprimidoTabla"/>
    <w:rsid w:val="00AF467B"/>
    <w:rPr>
      <w:b/>
    </w:rPr>
  </w:style>
  <w:style w:type="paragraph" w:customStyle="1" w:styleId="PrrafoTtuloEspecial">
    <w:name w:val="Párrafo Título Especial"/>
    <w:basedOn w:val="PrrafoTtulos"/>
    <w:rsid w:val="00AF467B"/>
    <w:rPr>
      <w:sz w:val="6"/>
    </w:rPr>
  </w:style>
  <w:style w:type="paragraph" w:customStyle="1" w:styleId="PrrafoTtulosNegritaCentrada">
    <w:name w:val="Párrafo Títulos Negrita Centrada"/>
    <w:basedOn w:val="Normal"/>
    <w:next w:val="Normal"/>
    <w:rsid w:val="00AF467B"/>
    <w:pPr>
      <w:spacing w:after="160" w:line="240" w:lineRule="auto"/>
      <w:ind w:left="1701"/>
      <w:jc w:val="center"/>
    </w:pPr>
    <w:rPr>
      <w:b/>
      <w:szCs w:val="20"/>
    </w:rPr>
  </w:style>
  <w:style w:type="paragraph" w:styleId="Mapadeldocumento">
    <w:name w:val="Document Map"/>
    <w:basedOn w:val="Normal"/>
    <w:link w:val="MapadeldocumentoCar"/>
    <w:semiHidden/>
    <w:locked/>
    <w:rsid w:val="00AF467B"/>
    <w:pPr>
      <w:shd w:val="clear" w:color="auto" w:fill="000080"/>
      <w:spacing w:before="0" w:after="0" w:line="240" w:lineRule="auto"/>
      <w:jc w:val="left"/>
    </w:pPr>
    <w:rPr>
      <w:rFonts w:ascii="Tahoma" w:hAnsi="Tahoma" w:cs="Tahoma"/>
      <w:szCs w:val="20"/>
    </w:rPr>
  </w:style>
  <w:style w:type="character" w:customStyle="1" w:styleId="MapadeldocumentoCar">
    <w:name w:val="Mapa del documento Car"/>
    <w:link w:val="Mapadeldocumento"/>
    <w:semiHidden/>
    <w:rsid w:val="00AF467B"/>
    <w:rPr>
      <w:rFonts w:ascii="Tahoma" w:hAnsi="Tahoma" w:cs="Tahoma"/>
      <w:shd w:val="clear" w:color="auto" w:fill="000080"/>
      <w:lang w:eastAsia="en-US"/>
    </w:rPr>
  </w:style>
  <w:style w:type="character" w:customStyle="1" w:styleId="TextoJustificadoTablaChar">
    <w:name w:val="Texto Justificado Tabla Char"/>
    <w:link w:val="TextoJustificadoTabla"/>
    <w:rsid w:val="00AF467B"/>
    <w:rPr>
      <w:rFonts w:ascii="Arial" w:hAnsi="Arial"/>
      <w:snapToGrid w:val="0"/>
      <w:sz w:val="16"/>
      <w:szCs w:val="16"/>
      <w:lang w:val="es-ES_tradnl" w:eastAsia="es-ES"/>
    </w:rPr>
  </w:style>
  <w:style w:type="paragraph" w:styleId="Listaconnmeros2">
    <w:name w:val="List Number 2"/>
    <w:basedOn w:val="Normal"/>
    <w:uiPriority w:val="99"/>
    <w:unhideWhenUsed/>
    <w:locked/>
    <w:rsid w:val="00AF467B"/>
    <w:pPr>
      <w:numPr>
        <w:numId w:val="4"/>
      </w:numPr>
      <w:contextualSpacing/>
    </w:pPr>
  </w:style>
  <w:style w:type="paragraph" w:styleId="Descripcin">
    <w:name w:val="caption"/>
    <w:basedOn w:val="Normal"/>
    <w:next w:val="Normal"/>
    <w:uiPriority w:val="35"/>
    <w:semiHidden/>
    <w:unhideWhenUsed/>
    <w:qFormat/>
    <w:locked/>
    <w:rsid w:val="00AF467B"/>
    <w:rPr>
      <w:b/>
      <w:bCs/>
      <w:szCs w:val="20"/>
    </w:rPr>
  </w:style>
  <w:style w:type="paragraph" w:styleId="NormalWeb">
    <w:name w:val="Normal (Web)"/>
    <w:basedOn w:val="Normal"/>
    <w:uiPriority w:val="99"/>
    <w:unhideWhenUsed/>
    <w:locked/>
    <w:rsid w:val="00AC6A76"/>
    <w:pPr>
      <w:spacing w:before="100" w:beforeAutospacing="1" w:after="100" w:afterAutospacing="1" w:line="240" w:lineRule="auto"/>
      <w:jc w:val="left"/>
    </w:pPr>
    <w:rPr>
      <w:rFonts w:ascii="Times New Roman" w:hAnsi="Times New Roman"/>
      <w:sz w:val="24"/>
      <w:lang w:eastAsia="es-CR"/>
    </w:rPr>
  </w:style>
  <w:style w:type="character" w:styleId="nfasis">
    <w:name w:val="Emphasis"/>
    <w:uiPriority w:val="20"/>
    <w:qFormat/>
    <w:locked/>
    <w:rsid w:val="00AC6A76"/>
    <w:rPr>
      <w:i/>
      <w:iCs/>
    </w:rPr>
  </w:style>
  <w:style w:type="paragraph" w:styleId="Ttulo">
    <w:name w:val="Title"/>
    <w:basedOn w:val="Normal"/>
    <w:next w:val="Normal"/>
    <w:link w:val="TtuloCar"/>
    <w:qFormat/>
    <w:locked/>
    <w:rsid w:val="002A278F"/>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2A278F"/>
    <w:rPr>
      <w:rFonts w:ascii="Calibri Light" w:hAnsi="Calibri Light"/>
      <w:b/>
      <w:bCs/>
      <w:kern w:val="28"/>
      <w:sz w:val="32"/>
      <w:szCs w:val="32"/>
      <w:lang w:eastAsia="en-US"/>
    </w:rPr>
  </w:style>
  <w:style w:type="character" w:customStyle="1" w:styleId="ui-provider">
    <w:name w:val="ui-provider"/>
    <w:basedOn w:val="Fuentedeprrafopredeter"/>
    <w:rsid w:val="00E861A0"/>
  </w:style>
  <w:style w:type="paragraph" w:styleId="Sinespaciado">
    <w:name w:val="No Spacing"/>
    <w:link w:val="SinespaciadoCar"/>
    <w:uiPriority w:val="1"/>
    <w:qFormat/>
    <w:locked/>
    <w:rsid w:val="00AC6C1B"/>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C6C1B"/>
    <w:rPr>
      <w:rFonts w:asciiTheme="minorHAnsi" w:eastAsiaTheme="minorEastAsia" w:hAnsiTheme="minorHAnsi" w:cstheme="minorBidi"/>
      <w:sz w:val="22"/>
      <w:szCs w:val="22"/>
    </w:rPr>
  </w:style>
  <w:style w:type="character" w:customStyle="1" w:styleId="PrrafodelistaCar">
    <w:name w:val="Párrafo de lista Car"/>
    <w:aliases w:val="figuras y gráficos Car,Viñetas Car,Bulletr List Paragraph Car,3 Car,titulo 5 Car,Informe Car,Con viñetas Car,Normal con viñetas Car,Use Case List Paragraph Car,Bullet 1 Car,Bolita Car,Guión Car,Viñeta 2 Car,Párrafo de lista3 Car"/>
    <w:link w:val="Prrafodelista"/>
    <w:uiPriority w:val="34"/>
    <w:qFormat/>
    <w:locked/>
    <w:rsid w:val="007A7839"/>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4183">
      <w:bodyDiv w:val="1"/>
      <w:marLeft w:val="0"/>
      <w:marRight w:val="0"/>
      <w:marTop w:val="0"/>
      <w:marBottom w:val="0"/>
      <w:divBdr>
        <w:top w:val="none" w:sz="0" w:space="0" w:color="auto"/>
        <w:left w:val="none" w:sz="0" w:space="0" w:color="auto"/>
        <w:bottom w:val="none" w:sz="0" w:space="0" w:color="auto"/>
        <w:right w:val="none" w:sz="0" w:space="0" w:color="auto"/>
      </w:divBdr>
    </w:div>
    <w:div w:id="1000736785">
      <w:bodyDiv w:val="1"/>
      <w:marLeft w:val="0"/>
      <w:marRight w:val="0"/>
      <w:marTop w:val="0"/>
      <w:marBottom w:val="0"/>
      <w:divBdr>
        <w:top w:val="none" w:sz="0" w:space="0" w:color="auto"/>
        <w:left w:val="none" w:sz="0" w:space="0" w:color="auto"/>
        <w:bottom w:val="none" w:sz="0" w:space="0" w:color="auto"/>
        <w:right w:val="none" w:sz="0" w:space="0" w:color="auto"/>
      </w:divBdr>
    </w:div>
    <w:div w:id="1181821887">
      <w:bodyDiv w:val="1"/>
      <w:marLeft w:val="0"/>
      <w:marRight w:val="0"/>
      <w:marTop w:val="0"/>
      <w:marBottom w:val="0"/>
      <w:divBdr>
        <w:top w:val="none" w:sz="0" w:space="0" w:color="auto"/>
        <w:left w:val="none" w:sz="0" w:space="0" w:color="auto"/>
        <w:bottom w:val="none" w:sz="0" w:space="0" w:color="auto"/>
        <w:right w:val="none" w:sz="0" w:space="0" w:color="auto"/>
      </w:divBdr>
    </w:div>
    <w:div w:id="15123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nam12.safelinks.protection.outlook.com/?url=https%3A%2F%2Fwww.centraldirecto.fi.cr%2F&amp;data=05%7C02%7CJIMENEZQJ%40bccr.fi.cr%7C50a0895d5a77406eb96908dce179d450%7C618d0a4525a646189f808f70a435ee52%7C0%7C0%7C638633160568005372%7CUnknown%7CTWFpbGZsb3d8eyJWIjoiMC4wLjAwMDAiLCJQIjoiV2luMzIiLCJBTiI6Ik1haWwiLCJXVCI6Mn0%3D%7C0%7C%7C%7C&amp;sdata=HpzGmehxzSAorFtM%2FRCDXUXi0ZXGrNKNEDm%2Bv0hnTHk%3D&amp;reserved=0" TargetMode="External"/><Relationship Id="rId26" Type="http://schemas.openxmlformats.org/officeDocument/2006/relationships/image" Target="media/image7.emf"/><Relationship Id="rId39" Type="http://schemas.openxmlformats.org/officeDocument/2006/relationships/footer" Target="footer4.xml"/><Relationship Id="rId21" Type="http://schemas.openxmlformats.org/officeDocument/2006/relationships/hyperlink" Target="https://atencionalcliente.bccr.fi.cr/Sitio/" TargetMode="External"/><Relationship Id="rId34" Type="http://schemas.openxmlformats.org/officeDocument/2006/relationships/image" Target="media/image11.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INPE-TP-Notificaciones@bccr.fi.cr" TargetMode="Externa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Word_Document3.docx"/><Relationship Id="rId40" Type="http://schemas.openxmlformats.org/officeDocument/2006/relationships/footer" Target="footer5.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Microsoft_Word_Document.docx"/><Relationship Id="rId28" Type="http://schemas.openxmlformats.org/officeDocument/2006/relationships/image" Target="media/image8.emf"/><Relationship Id="rId36" Type="http://schemas.openxmlformats.org/officeDocument/2006/relationships/image" Target="media/image12.emf"/><Relationship Id="rId10" Type="http://schemas.openxmlformats.org/officeDocument/2006/relationships/footer" Target="footer2.xml"/><Relationship Id="rId19" Type="http://schemas.openxmlformats.org/officeDocument/2006/relationships/hyperlink" Target="https://atencionalcliente.bccr.fi.cr/Sitio/" TargetMode="External"/><Relationship Id="rId31" Type="http://schemas.openxmlformats.org/officeDocument/2006/relationships/package" Target="embeddings/Microsoft_Word_Document1.docx"/><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oleObject" Target="embeddings/oleObject2.bin"/><Relationship Id="rId30" Type="http://schemas.openxmlformats.org/officeDocument/2006/relationships/image" Target="media/image9.emf"/><Relationship Id="rId35" Type="http://schemas.openxmlformats.org/officeDocument/2006/relationships/package" Target="embeddings/Microsoft_Word_Document2.docx"/><Relationship Id="rId43"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SINPE-TP-Notificaciones@bccr.fi.cr" TargetMode="External"/><Relationship Id="rId25" Type="http://schemas.openxmlformats.org/officeDocument/2006/relationships/oleObject" Target="embeddings/oleObject1.bin"/><Relationship Id="rId33" Type="http://schemas.openxmlformats.org/officeDocument/2006/relationships/package" Target="embeddings/Microsoft_Excel_Worksheet.xlsx"/><Relationship Id="rId38" Type="http://schemas.openxmlformats.org/officeDocument/2006/relationships/header" Target="header3.xml"/><Relationship Id="rId20" Type="http://schemas.openxmlformats.org/officeDocument/2006/relationships/hyperlink" Target="mailto:atencionalciudadano@bccr.fi.cr" TargetMode="External"/><Relationship Id="rId4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os%20Usuarios\VARGASRL\Desktop\Norma%20complementaria%20-Padron%20de%20cuentas%20%20PLANTIL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80C58-D59F-4444-8F45-18CCEC796EBE}">
  <ds:schemaRefs>
    <ds:schemaRef ds:uri="http://schemas.openxmlformats.org/officeDocument/2006/bibliography"/>
  </ds:schemaRefs>
</ds:datastoreItem>
</file>

<file path=customXml/itemProps2.xml><?xml version="1.0" encoding="utf-8"?>
<ds:datastoreItem xmlns:ds="http://schemas.openxmlformats.org/officeDocument/2006/customXml" ds:itemID="{6C6C065F-4B83-4CF4-8091-F78215206A68}"/>
</file>

<file path=customXml/itemProps3.xml><?xml version="1.0" encoding="utf-8"?>
<ds:datastoreItem xmlns:ds="http://schemas.openxmlformats.org/officeDocument/2006/customXml" ds:itemID="{EF25415F-67D3-44ED-89D8-1A73D1B69187}"/>
</file>

<file path=customXml/itemProps4.xml><?xml version="1.0" encoding="utf-8"?>
<ds:datastoreItem xmlns:ds="http://schemas.openxmlformats.org/officeDocument/2006/customXml" ds:itemID="{7BB04241-A15D-4248-B565-29203577F905}"/>
</file>

<file path=docProps/app.xml><?xml version="1.0" encoding="utf-8"?>
<Properties xmlns="http://schemas.openxmlformats.org/officeDocument/2006/extended-properties" xmlns:vt="http://schemas.openxmlformats.org/officeDocument/2006/docPropsVTypes">
  <Template>Norma complementaria -Padron de cuentas  PLANTILLA</Template>
  <TotalTime>9</TotalTime>
  <Pages>23</Pages>
  <Words>8431</Words>
  <Characters>46060</Characters>
  <Application>Microsoft Office Word</Application>
  <DocSecurity>0</DocSecurity>
  <Lines>787</Lines>
  <Paragraphs>353</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54179</CharactersWithSpaces>
  <SharedDoc>false</SharedDoc>
  <HLinks>
    <vt:vector size="258" baseType="variant">
      <vt:variant>
        <vt:i4>4194337</vt:i4>
      </vt:variant>
      <vt:variant>
        <vt:i4>258</vt:i4>
      </vt:variant>
      <vt:variant>
        <vt:i4>0</vt:i4>
      </vt:variant>
      <vt:variant>
        <vt:i4>5</vt:i4>
      </vt:variant>
      <vt:variant>
        <vt:lpwstr>mailto:DSP-SNP-COS@bccr.fi.cr</vt:lpwstr>
      </vt:variant>
      <vt:variant>
        <vt:lpwstr/>
      </vt:variant>
      <vt:variant>
        <vt:i4>1572917</vt:i4>
      </vt:variant>
      <vt:variant>
        <vt:i4>248</vt:i4>
      </vt:variant>
      <vt:variant>
        <vt:i4>0</vt:i4>
      </vt:variant>
      <vt:variant>
        <vt:i4>5</vt:i4>
      </vt:variant>
      <vt:variant>
        <vt:lpwstr/>
      </vt:variant>
      <vt:variant>
        <vt:lpwstr>_Toc103258252</vt:lpwstr>
      </vt:variant>
      <vt:variant>
        <vt:i4>1572917</vt:i4>
      </vt:variant>
      <vt:variant>
        <vt:i4>242</vt:i4>
      </vt:variant>
      <vt:variant>
        <vt:i4>0</vt:i4>
      </vt:variant>
      <vt:variant>
        <vt:i4>5</vt:i4>
      </vt:variant>
      <vt:variant>
        <vt:lpwstr/>
      </vt:variant>
      <vt:variant>
        <vt:lpwstr>_Toc103258251</vt:lpwstr>
      </vt:variant>
      <vt:variant>
        <vt:i4>1572917</vt:i4>
      </vt:variant>
      <vt:variant>
        <vt:i4>236</vt:i4>
      </vt:variant>
      <vt:variant>
        <vt:i4>0</vt:i4>
      </vt:variant>
      <vt:variant>
        <vt:i4>5</vt:i4>
      </vt:variant>
      <vt:variant>
        <vt:lpwstr/>
      </vt:variant>
      <vt:variant>
        <vt:lpwstr>_Toc103258250</vt:lpwstr>
      </vt:variant>
      <vt:variant>
        <vt:i4>1638453</vt:i4>
      </vt:variant>
      <vt:variant>
        <vt:i4>230</vt:i4>
      </vt:variant>
      <vt:variant>
        <vt:i4>0</vt:i4>
      </vt:variant>
      <vt:variant>
        <vt:i4>5</vt:i4>
      </vt:variant>
      <vt:variant>
        <vt:lpwstr/>
      </vt:variant>
      <vt:variant>
        <vt:lpwstr>_Toc103258249</vt:lpwstr>
      </vt:variant>
      <vt:variant>
        <vt:i4>1638453</vt:i4>
      </vt:variant>
      <vt:variant>
        <vt:i4>224</vt:i4>
      </vt:variant>
      <vt:variant>
        <vt:i4>0</vt:i4>
      </vt:variant>
      <vt:variant>
        <vt:i4>5</vt:i4>
      </vt:variant>
      <vt:variant>
        <vt:lpwstr/>
      </vt:variant>
      <vt:variant>
        <vt:lpwstr>_Toc103258248</vt:lpwstr>
      </vt:variant>
      <vt:variant>
        <vt:i4>1638453</vt:i4>
      </vt:variant>
      <vt:variant>
        <vt:i4>218</vt:i4>
      </vt:variant>
      <vt:variant>
        <vt:i4>0</vt:i4>
      </vt:variant>
      <vt:variant>
        <vt:i4>5</vt:i4>
      </vt:variant>
      <vt:variant>
        <vt:lpwstr/>
      </vt:variant>
      <vt:variant>
        <vt:lpwstr>_Toc103258247</vt:lpwstr>
      </vt:variant>
      <vt:variant>
        <vt:i4>1638453</vt:i4>
      </vt:variant>
      <vt:variant>
        <vt:i4>212</vt:i4>
      </vt:variant>
      <vt:variant>
        <vt:i4>0</vt:i4>
      </vt:variant>
      <vt:variant>
        <vt:i4>5</vt:i4>
      </vt:variant>
      <vt:variant>
        <vt:lpwstr/>
      </vt:variant>
      <vt:variant>
        <vt:lpwstr>_Toc103258246</vt:lpwstr>
      </vt:variant>
      <vt:variant>
        <vt:i4>1638453</vt:i4>
      </vt:variant>
      <vt:variant>
        <vt:i4>206</vt:i4>
      </vt:variant>
      <vt:variant>
        <vt:i4>0</vt:i4>
      </vt:variant>
      <vt:variant>
        <vt:i4>5</vt:i4>
      </vt:variant>
      <vt:variant>
        <vt:lpwstr/>
      </vt:variant>
      <vt:variant>
        <vt:lpwstr>_Toc103258245</vt:lpwstr>
      </vt:variant>
      <vt:variant>
        <vt:i4>1638453</vt:i4>
      </vt:variant>
      <vt:variant>
        <vt:i4>200</vt:i4>
      </vt:variant>
      <vt:variant>
        <vt:i4>0</vt:i4>
      </vt:variant>
      <vt:variant>
        <vt:i4>5</vt:i4>
      </vt:variant>
      <vt:variant>
        <vt:lpwstr/>
      </vt:variant>
      <vt:variant>
        <vt:lpwstr>_Toc103258244</vt:lpwstr>
      </vt:variant>
      <vt:variant>
        <vt:i4>1638453</vt:i4>
      </vt:variant>
      <vt:variant>
        <vt:i4>194</vt:i4>
      </vt:variant>
      <vt:variant>
        <vt:i4>0</vt:i4>
      </vt:variant>
      <vt:variant>
        <vt:i4>5</vt:i4>
      </vt:variant>
      <vt:variant>
        <vt:lpwstr/>
      </vt:variant>
      <vt:variant>
        <vt:lpwstr>_Toc103258243</vt:lpwstr>
      </vt:variant>
      <vt:variant>
        <vt:i4>1638453</vt:i4>
      </vt:variant>
      <vt:variant>
        <vt:i4>188</vt:i4>
      </vt:variant>
      <vt:variant>
        <vt:i4>0</vt:i4>
      </vt:variant>
      <vt:variant>
        <vt:i4>5</vt:i4>
      </vt:variant>
      <vt:variant>
        <vt:lpwstr/>
      </vt:variant>
      <vt:variant>
        <vt:lpwstr>_Toc103258242</vt:lpwstr>
      </vt:variant>
      <vt:variant>
        <vt:i4>1638453</vt:i4>
      </vt:variant>
      <vt:variant>
        <vt:i4>182</vt:i4>
      </vt:variant>
      <vt:variant>
        <vt:i4>0</vt:i4>
      </vt:variant>
      <vt:variant>
        <vt:i4>5</vt:i4>
      </vt:variant>
      <vt:variant>
        <vt:lpwstr/>
      </vt:variant>
      <vt:variant>
        <vt:lpwstr>_Toc103258241</vt:lpwstr>
      </vt:variant>
      <vt:variant>
        <vt:i4>1966133</vt:i4>
      </vt:variant>
      <vt:variant>
        <vt:i4>176</vt:i4>
      </vt:variant>
      <vt:variant>
        <vt:i4>0</vt:i4>
      </vt:variant>
      <vt:variant>
        <vt:i4>5</vt:i4>
      </vt:variant>
      <vt:variant>
        <vt:lpwstr/>
      </vt:variant>
      <vt:variant>
        <vt:lpwstr>_Toc103258239</vt:lpwstr>
      </vt:variant>
      <vt:variant>
        <vt:i4>1966133</vt:i4>
      </vt:variant>
      <vt:variant>
        <vt:i4>170</vt:i4>
      </vt:variant>
      <vt:variant>
        <vt:i4>0</vt:i4>
      </vt:variant>
      <vt:variant>
        <vt:i4>5</vt:i4>
      </vt:variant>
      <vt:variant>
        <vt:lpwstr/>
      </vt:variant>
      <vt:variant>
        <vt:lpwstr>_Toc103258238</vt:lpwstr>
      </vt:variant>
      <vt:variant>
        <vt:i4>1966133</vt:i4>
      </vt:variant>
      <vt:variant>
        <vt:i4>164</vt:i4>
      </vt:variant>
      <vt:variant>
        <vt:i4>0</vt:i4>
      </vt:variant>
      <vt:variant>
        <vt:i4>5</vt:i4>
      </vt:variant>
      <vt:variant>
        <vt:lpwstr/>
      </vt:variant>
      <vt:variant>
        <vt:lpwstr>_Toc103258237</vt:lpwstr>
      </vt:variant>
      <vt:variant>
        <vt:i4>1966133</vt:i4>
      </vt:variant>
      <vt:variant>
        <vt:i4>158</vt:i4>
      </vt:variant>
      <vt:variant>
        <vt:i4>0</vt:i4>
      </vt:variant>
      <vt:variant>
        <vt:i4>5</vt:i4>
      </vt:variant>
      <vt:variant>
        <vt:lpwstr/>
      </vt:variant>
      <vt:variant>
        <vt:lpwstr>_Toc103258236</vt:lpwstr>
      </vt:variant>
      <vt:variant>
        <vt:i4>2031669</vt:i4>
      </vt:variant>
      <vt:variant>
        <vt:i4>152</vt:i4>
      </vt:variant>
      <vt:variant>
        <vt:i4>0</vt:i4>
      </vt:variant>
      <vt:variant>
        <vt:i4>5</vt:i4>
      </vt:variant>
      <vt:variant>
        <vt:lpwstr/>
      </vt:variant>
      <vt:variant>
        <vt:lpwstr>_Toc103258226</vt:lpwstr>
      </vt:variant>
      <vt:variant>
        <vt:i4>2031669</vt:i4>
      </vt:variant>
      <vt:variant>
        <vt:i4>146</vt:i4>
      </vt:variant>
      <vt:variant>
        <vt:i4>0</vt:i4>
      </vt:variant>
      <vt:variant>
        <vt:i4>5</vt:i4>
      </vt:variant>
      <vt:variant>
        <vt:lpwstr/>
      </vt:variant>
      <vt:variant>
        <vt:lpwstr>_Toc103258225</vt:lpwstr>
      </vt:variant>
      <vt:variant>
        <vt:i4>2031669</vt:i4>
      </vt:variant>
      <vt:variant>
        <vt:i4>140</vt:i4>
      </vt:variant>
      <vt:variant>
        <vt:i4>0</vt:i4>
      </vt:variant>
      <vt:variant>
        <vt:i4>5</vt:i4>
      </vt:variant>
      <vt:variant>
        <vt:lpwstr/>
      </vt:variant>
      <vt:variant>
        <vt:lpwstr>_Toc103258222</vt:lpwstr>
      </vt:variant>
      <vt:variant>
        <vt:i4>2031669</vt:i4>
      </vt:variant>
      <vt:variant>
        <vt:i4>134</vt:i4>
      </vt:variant>
      <vt:variant>
        <vt:i4>0</vt:i4>
      </vt:variant>
      <vt:variant>
        <vt:i4>5</vt:i4>
      </vt:variant>
      <vt:variant>
        <vt:lpwstr/>
      </vt:variant>
      <vt:variant>
        <vt:lpwstr>_Toc103258221</vt:lpwstr>
      </vt:variant>
      <vt:variant>
        <vt:i4>1835061</vt:i4>
      </vt:variant>
      <vt:variant>
        <vt:i4>128</vt:i4>
      </vt:variant>
      <vt:variant>
        <vt:i4>0</vt:i4>
      </vt:variant>
      <vt:variant>
        <vt:i4>5</vt:i4>
      </vt:variant>
      <vt:variant>
        <vt:lpwstr/>
      </vt:variant>
      <vt:variant>
        <vt:lpwstr>_Toc103258216</vt:lpwstr>
      </vt:variant>
      <vt:variant>
        <vt:i4>1835061</vt:i4>
      </vt:variant>
      <vt:variant>
        <vt:i4>122</vt:i4>
      </vt:variant>
      <vt:variant>
        <vt:i4>0</vt:i4>
      </vt:variant>
      <vt:variant>
        <vt:i4>5</vt:i4>
      </vt:variant>
      <vt:variant>
        <vt:lpwstr/>
      </vt:variant>
      <vt:variant>
        <vt:lpwstr>_Toc103258214</vt:lpwstr>
      </vt:variant>
      <vt:variant>
        <vt:i4>1835061</vt:i4>
      </vt:variant>
      <vt:variant>
        <vt:i4>116</vt:i4>
      </vt:variant>
      <vt:variant>
        <vt:i4>0</vt:i4>
      </vt:variant>
      <vt:variant>
        <vt:i4>5</vt:i4>
      </vt:variant>
      <vt:variant>
        <vt:lpwstr/>
      </vt:variant>
      <vt:variant>
        <vt:lpwstr>_Toc103258213</vt:lpwstr>
      </vt:variant>
      <vt:variant>
        <vt:i4>1835061</vt:i4>
      </vt:variant>
      <vt:variant>
        <vt:i4>110</vt:i4>
      </vt:variant>
      <vt:variant>
        <vt:i4>0</vt:i4>
      </vt:variant>
      <vt:variant>
        <vt:i4>5</vt:i4>
      </vt:variant>
      <vt:variant>
        <vt:lpwstr/>
      </vt:variant>
      <vt:variant>
        <vt:lpwstr>_Toc103258212</vt:lpwstr>
      </vt:variant>
      <vt:variant>
        <vt:i4>1835061</vt:i4>
      </vt:variant>
      <vt:variant>
        <vt:i4>104</vt:i4>
      </vt:variant>
      <vt:variant>
        <vt:i4>0</vt:i4>
      </vt:variant>
      <vt:variant>
        <vt:i4>5</vt:i4>
      </vt:variant>
      <vt:variant>
        <vt:lpwstr/>
      </vt:variant>
      <vt:variant>
        <vt:lpwstr>_Toc103258210</vt:lpwstr>
      </vt:variant>
      <vt:variant>
        <vt:i4>1900597</vt:i4>
      </vt:variant>
      <vt:variant>
        <vt:i4>98</vt:i4>
      </vt:variant>
      <vt:variant>
        <vt:i4>0</vt:i4>
      </vt:variant>
      <vt:variant>
        <vt:i4>5</vt:i4>
      </vt:variant>
      <vt:variant>
        <vt:lpwstr/>
      </vt:variant>
      <vt:variant>
        <vt:lpwstr>_Toc103258207</vt:lpwstr>
      </vt:variant>
      <vt:variant>
        <vt:i4>1900597</vt:i4>
      </vt:variant>
      <vt:variant>
        <vt:i4>92</vt:i4>
      </vt:variant>
      <vt:variant>
        <vt:i4>0</vt:i4>
      </vt:variant>
      <vt:variant>
        <vt:i4>5</vt:i4>
      </vt:variant>
      <vt:variant>
        <vt:lpwstr/>
      </vt:variant>
      <vt:variant>
        <vt:lpwstr>_Toc103258206</vt:lpwstr>
      </vt:variant>
      <vt:variant>
        <vt:i4>1900597</vt:i4>
      </vt:variant>
      <vt:variant>
        <vt:i4>86</vt:i4>
      </vt:variant>
      <vt:variant>
        <vt:i4>0</vt:i4>
      </vt:variant>
      <vt:variant>
        <vt:i4>5</vt:i4>
      </vt:variant>
      <vt:variant>
        <vt:lpwstr/>
      </vt:variant>
      <vt:variant>
        <vt:lpwstr>_Toc103258205</vt:lpwstr>
      </vt:variant>
      <vt:variant>
        <vt:i4>1900597</vt:i4>
      </vt:variant>
      <vt:variant>
        <vt:i4>80</vt:i4>
      </vt:variant>
      <vt:variant>
        <vt:i4>0</vt:i4>
      </vt:variant>
      <vt:variant>
        <vt:i4>5</vt:i4>
      </vt:variant>
      <vt:variant>
        <vt:lpwstr/>
      </vt:variant>
      <vt:variant>
        <vt:lpwstr>_Toc103258204</vt:lpwstr>
      </vt:variant>
      <vt:variant>
        <vt:i4>1900597</vt:i4>
      </vt:variant>
      <vt:variant>
        <vt:i4>74</vt:i4>
      </vt:variant>
      <vt:variant>
        <vt:i4>0</vt:i4>
      </vt:variant>
      <vt:variant>
        <vt:i4>5</vt:i4>
      </vt:variant>
      <vt:variant>
        <vt:lpwstr/>
      </vt:variant>
      <vt:variant>
        <vt:lpwstr>_Toc103258203</vt:lpwstr>
      </vt:variant>
      <vt:variant>
        <vt:i4>1900597</vt:i4>
      </vt:variant>
      <vt:variant>
        <vt:i4>68</vt:i4>
      </vt:variant>
      <vt:variant>
        <vt:i4>0</vt:i4>
      </vt:variant>
      <vt:variant>
        <vt:i4>5</vt:i4>
      </vt:variant>
      <vt:variant>
        <vt:lpwstr/>
      </vt:variant>
      <vt:variant>
        <vt:lpwstr>_Toc103258202</vt:lpwstr>
      </vt:variant>
      <vt:variant>
        <vt:i4>1900597</vt:i4>
      </vt:variant>
      <vt:variant>
        <vt:i4>62</vt:i4>
      </vt:variant>
      <vt:variant>
        <vt:i4>0</vt:i4>
      </vt:variant>
      <vt:variant>
        <vt:i4>5</vt:i4>
      </vt:variant>
      <vt:variant>
        <vt:lpwstr/>
      </vt:variant>
      <vt:variant>
        <vt:lpwstr>_Toc103258201</vt:lpwstr>
      </vt:variant>
      <vt:variant>
        <vt:i4>1310774</vt:i4>
      </vt:variant>
      <vt:variant>
        <vt:i4>56</vt:i4>
      </vt:variant>
      <vt:variant>
        <vt:i4>0</vt:i4>
      </vt:variant>
      <vt:variant>
        <vt:i4>5</vt:i4>
      </vt:variant>
      <vt:variant>
        <vt:lpwstr/>
      </vt:variant>
      <vt:variant>
        <vt:lpwstr>_Toc103258199</vt:lpwstr>
      </vt:variant>
      <vt:variant>
        <vt:i4>1310774</vt:i4>
      </vt:variant>
      <vt:variant>
        <vt:i4>50</vt:i4>
      </vt:variant>
      <vt:variant>
        <vt:i4>0</vt:i4>
      </vt:variant>
      <vt:variant>
        <vt:i4>5</vt:i4>
      </vt:variant>
      <vt:variant>
        <vt:lpwstr/>
      </vt:variant>
      <vt:variant>
        <vt:lpwstr>_Toc103258198</vt:lpwstr>
      </vt:variant>
      <vt:variant>
        <vt:i4>1310774</vt:i4>
      </vt:variant>
      <vt:variant>
        <vt:i4>44</vt:i4>
      </vt:variant>
      <vt:variant>
        <vt:i4>0</vt:i4>
      </vt:variant>
      <vt:variant>
        <vt:i4>5</vt:i4>
      </vt:variant>
      <vt:variant>
        <vt:lpwstr/>
      </vt:variant>
      <vt:variant>
        <vt:lpwstr>_Toc103258197</vt:lpwstr>
      </vt:variant>
      <vt:variant>
        <vt:i4>1310774</vt:i4>
      </vt:variant>
      <vt:variant>
        <vt:i4>38</vt:i4>
      </vt:variant>
      <vt:variant>
        <vt:i4>0</vt:i4>
      </vt:variant>
      <vt:variant>
        <vt:i4>5</vt:i4>
      </vt:variant>
      <vt:variant>
        <vt:lpwstr/>
      </vt:variant>
      <vt:variant>
        <vt:lpwstr>_Toc103258196</vt:lpwstr>
      </vt:variant>
      <vt:variant>
        <vt:i4>1310774</vt:i4>
      </vt:variant>
      <vt:variant>
        <vt:i4>32</vt:i4>
      </vt:variant>
      <vt:variant>
        <vt:i4>0</vt:i4>
      </vt:variant>
      <vt:variant>
        <vt:i4>5</vt:i4>
      </vt:variant>
      <vt:variant>
        <vt:lpwstr/>
      </vt:variant>
      <vt:variant>
        <vt:lpwstr>_Toc103258195</vt:lpwstr>
      </vt:variant>
      <vt:variant>
        <vt:i4>1310774</vt:i4>
      </vt:variant>
      <vt:variant>
        <vt:i4>26</vt:i4>
      </vt:variant>
      <vt:variant>
        <vt:i4>0</vt:i4>
      </vt:variant>
      <vt:variant>
        <vt:i4>5</vt:i4>
      </vt:variant>
      <vt:variant>
        <vt:lpwstr/>
      </vt:variant>
      <vt:variant>
        <vt:lpwstr>_Toc103258194</vt:lpwstr>
      </vt:variant>
      <vt:variant>
        <vt:i4>1310774</vt:i4>
      </vt:variant>
      <vt:variant>
        <vt:i4>20</vt:i4>
      </vt:variant>
      <vt:variant>
        <vt:i4>0</vt:i4>
      </vt:variant>
      <vt:variant>
        <vt:i4>5</vt:i4>
      </vt:variant>
      <vt:variant>
        <vt:lpwstr/>
      </vt:variant>
      <vt:variant>
        <vt:lpwstr>_Toc103258193</vt:lpwstr>
      </vt:variant>
      <vt:variant>
        <vt:i4>1310774</vt:i4>
      </vt:variant>
      <vt:variant>
        <vt:i4>14</vt:i4>
      </vt:variant>
      <vt:variant>
        <vt:i4>0</vt:i4>
      </vt:variant>
      <vt:variant>
        <vt:i4>5</vt:i4>
      </vt:variant>
      <vt:variant>
        <vt:lpwstr/>
      </vt:variant>
      <vt:variant>
        <vt:lpwstr>_Toc103258191</vt:lpwstr>
      </vt:variant>
      <vt:variant>
        <vt:i4>1310774</vt:i4>
      </vt:variant>
      <vt:variant>
        <vt:i4>8</vt:i4>
      </vt:variant>
      <vt:variant>
        <vt:i4>0</vt:i4>
      </vt:variant>
      <vt:variant>
        <vt:i4>5</vt:i4>
      </vt:variant>
      <vt:variant>
        <vt:lpwstr/>
      </vt:variant>
      <vt:variant>
        <vt:lpwstr>_Toc103258190</vt:lpwstr>
      </vt:variant>
      <vt:variant>
        <vt:i4>1376310</vt:i4>
      </vt:variant>
      <vt:variant>
        <vt:i4>2</vt:i4>
      </vt:variant>
      <vt:variant>
        <vt:i4>0</vt:i4>
      </vt:variant>
      <vt:variant>
        <vt:i4>5</vt:i4>
      </vt:variant>
      <vt:variant>
        <vt:lpwstr/>
      </vt:variant>
      <vt:variant>
        <vt:lpwstr>_Toc103258189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 Complementaria - SINPE TP</dc:title>
  <dc:subject/>
  <dc:creator>Julio Muñoz Zúñiga</dc:creator>
  <cp:keywords/>
  <cp:lastModifiedBy>JIMENEZ QUESADA MELVIN</cp:lastModifiedBy>
  <cp:revision>15</cp:revision>
  <cp:lastPrinted>2015-07-21T16:09:00Z</cp:lastPrinted>
  <dcterms:created xsi:type="dcterms:W3CDTF">2025-12-15T19:49:00Z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ítulo">
    <vt:lpwstr>Norma complementaria - Padrón de Cuentas</vt:lpwstr>
  </property>
  <property fmtid="{D5CDD505-2E9C-101B-9397-08002B2CF9AE}" pid="3" name="Categorías">
    <vt:lpwstr>[Categorías]</vt:lpwstr>
  </property>
  <property fmtid="{D5CDD505-2E9C-101B-9397-08002B2CF9AE}" pid="4" name="Código">
    <vt:lpwstr>NC-PAC</vt:lpwstr>
  </property>
  <property fmtid="{D5CDD505-2E9C-101B-9397-08002B2CF9AE}" pid="5" name="Autor">
    <vt:lpwstr>Sistemas de Pago - BCCR</vt:lpwstr>
  </property>
  <property fmtid="{D5CDD505-2E9C-101B-9397-08002B2CF9AE}" pid="6" name="Descripción">
    <vt:lpwstr>[Propósito del libro]</vt:lpwstr>
  </property>
  <property fmtid="{D5CDD505-2E9C-101B-9397-08002B2CF9AE}" pid="7" name="Tipo Libro">
    <vt:lpwstr>Norma complementaria</vt:lpwstr>
  </property>
  <property fmtid="{D5CDD505-2E9C-101B-9397-08002B2CF9AE}" pid="8" name="Nombre Servicio">
    <vt:lpwstr>Padrón de cuentas</vt:lpwstr>
  </property>
  <property fmtid="{D5CDD505-2E9C-101B-9397-08002B2CF9AE}" pid="9" name="Vigencia">
    <vt:lpwstr>[00/00/2000]</vt:lpwstr>
  </property>
  <property fmtid="{D5CDD505-2E9C-101B-9397-08002B2CF9AE}" pid="10" name="Confidencialidad">
    <vt:lpwstr>Público</vt:lpwstr>
  </property>
  <property fmtid="{D5CDD505-2E9C-101B-9397-08002B2CF9AE}" pid="11" name="Edición">
    <vt:lpwstr>1</vt:lpwstr>
  </property>
  <property fmtid="{D5CDD505-2E9C-101B-9397-08002B2CF9AE}" pid="12" name="MSIP_Label_b8b4be34-365a-4a68-b9fb-75c1b6874315_Enabled">
    <vt:lpwstr>true</vt:lpwstr>
  </property>
  <property fmtid="{D5CDD505-2E9C-101B-9397-08002B2CF9AE}" pid="13" name="MSIP_Label_b8b4be34-365a-4a68-b9fb-75c1b6874315_SetDate">
    <vt:lpwstr>2023-03-17T15:43:54Z</vt:lpwstr>
  </property>
  <property fmtid="{D5CDD505-2E9C-101B-9397-08002B2CF9AE}" pid="14" name="MSIP_Label_b8b4be34-365a-4a68-b9fb-75c1b6874315_Method">
    <vt:lpwstr>Standard</vt:lpwstr>
  </property>
  <property fmtid="{D5CDD505-2E9C-101B-9397-08002B2CF9AE}" pid="15" name="MSIP_Label_b8b4be34-365a-4a68-b9fb-75c1b6874315_Name">
    <vt:lpwstr>b8b4be34-365a-4a68-b9fb-75c1b6874315</vt:lpwstr>
  </property>
  <property fmtid="{D5CDD505-2E9C-101B-9397-08002B2CF9AE}" pid="16" name="MSIP_Label_b8b4be34-365a-4a68-b9fb-75c1b6874315_SiteId">
    <vt:lpwstr>618d0a45-25a6-4618-9f80-8f70a435ee52</vt:lpwstr>
  </property>
  <property fmtid="{D5CDD505-2E9C-101B-9397-08002B2CF9AE}" pid="17" name="MSIP_Label_b8b4be34-365a-4a68-b9fb-75c1b6874315_ActionId">
    <vt:lpwstr>6c613d78-c028-4962-8975-0000406b32a9</vt:lpwstr>
  </property>
  <property fmtid="{D5CDD505-2E9C-101B-9397-08002B2CF9AE}" pid="18" name="MSIP_Label_b8b4be34-365a-4a68-b9fb-75c1b6874315_ContentBits">
    <vt:lpwstr>2</vt:lpwstr>
  </property>
  <property fmtid="{D5CDD505-2E9C-101B-9397-08002B2CF9AE}" pid="19" name="ContentTypeId">
    <vt:lpwstr>0x010100B3F2D48CE491814DAA4BDA2455914F60</vt:lpwstr>
  </property>
</Properties>
</file>